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B9" w:rsidRPr="003356B9" w:rsidRDefault="003356B9" w:rsidP="003356B9">
      <w:pPr>
        <w:pStyle w:val="Heading1"/>
        <w:rPr>
          <w:rFonts w:ascii="Publico Headline" w:hAnsi="Publico Headline"/>
          <w:sz w:val="28"/>
          <w:szCs w:val="28"/>
        </w:rPr>
      </w:pPr>
      <w:bookmarkStart w:id="0" w:name="_Toc507671955"/>
      <w:bookmarkStart w:id="1" w:name="_Toc511977583"/>
      <w:r w:rsidRPr="003356B9">
        <w:rPr>
          <w:rFonts w:ascii="Publico Headline" w:hAnsi="Publico Headline"/>
          <w:sz w:val="28"/>
          <w:szCs w:val="28"/>
        </w:rPr>
        <w:t>Elukindlustus</w:t>
      </w:r>
      <w:bookmarkEnd w:id="0"/>
      <w:bookmarkEnd w:id="1"/>
      <w:r w:rsidRPr="003356B9">
        <w:rPr>
          <w:rFonts w:ascii="Publico Headline" w:hAnsi="Publico Headline"/>
          <w:sz w:val="28"/>
          <w:szCs w:val="28"/>
        </w:rPr>
        <w:t>e sektori ülevaade</w:t>
      </w:r>
    </w:p>
    <w:tbl>
      <w:tblPr>
        <w:tblStyle w:val="TableGrid"/>
        <w:tblW w:w="47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1480"/>
        <w:gridCol w:w="451"/>
        <w:gridCol w:w="1711"/>
      </w:tblGrid>
      <w:tr w:rsidR="003356B9" w:rsidRPr="00816748" w:rsidTr="009961A0">
        <w:tc>
          <w:tcPr>
            <w:tcW w:w="2957" w:type="pct"/>
          </w:tcPr>
          <w:p w:rsidR="003356B9" w:rsidRPr="003356B9" w:rsidRDefault="003356B9" w:rsidP="009961A0">
            <w:pPr>
              <w:spacing w:before="0" w:after="0" w:line="300" w:lineRule="auto"/>
              <w:rPr>
                <w:rFonts w:asciiTheme="minorHAnsi" w:hAnsiTheme="minorHAnsi"/>
                <w:szCs w:val="21"/>
              </w:rPr>
            </w:pPr>
          </w:p>
        </w:tc>
        <w:tc>
          <w:tcPr>
            <w:tcW w:w="830" w:type="pct"/>
          </w:tcPr>
          <w:p w:rsidR="003356B9" w:rsidRPr="003356B9" w:rsidRDefault="003356B9" w:rsidP="009961A0">
            <w:pPr>
              <w:spacing w:before="0" w:after="0" w:line="300" w:lineRule="auto"/>
              <w:jc w:val="left"/>
              <w:rPr>
                <w:rStyle w:val="IntenseReference"/>
                <w:rFonts w:asciiTheme="minorHAnsi" w:hAnsiTheme="minorHAnsi"/>
                <w:szCs w:val="21"/>
              </w:rPr>
            </w:pPr>
            <w:r w:rsidRPr="003356B9">
              <w:rPr>
                <w:rStyle w:val="IntenseReference"/>
                <w:rFonts w:asciiTheme="minorHAnsi" w:hAnsiTheme="minorHAnsi"/>
                <w:szCs w:val="21"/>
              </w:rPr>
              <w:t>II kv 2017</w:t>
            </w:r>
          </w:p>
        </w:tc>
        <w:tc>
          <w:tcPr>
            <w:tcW w:w="253" w:type="pct"/>
          </w:tcPr>
          <w:p w:rsidR="003356B9" w:rsidRPr="003356B9" w:rsidRDefault="003356B9" w:rsidP="009961A0">
            <w:pPr>
              <w:spacing w:before="0" w:after="0" w:line="300" w:lineRule="auto"/>
              <w:rPr>
                <w:rFonts w:asciiTheme="minorHAnsi" w:hAnsiTheme="minorHAnsi"/>
                <w:szCs w:val="21"/>
              </w:rPr>
            </w:pPr>
          </w:p>
        </w:tc>
        <w:tc>
          <w:tcPr>
            <w:tcW w:w="960" w:type="pct"/>
          </w:tcPr>
          <w:p w:rsidR="003356B9" w:rsidRPr="003356B9" w:rsidRDefault="003356B9" w:rsidP="009961A0">
            <w:pPr>
              <w:spacing w:before="0" w:after="0" w:line="300" w:lineRule="auto"/>
              <w:jc w:val="left"/>
              <w:rPr>
                <w:rStyle w:val="IntenseReference"/>
                <w:rFonts w:asciiTheme="minorHAnsi" w:hAnsiTheme="minorHAnsi"/>
                <w:szCs w:val="21"/>
              </w:rPr>
            </w:pPr>
            <w:r w:rsidRPr="003356B9">
              <w:rPr>
                <w:rStyle w:val="IntenseReference"/>
                <w:rFonts w:asciiTheme="minorHAnsi" w:hAnsiTheme="minorHAnsi"/>
                <w:szCs w:val="21"/>
              </w:rPr>
              <w:t>III kv 2017</w:t>
            </w:r>
          </w:p>
        </w:tc>
      </w:tr>
      <w:tr w:rsidR="003356B9" w:rsidRPr="00816748" w:rsidTr="009961A0">
        <w:tc>
          <w:tcPr>
            <w:tcW w:w="2957" w:type="pct"/>
          </w:tcPr>
          <w:p w:rsidR="003356B9" w:rsidRPr="003356B9" w:rsidRDefault="003356B9" w:rsidP="009961A0">
            <w:pPr>
              <w:pStyle w:val="ListParagraph"/>
              <w:numPr>
                <w:ilvl w:val="0"/>
                <w:numId w:val="13"/>
              </w:numPr>
              <w:spacing w:before="0" w:after="0" w:line="300" w:lineRule="auto"/>
              <w:ind w:left="150" w:hanging="270"/>
              <w:jc w:val="left"/>
              <w:rPr>
                <w:rFonts w:asciiTheme="minorHAnsi" w:hAnsiTheme="minorHAnsi"/>
                <w:szCs w:val="21"/>
              </w:rPr>
            </w:pPr>
            <w:r w:rsidRPr="003356B9">
              <w:rPr>
                <w:rFonts w:asciiTheme="minorHAnsi" w:hAnsiTheme="minorHAnsi"/>
                <w:szCs w:val="21"/>
              </w:rPr>
              <w:t>Kindlustusmaksete maht</w:t>
            </w:r>
          </w:p>
        </w:tc>
        <w:tc>
          <w:tcPr>
            <w:tcW w:w="83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59</w:t>
            </w:r>
          </w:p>
        </w:tc>
        <w:tc>
          <w:tcPr>
            <w:tcW w:w="253" w:type="pct"/>
          </w:tcPr>
          <w:p w:rsidR="003356B9" w:rsidRPr="003356B9" w:rsidRDefault="003356B9" w:rsidP="009961A0">
            <w:pPr>
              <w:spacing w:before="0" w:after="0" w:line="300" w:lineRule="auto"/>
              <w:rPr>
                <w:rStyle w:val="IntenseReference"/>
                <w:rFonts w:asciiTheme="minorHAnsi" w:hAnsiTheme="minorHAnsi"/>
                <w:color w:val="FA5C1D" w:themeColor="accent3"/>
                <w:szCs w:val="21"/>
              </w:rPr>
            </w:pPr>
            <w:r w:rsidRPr="003356B9">
              <w:rPr>
                <w:rStyle w:val="IntenseReference"/>
                <w:rFonts w:asciiTheme="minorHAnsi" w:hAnsiTheme="minorHAnsi"/>
                <w:color w:val="FA5C1D" w:themeColor="accent3"/>
                <w:szCs w:val="21"/>
              </w:rPr>
              <w:t>↓</w:t>
            </w:r>
          </w:p>
        </w:tc>
        <w:tc>
          <w:tcPr>
            <w:tcW w:w="96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54,6 mln eurot</w:t>
            </w:r>
          </w:p>
        </w:tc>
      </w:tr>
      <w:tr w:rsidR="003356B9" w:rsidRPr="00816748" w:rsidTr="009961A0">
        <w:tc>
          <w:tcPr>
            <w:tcW w:w="2957" w:type="pct"/>
          </w:tcPr>
          <w:p w:rsidR="003356B9" w:rsidRPr="003356B9" w:rsidRDefault="003356B9" w:rsidP="009961A0">
            <w:pPr>
              <w:pStyle w:val="ListParagraph"/>
              <w:numPr>
                <w:ilvl w:val="0"/>
                <w:numId w:val="13"/>
              </w:numPr>
              <w:spacing w:before="0" w:after="0" w:line="300" w:lineRule="auto"/>
              <w:ind w:left="150" w:hanging="270"/>
              <w:jc w:val="left"/>
              <w:rPr>
                <w:rFonts w:asciiTheme="minorHAnsi" w:hAnsiTheme="minorHAnsi"/>
                <w:szCs w:val="21"/>
              </w:rPr>
            </w:pPr>
            <w:r w:rsidRPr="003356B9">
              <w:rPr>
                <w:rFonts w:asciiTheme="minorHAnsi" w:hAnsiTheme="minorHAnsi"/>
                <w:szCs w:val="21"/>
              </w:rPr>
              <w:t>Esinenud kahjunõuete maht</w:t>
            </w:r>
          </w:p>
        </w:tc>
        <w:tc>
          <w:tcPr>
            <w:tcW w:w="83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32</w:t>
            </w:r>
          </w:p>
        </w:tc>
        <w:tc>
          <w:tcPr>
            <w:tcW w:w="253" w:type="pct"/>
          </w:tcPr>
          <w:p w:rsidR="003356B9" w:rsidRPr="003356B9" w:rsidRDefault="003356B9" w:rsidP="009961A0">
            <w:pPr>
              <w:spacing w:before="0" w:after="0" w:line="300" w:lineRule="auto"/>
              <w:rPr>
                <w:rFonts w:asciiTheme="minorHAnsi" w:hAnsiTheme="minorHAnsi"/>
                <w:color w:val="FA5C1D" w:themeColor="accent3"/>
                <w:szCs w:val="21"/>
              </w:rPr>
            </w:pPr>
            <w:r w:rsidRPr="003356B9">
              <w:rPr>
                <w:rStyle w:val="IntenseReference"/>
                <w:rFonts w:asciiTheme="minorHAnsi" w:hAnsiTheme="minorHAnsi"/>
                <w:color w:val="00B050"/>
                <w:szCs w:val="21"/>
              </w:rPr>
              <w:t>↓</w:t>
            </w:r>
          </w:p>
        </w:tc>
        <w:tc>
          <w:tcPr>
            <w:tcW w:w="96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30,1 mln eurot</w:t>
            </w:r>
          </w:p>
        </w:tc>
      </w:tr>
      <w:tr w:rsidR="003356B9" w:rsidRPr="00816748" w:rsidTr="009961A0">
        <w:tc>
          <w:tcPr>
            <w:tcW w:w="2957" w:type="pct"/>
          </w:tcPr>
          <w:p w:rsidR="003356B9" w:rsidRPr="003356B9" w:rsidRDefault="003356B9" w:rsidP="009961A0">
            <w:pPr>
              <w:pStyle w:val="ListParagraph"/>
              <w:numPr>
                <w:ilvl w:val="0"/>
                <w:numId w:val="13"/>
              </w:numPr>
              <w:spacing w:before="0" w:after="0" w:line="300" w:lineRule="auto"/>
              <w:ind w:left="150" w:hanging="270"/>
              <w:jc w:val="left"/>
              <w:rPr>
                <w:rFonts w:asciiTheme="minorHAnsi" w:hAnsiTheme="minorHAnsi"/>
                <w:szCs w:val="21"/>
              </w:rPr>
            </w:pPr>
            <w:r w:rsidRPr="003356B9">
              <w:rPr>
                <w:rFonts w:asciiTheme="minorHAnsi" w:hAnsiTheme="minorHAnsi"/>
                <w:szCs w:val="21"/>
              </w:rPr>
              <w:t>Kindlustusseltside varade maht</w:t>
            </w:r>
          </w:p>
        </w:tc>
        <w:tc>
          <w:tcPr>
            <w:tcW w:w="83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1,16</w:t>
            </w:r>
          </w:p>
        </w:tc>
        <w:tc>
          <w:tcPr>
            <w:tcW w:w="253" w:type="pct"/>
          </w:tcPr>
          <w:p w:rsidR="003356B9" w:rsidRPr="003356B9" w:rsidRDefault="003356B9" w:rsidP="009961A0">
            <w:pPr>
              <w:spacing w:before="0" w:after="0" w:line="300" w:lineRule="auto"/>
              <w:rPr>
                <w:rStyle w:val="IntenseReference"/>
                <w:rFonts w:asciiTheme="minorHAnsi" w:hAnsiTheme="minorHAnsi"/>
                <w:color w:val="00BB4A" w:themeColor="accent2"/>
                <w:szCs w:val="21"/>
              </w:rPr>
            </w:pPr>
            <w:r w:rsidRPr="003356B9">
              <w:rPr>
                <w:rStyle w:val="IntenseReference"/>
                <w:rFonts w:asciiTheme="minorHAnsi" w:hAnsiTheme="minorHAnsi"/>
                <w:color w:val="00BB4A" w:themeColor="accent2"/>
                <w:szCs w:val="21"/>
              </w:rPr>
              <w:t>↑</w:t>
            </w:r>
          </w:p>
        </w:tc>
        <w:tc>
          <w:tcPr>
            <w:tcW w:w="96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1,2 mld eurot</w:t>
            </w:r>
          </w:p>
        </w:tc>
      </w:tr>
      <w:tr w:rsidR="003356B9" w:rsidRPr="00816748" w:rsidTr="009961A0">
        <w:tc>
          <w:tcPr>
            <w:tcW w:w="2957" w:type="pct"/>
          </w:tcPr>
          <w:p w:rsidR="003356B9" w:rsidRPr="003356B9" w:rsidRDefault="003356B9" w:rsidP="009961A0">
            <w:pPr>
              <w:pStyle w:val="ListParagraph"/>
              <w:numPr>
                <w:ilvl w:val="0"/>
                <w:numId w:val="13"/>
              </w:numPr>
              <w:tabs>
                <w:tab w:val="left" w:pos="375"/>
              </w:tabs>
              <w:spacing w:before="0" w:after="0" w:line="300" w:lineRule="auto"/>
              <w:ind w:left="150" w:hanging="270"/>
              <w:jc w:val="left"/>
              <w:rPr>
                <w:rFonts w:asciiTheme="minorHAnsi" w:hAnsiTheme="minorHAnsi"/>
                <w:szCs w:val="21"/>
              </w:rPr>
            </w:pPr>
            <w:r w:rsidRPr="003356B9">
              <w:rPr>
                <w:rFonts w:asciiTheme="minorHAnsi" w:hAnsiTheme="minorHAnsi"/>
                <w:szCs w:val="21"/>
              </w:rPr>
              <w:t>Kindlustuskohustuste maht</w:t>
            </w:r>
          </w:p>
        </w:tc>
        <w:tc>
          <w:tcPr>
            <w:tcW w:w="83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844</w:t>
            </w:r>
          </w:p>
        </w:tc>
        <w:tc>
          <w:tcPr>
            <w:tcW w:w="253" w:type="pct"/>
          </w:tcPr>
          <w:p w:rsidR="003356B9" w:rsidRPr="003356B9" w:rsidRDefault="003356B9" w:rsidP="009961A0">
            <w:pPr>
              <w:spacing w:before="0" w:after="0" w:line="300" w:lineRule="auto"/>
              <w:rPr>
                <w:rFonts w:asciiTheme="minorHAnsi" w:hAnsiTheme="minorHAnsi"/>
                <w:color w:val="00BB4A" w:themeColor="accent2"/>
                <w:szCs w:val="21"/>
              </w:rPr>
            </w:pPr>
            <w:r w:rsidRPr="003356B9">
              <w:rPr>
                <w:rStyle w:val="IntenseReference"/>
                <w:rFonts w:asciiTheme="minorHAnsi" w:hAnsiTheme="minorHAnsi"/>
                <w:color w:val="00BB4A" w:themeColor="accent2"/>
                <w:szCs w:val="21"/>
              </w:rPr>
              <w:t>↑</w:t>
            </w:r>
          </w:p>
        </w:tc>
        <w:tc>
          <w:tcPr>
            <w:tcW w:w="960" w:type="pct"/>
          </w:tcPr>
          <w:p w:rsidR="003356B9" w:rsidRPr="003356B9" w:rsidRDefault="003356B9" w:rsidP="009961A0">
            <w:pPr>
              <w:spacing w:before="0" w:after="0" w:line="300" w:lineRule="auto"/>
              <w:jc w:val="left"/>
              <w:rPr>
                <w:rFonts w:asciiTheme="minorHAnsi" w:hAnsiTheme="minorHAnsi"/>
                <w:szCs w:val="21"/>
              </w:rPr>
            </w:pPr>
            <w:r w:rsidRPr="003356B9">
              <w:rPr>
                <w:rFonts w:asciiTheme="minorHAnsi" w:hAnsiTheme="minorHAnsi"/>
                <w:szCs w:val="21"/>
              </w:rPr>
              <w:t>859,3 mln eurot</w:t>
            </w:r>
          </w:p>
        </w:tc>
      </w:tr>
      <w:tr w:rsidR="003356B9" w:rsidRPr="00816748" w:rsidTr="009961A0">
        <w:tc>
          <w:tcPr>
            <w:tcW w:w="2957" w:type="pct"/>
          </w:tcPr>
          <w:p w:rsidR="003356B9" w:rsidRPr="003356B9" w:rsidRDefault="003356B9" w:rsidP="009961A0">
            <w:pPr>
              <w:pStyle w:val="ListParagraph"/>
              <w:numPr>
                <w:ilvl w:val="0"/>
                <w:numId w:val="13"/>
              </w:numPr>
              <w:spacing w:before="0" w:after="0" w:line="300" w:lineRule="auto"/>
              <w:ind w:left="150" w:hanging="270"/>
              <w:jc w:val="left"/>
              <w:rPr>
                <w:rFonts w:asciiTheme="minorHAnsi" w:hAnsiTheme="minorHAnsi"/>
                <w:szCs w:val="21"/>
              </w:rPr>
            </w:pPr>
            <w:r w:rsidRPr="003356B9">
              <w:rPr>
                <w:rFonts w:asciiTheme="minorHAnsi" w:hAnsiTheme="minorHAnsi"/>
                <w:szCs w:val="21"/>
              </w:rPr>
              <w:t>Kulude suhe netokindlustusmaksetesse (kumulatiivne)</w:t>
            </w:r>
          </w:p>
        </w:tc>
        <w:tc>
          <w:tcPr>
            <w:tcW w:w="830" w:type="pct"/>
          </w:tcPr>
          <w:p w:rsidR="003356B9" w:rsidRPr="003356B9" w:rsidRDefault="003356B9" w:rsidP="009961A0">
            <w:pPr>
              <w:spacing w:before="0" w:after="0" w:line="300" w:lineRule="auto"/>
              <w:rPr>
                <w:rFonts w:asciiTheme="minorHAnsi" w:hAnsiTheme="minorHAnsi"/>
                <w:szCs w:val="21"/>
              </w:rPr>
            </w:pPr>
            <w:r w:rsidRPr="003356B9">
              <w:rPr>
                <w:rFonts w:asciiTheme="minorHAnsi" w:hAnsiTheme="minorHAnsi"/>
                <w:szCs w:val="21"/>
              </w:rPr>
              <w:t>16,1%</w:t>
            </w:r>
          </w:p>
        </w:tc>
        <w:tc>
          <w:tcPr>
            <w:tcW w:w="253" w:type="pct"/>
          </w:tcPr>
          <w:p w:rsidR="003356B9" w:rsidRPr="003356B9" w:rsidRDefault="003356B9" w:rsidP="009961A0">
            <w:pPr>
              <w:spacing w:before="0" w:after="0" w:line="300" w:lineRule="auto"/>
              <w:rPr>
                <w:rFonts w:asciiTheme="minorHAnsi" w:hAnsiTheme="minorHAnsi"/>
                <w:color w:val="00BB4A" w:themeColor="accent2"/>
                <w:szCs w:val="21"/>
              </w:rPr>
            </w:pPr>
            <w:r w:rsidRPr="003356B9">
              <w:rPr>
                <w:rStyle w:val="IntenseReference"/>
                <w:rFonts w:asciiTheme="minorHAnsi" w:hAnsiTheme="minorHAnsi"/>
                <w:color w:val="FA5C1D" w:themeColor="accent3"/>
                <w:szCs w:val="21"/>
              </w:rPr>
              <w:t>↑</w:t>
            </w:r>
          </w:p>
        </w:tc>
        <w:tc>
          <w:tcPr>
            <w:tcW w:w="960" w:type="pct"/>
          </w:tcPr>
          <w:p w:rsidR="003356B9" w:rsidRPr="003356B9" w:rsidRDefault="003356B9" w:rsidP="009961A0">
            <w:pPr>
              <w:spacing w:before="0" w:after="0" w:line="300" w:lineRule="auto"/>
              <w:rPr>
                <w:rFonts w:asciiTheme="minorHAnsi" w:hAnsiTheme="minorHAnsi"/>
                <w:szCs w:val="21"/>
              </w:rPr>
            </w:pPr>
            <w:r w:rsidRPr="003356B9">
              <w:rPr>
                <w:rFonts w:asciiTheme="minorHAnsi" w:hAnsiTheme="minorHAnsi"/>
                <w:szCs w:val="21"/>
              </w:rPr>
              <w:t>16,2 %</w:t>
            </w:r>
          </w:p>
        </w:tc>
      </w:tr>
      <w:tr w:rsidR="003356B9" w:rsidRPr="00816748" w:rsidTr="009961A0">
        <w:tc>
          <w:tcPr>
            <w:tcW w:w="2957" w:type="pct"/>
          </w:tcPr>
          <w:p w:rsidR="003356B9" w:rsidRPr="003356B9" w:rsidRDefault="003356B9" w:rsidP="009961A0">
            <w:pPr>
              <w:pStyle w:val="ListParagraph"/>
              <w:numPr>
                <w:ilvl w:val="0"/>
                <w:numId w:val="13"/>
              </w:numPr>
              <w:spacing w:before="0" w:after="0" w:line="300" w:lineRule="auto"/>
              <w:ind w:left="150" w:hanging="270"/>
              <w:rPr>
                <w:rFonts w:asciiTheme="minorHAnsi" w:hAnsiTheme="minorHAnsi"/>
                <w:szCs w:val="21"/>
              </w:rPr>
            </w:pPr>
            <w:r w:rsidRPr="003356B9">
              <w:rPr>
                <w:rFonts w:asciiTheme="minorHAnsi" w:hAnsiTheme="minorHAnsi"/>
                <w:szCs w:val="21"/>
              </w:rPr>
              <w:t>Kasum</w:t>
            </w:r>
            <w:r w:rsidRPr="003356B9">
              <w:rPr>
                <w:rStyle w:val="FootnoteReference"/>
                <w:rFonts w:asciiTheme="minorHAnsi" w:hAnsiTheme="minorHAnsi"/>
                <w:szCs w:val="21"/>
              </w:rPr>
              <w:footnoteReference w:id="1"/>
            </w:r>
          </w:p>
        </w:tc>
        <w:tc>
          <w:tcPr>
            <w:tcW w:w="830" w:type="pct"/>
          </w:tcPr>
          <w:p w:rsidR="003356B9" w:rsidRPr="003356B9" w:rsidRDefault="003356B9" w:rsidP="009961A0">
            <w:pPr>
              <w:spacing w:before="0" w:after="0" w:line="300" w:lineRule="auto"/>
              <w:rPr>
                <w:rFonts w:asciiTheme="minorHAnsi" w:hAnsiTheme="minorHAnsi"/>
                <w:szCs w:val="21"/>
              </w:rPr>
            </w:pPr>
            <w:r w:rsidRPr="003356B9">
              <w:rPr>
                <w:rFonts w:asciiTheme="minorHAnsi" w:hAnsiTheme="minorHAnsi"/>
                <w:szCs w:val="21"/>
              </w:rPr>
              <w:t>7,4</w:t>
            </w:r>
          </w:p>
        </w:tc>
        <w:tc>
          <w:tcPr>
            <w:tcW w:w="253" w:type="pct"/>
          </w:tcPr>
          <w:p w:rsidR="003356B9" w:rsidRPr="003356B9" w:rsidRDefault="003356B9" w:rsidP="009961A0">
            <w:pPr>
              <w:spacing w:before="0" w:after="0" w:line="300" w:lineRule="auto"/>
              <w:rPr>
                <w:rFonts w:asciiTheme="minorHAnsi" w:hAnsiTheme="minorHAnsi"/>
                <w:color w:val="00BB4A" w:themeColor="accent2"/>
                <w:szCs w:val="21"/>
              </w:rPr>
            </w:pPr>
            <w:r w:rsidRPr="003356B9">
              <w:rPr>
                <w:rStyle w:val="IntenseReference"/>
                <w:rFonts w:asciiTheme="minorHAnsi" w:hAnsiTheme="minorHAnsi"/>
                <w:color w:val="00BB4A" w:themeColor="accent2"/>
                <w:szCs w:val="21"/>
              </w:rPr>
              <w:t>↑</w:t>
            </w:r>
          </w:p>
        </w:tc>
        <w:tc>
          <w:tcPr>
            <w:tcW w:w="960" w:type="pct"/>
          </w:tcPr>
          <w:p w:rsidR="003356B9" w:rsidRPr="003356B9" w:rsidRDefault="003356B9" w:rsidP="009961A0">
            <w:pPr>
              <w:spacing w:before="0" w:after="0" w:line="300" w:lineRule="auto"/>
              <w:rPr>
                <w:rFonts w:asciiTheme="minorHAnsi" w:hAnsiTheme="minorHAnsi"/>
                <w:szCs w:val="21"/>
              </w:rPr>
            </w:pPr>
            <w:r w:rsidRPr="003356B9">
              <w:rPr>
                <w:rFonts w:asciiTheme="minorHAnsi" w:hAnsiTheme="minorHAnsi"/>
                <w:szCs w:val="21"/>
              </w:rPr>
              <w:t>8,8 mln eurot</w:t>
            </w:r>
          </w:p>
        </w:tc>
      </w:tr>
      <w:tr w:rsidR="003356B9" w:rsidRPr="00816748" w:rsidTr="009961A0">
        <w:tc>
          <w:tcPr>
            <w:tcW w:w="2957" w:type="pct"/>
          </w:tcPr>
          <w:p w:rsidR="003356B9" w:rsidRPr="003356B9" w:rsidRDefault="003356B9" w:rsidP="009961A0">
            <w:pPr>
              <w:pStyle w:val="ListParagraph"/>
              <w:numPr>
                <w:ilvl w:val="0"/>
                <w:numId w:val="13"/>
              </w:numPr>
              <w:spacing w:before="0" w:after="0" w:line="300" w:lineRule="auto"/>
              <w:ind w:left="150" w:hanging="270"/>
              <w:rPr>
                <w:rFonts w:asciiTheme="minorHAnsi" w:hAnsiTheme="minorHAnsi"/>
                <w:szCs w:val="21"/>
              </w:rPr>
            </w:pPr>
            <w:proofErr w:type="spellStart"/>
            <w:r w:rsidRPr="003356B9">
              <w:rPr>
                <w:rFonts w:asciiTheme="minorHAnsi" w:hAnsiTheme="minorHAnsi"/>
                <w:szCs w:val="21"/>
              </w:rPr>
              <w:t>Solventsuskapitalinõude</w:t>
            </w:r>
            <w:proofErr w:type="spellEnd"/>
            <w:r w:rsidRPr="003356B9">
              <w:rPr>
                <w:rFonts w:asciiTheme="minorHAnsi" w:hAnsiTheme="minorHAnsi"/>
                <w:szCs w:val="21"/>
              </w:rPr>
              <w:t xml:space="preserve"> kaetus</w:t>
            </w:r>
          </w:p>
        </w:tc>
        <w:tc>
          <w:tcPr>
            <w:tcW w:w="830" w:type="pct"/>
          </w:tcPr>
          <w:p w:rsidR="003356B9" w:rsidRPr="003356B9" w:rsidRDefault="003356B9" w:rsidP="009961A0">
            <w:pPr>
              <w:spacing w:before="0" w:after="0" w:line="300" w:lineRule="auto"/>
              <w:rPr>
                <w:rFonts w:asciiTheme="minorHAnsi" w:hAnsiTheme="minorHAnsi"/>
                <w:szCs w:val="21"/>
              </w:rPr>
            </w:pPr>
            <w:r w:rsidRPr="003356B9">
              <w:rPr>
                <w:rFonts w:asciiTheme="minorHAnsi" w:hAnsiTheme="minorHAnsi"/>
                <w:szCs w:val="21"/>
              </w:rPr>
              <w:t>185%</w:t>
            </w:r>
          </w:p>
        </w:tc>
        <w:tc>
          <w:tcPr>
            <w:tcW w:w="253" w:type="pct"/>
          </w:tcPr>
          <w:p w:rsidR="003356B9" w:rsidRPr="003356B9" w:rsidRDefault="003356B9" w:rsidP="009961A0">
            <w:pPr>
              <w:spacing w:before="0" w:after="0" w:line="300" w:lineRule="auto"/>
              <w:rPr>
                <w:rFonts w:asciiTheme="minorHAnsi" w:hAnsiTheme="minorHAnsi"/>
                <w:color w:val="00BB4A" w:themeColor="accent2"/>
                <w:szCs w:val="21"/>
              </w:rPr>
            </w:pPr>
            <w:r w:rsidRPr="003356B9">
              <w:rPr>
                <w:rStyle w:val="IntenseReference"/>
                <w:rFonts w:asciiTheme="minorHAnsi" w:hAnsiTheme="minorHAnsi"/>
                <w:color w:val="00BB4A" w:themeColor="accent2"/>
                <w:szCs w:val="21"/>
              </w:rPr>
              <w:t>↑</w:t>
            </w:r>
          </w:p>
        </w:tc>
        <w:tc>
          <w:tcPr>
            <w:tcW w:w="960" w:type="pct"/>
          </w:tcPr>
          <w:p w:rsidR="003356B9" w:rsidRPr="003356B9" w:rsidRDefault="003356B9" w:rsidP="009961A0">
            <w:pPr>
              <w:spacing w:before="0" w:after="0" w:line="300" w:lineRule="auto"/>
              <w:rPr>
                <w:rFonts w:asciiTheme="minorHAnsi" w:hAnsiTheme="minorHAnsi"/>
                <w:szCs w:val="21"/>
              </w:rPr>
            </w:pPr>
            <w:r w:rsidRPr="003356B9">
              <w:rPr>
                <w:rFonts w:asciiTheme="minorHAnsi" w:hAnsiTheme="minorHAnsi"/>
                <w:szCs w:val="21"/>
              </w:rPr>
              <w:t>195 %</w:t>
            </w:r>
          </w:p>
        </w:tc>
      </w:tr>
    </w:tbl>
    <w:p w:rsidR="003356B9" w:rsidRDefault="003356B9" w:rsidP="003356B9">
      <w:pPr>
        <w:spacing w:after="120" w:line="300" w:lineRule="auto"/>
      </w:pPr>
    </w:p>
    <w:p w:rsidR="003356B9" w:rsidRPr="003356B9" w:rsidRDefault="003356B9" w:rsidP="003356B9">
      <w:pPr>
        <w:spacing w:after="120" w:line="300" w:lineRule="auto"/>
        <w:rPr>
          <w:szCs w:val="21"/>
        </w:rPr>
      </w:pPr>
      <w:r w:rsidRPr="003356B9">
        <w:rPr>
          <w:szCs w:val="21"/>
        </w:rPr>
        <w:t xml:space="preserve">Eesti elukindlustusseltsid kogusid 2017. aasta kolmandas kvartalis kindlustusmakseid 54,6 miljoni euro ulatuses ehk 7% vähem kui teises kvartalis. Kindlustusmaksete mahu languse taga on väiksem investeerimisriskiga elukindlustuse (IRE) müük. Üheksa kuu  kokkuvõttes on kindlustusmaksete maht aga 11% võrra kasvanud. </w:t>
      </w:r>
    </w:p>
    <w:p w:rsidR="003356B9" w:rsidRPr="003356B9" w:rsidRDefault="003356B9" w:rsidP="003356B9">
      <w:pPr>
        <w:spacing w:after="120" w:line="300" w:lineRule="auto"/>
        <w:rPr>
          <w:szCs w:val="21"/>
        </w:rPr>
      </w:pPr>
      <w:r w:rsidRPr="003356B9">
        <w:rPr>
          <w:noProof/>
          <w:szCs w:val="21"/>
          <w:lang w:eastAsia="et-EE"/>
        </w:rPr>
        <w:drawing>
          <wp:anchor distT="0" distB="144145" distL="114300" distR="114300" simplePos="0" relativeHeight="251702272" behindDoc="0" locked="0" layoutInCell="1" allowOverlap="1" wp14:anchorId="5EB699A9" wp14:editId="1E31D472">
            <wp:simplePos x="0" y="0"/>
            <wp:positionH relativeFrom="margin">
              <wp:posOffset>2282190</wp:posOffset>
            </wp:positionH>
            <wp:positionV relativeFrom="paragraph">
              <wp:posOffset>53975</wp:posOffset>
            </wp:positionV>
            <wp:extent cx="3733800" cy="20574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3356B9">
        <w:rPr>
          <w:szCs w:val="21"/>
        </w:rPr>
        <w:t>Suurima osa elukindlustusmaksete mahust moodustavad jätkuvalt investeerimisriskiga elukindlustuse tooted, kasumiosalusega tooted ja muu elukindlustus.</w:t>
      </w:r>
    </w:p>
    <w:p w:rsidR="003356B9" w:rsidRPr="003356B9" w:rsidRDefault="003356B9" w:rsidP="003356B9">
      <w:pPr>
        <w:spacing w:after="120" w:line="300" w:lineRule="auto"/>
        <w:rPr>
          <w:szCs w:val="21"/>
        </w:rPr>
      </w:pPr>
      <w:r w:rsidRPr="003356B9">
        <w:rPr>
          <w:noProof/>
          <w:szCs w:val="21"/>
          <w:lang w:eastAsia="et-EE"/>
        </w:rPr>
        <w:drawing>
          <wp:anchor distT="0" distB="0" distL="114300" distR="114300" simplePos="0" relativeHeight="251703296" behindDoc="0" locked="0" layoutInCell="1" allowOverlap="1" wp14:anchorId="78AFCA0A" wp14:editId="0AE6DD6B">
            <wp:simplePos x="0" y="0"/>
            <wp:positionH relativeFrom="margin">
              <wp:posOffset>2301240</wp:posOffset>
            </wp:positionH>
            <wp:positionV relativeFrom="paragraph">
              <wp:posOffset>1239520</wp:posOffset>
            </wp:positionV>
            <wp:extent cx="3600000" cy="2101850"/>
            <wp:effectExtent l="0" t="0" r="63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3356B9">
        <w:rPr>
          <w:szCs w:val="21"/>
        </w:rPr>
        <w:t>Elukindlustusseltsidel esines kolmandas kvartalis kahjunõudeid 30,1 miljoni euro ulatuses. Nii nagu koguti kindlustusmakseid, esines ka nõudeid kõige enam investeerimisriskiga elukindlustuses, 16,2 miljoni euro väärtuses ehk 53,7% kõigist kahjunõuetest,</w:t>
      </w:r>
      <w:r w:rsidR="00C53355">
        <w:rPr>
          <w:szCs w:val="21"/>
        </w:rPr>
        <w:t xml:space="preserve"> </w:t>
      </w:r>
      <w:r w:rsidRPr="003356B9">
        <w:rPr>
          <w:szCs w:val="21"/>
        </w:rPr>
        <w:t>järgnesid kasumiosalusega tooted ja ravikulude kindlustus.</w:t>
      </w:r>
    </w:p>
    <w:p w:rsidR="003356B9" w:rsidRPr="003356B9" w:rsidRDefault="003356B9" w:rsidP="003356B9">
      <w:pPr>
        <w:spacing w:after="120" w:line="300" w:lineRule="auto"/>
        <w:rPr>
          <w:szCs w:val="21"/>
        </w:rPr>
      </w:pPr>
      <w:r w:rsidRPr="003356B9">
        <w:rPr>
          <w:szCs w:val="21"/>
        </w:rPr>
        <w:t xml:space="preserve">Elukindlustusseltside varade maht kolmandas kvartalis oluliselt ei muutunud, kasvades 3% ehk 1,2 miljardi euroni. Olulisi muutusi ei toimunud ka varade ja kohustuste struktuuris. </w:t>
      </w:r>
      <w:r w:rsidR="00C53355">
        <w:rPr>
          <w:szCs w:val="21"/>
        </w:rPr>
        <w:t>Jätkub</w:t>
      </w:r>
      <w:r w:rsidRPr="003356B9">
        <w:rPr>
          <w:szCs w:val="21"/>
        </w:rPr>
        <w:t xml:space="preserve"> suundumus, et IRE alusvara ja lepingutest tuleneva kohustuse osakaal on kasvav </w:t>
      </w:r>
      <w:r w:rsidRPr="003356B9">
        <w:rPr>
          <w:szCs w:val="21"/>
        </w:rPr>
        <w:lastRenderedPageBreak/>
        <w:t>ning muud eraldised vähenevad. IRE alusvara moodustab 56% kõigist kindlustusandjate varadest ning selle tehnilised eraldised 51% kindlustusandjate kõigist kohustustest.</w:t>
      </w:r>
    </w:p>
    <w:p w:rsidR="00C53355" w:rsidRDefault="003356B9" w:rsidP="003356B9">
      <w:pPr>
        <w:spacing w:after="120" w:line="300" w:lineRule="auto"/>
        <w:rPr>
          <w:szCs w:val="21"/>
        </w:rPr>
      </w:pPr>
      <w:r w:rsidRPr="003356B9">
        <w:rPr>
          <w:szCs w:val="21"/>
        </w:rPr>
        <w:t xml:space="preserve">Üheksa kuu kulude suhe netokindlustusmaksetesse oli kolmanda kvartali lõpus 16,2%. </w:t>
      </w:r>
    </w:p>
    <w:p w:rsidR="00C53355" w:rsidRDefault="003356B9" w:rsidP="003356B9">
      <w:pPr>
        <w:spacing w:after="120" w:line="300" w:lineRule="auto"/>
        <w:rPr>
          <w:szCs w:val="21"/>
        </w:rPr>
      </w:pPr>
      <w:r w:rsidRPr="003356B9">
        <w:rPr>
          <w:szCs w:val="21"/>
        </w:rPr>
        <w:t xml:space="preserve">Elukindlustusseltside </w:t>
      </w:r>
      <w:proofErr w:type="spellStart"/>
      <w:r w:rsidRPr="003356B9">
        <w:rPr>
          <w:szCs w:val="21"/>
        </w:rPr>
        <w:t>solventsus</w:t>
      </w:r>
      <w:proofErr w:type="spellEnd"/>
      <w:r w:rsidRPr="003356B9">
        <w:rPr>
          <w:szCs w:val="21"/>
        </w:rPr>
        <w:t xml:space="preserve">-kapitalinõude kaetus sobivate omavahenditega oli kolmandas kvartalis 195%. </w:t>
      </w:r>
    </w:p>
    <w:p w:rsidR="003356B9" w:rsidRPr="003356B9" w:rsidRDefault="003356B9" w:rsidP="003356B9">
      <w:pPr>
        <w:spacing w:after="120" w:line="300" w:lineRule="auto"/>
        <w:rPr>
          <w:szCs w:val="21"/>
        </w:rPr>
      </w:pPr>
      <w:r w:rsidRPr="003356B9">
        <w:rPr>
          <w:szCs w:val="21"/>
        </w:rPr>
        <w:t xml:space="preserve">Kapitalinõude kaetus on kasvanud peamiselt omavahendite kasvu tõttu, põhjuseks nii riskivaba intressikõvera kasv kui ka seltside kasumlik tegevus. </w:t>
      </w:r>
      <w:bookmarkStart w:id="2" w:name="_Toc507671956"/>
    </w:p>
    <w:p w:rsidR="003356B9" w:rsidRDefault="003356B9" w:rsidP="003356B9">
      <w:pPr>
        <w:pStyle w:val="Heading3"/>
        <w:spacing w:before="0" w:after="120" w:line="300" w:lineRule="auto"/>
        <w:rPr>
          <w:rFonts w:ascii="Publico Headline" w:hAnsi="Publico Headline"/>
          <w:sz w:val="24"/>
        </w:rPr>
      </w:pPr>
    </w:p>
    <w:p w:rsidR="003356B9" w:rsidRPr="003356B9" w:rsidRDefault="003356B9" w:rsidP="003356B9">
      <w:pPr>
        <w:pStyle w:val="Heading3"/>
        <w:spacing w:before="0" w:after="120" w:line="300" w:lineRule="auto"/>
        <w:rPr>
          <w:rFonts w:ascii="Publico Headline" w:hAnsi="Publico Headline"/>
          <w:sz w:val="24"/>
        </w:rPr>
      </w:pPr>
      <w:r w:rsidRPr="003356B9">
        <w:rPr>
          <w:rFonts w:ascii="Publico Headline" w:hAnsi="Publico Headline"/>
          <w:sz w:val="24"/>
        </w:rPr>
        <w:t>Peamised arengusuunad ja riskid</w:t>
      </w:r>
      <w:bookmarkEnd w:id="2"/>
    </w:p>
    <w:p w:rsidR="003356B9" w:rsidRPr="003356B9" w:rsidRDefault="003356B9" w:rsidP="003356B9">
      <w:pPr>
        <w:pStyle w:val="ListParagraph"/>
        <w:numPr>
          <w:ilvl w:val="0"/>
          <w:numId w:val="13"/>
        </w:numPr>
        <w:spacing w:after="120" w:line="300" w:lineRule="auto"/>
        <w:contextualSpacing w:val="0"/>
        <w:rPr>
          <w:color w:val="FF0000"/>
          <w:szCs w:val="21"/>
        </w:rPr>
      </w:pPr>
      <w:r w:rsidRPr="003356B9">
        <w:rPr>
          <w:szCs w:val="21"/>
        </w:rPr>
        <w:t xml:space="preserve">27. novembril 2017 jõudis lõpule Mandatum Life Insurance Baltic SE ühinemisprotsess oma emaettevõttega ning tegevust Balti riikides jätkatakse Soome emaettevõtte filiaalide kaudu. Eestis on nüüd registreeritud kolm kohalikku elukindlustusandjat senise nelja asemel, lisaks tegutseb siin veel kaks </w:t>
      </w:r>
      <w:proofErr w:type="spellStart"/>
      <w:r w:rsidRPr="003356B9">
        <w:rPr>
          <w:szCs w:val="21"/>
        </w:rPr>
        <w:t>välisfiliaali</w:t>
      </w:r>
      <w:proofErr w:type="spellEnd"/>
      <w:r w:rsidRPr="003356B9">
        <w:rPr>
          <w:szCs w:val="21"/>
        </w:rPr>
        <w:t xml:space="preserve">. </w:t>
      </w:r>
    </w:p>
    <w:p w:rsidR="00E4685B" w:rsidRPr="00E4685B" w:rsidRDefault="00E4685B" w:rsidP="00E4685B">
      <w:pPr>
        <w:pStyle w:val="ListParagraph"/>
        <w:numPr>
          <w:ilvl w:val="0"/>
          <w:numId w:val="13"/>
        </w:numPr>
        <w:spacing w:after="120" w:line="300" w:lineRule="auto"/>
        <w:contextualSpacing w:val="0"/>
        <w:rPr>
          <w:color w:val="FF0000"/>
          <w:szCs w:val="21"/>
        </w:rPr>
      </w:pPr>
      <w:r>
        <w:t>Intressikeskkond ei soosi jätkuvalt kindlustusandjaid, kellel on kindlustusvõtjate ees pikaajalised finantsgarantiiga kohustused. Madalas intressikeskkonnas on kindlustusandjatel keeruline teenida klientidele garanteeritud tootlust. Juhul, kui kindlustusandja ei suuda pikema perioodi jooksul klientidele garanteeritud tootlust teenida, võib see avaldada negatiivset mõju kindlustusseltsi kapitaliseeritusele. Lisaks võib kvaliteetsete kapitaliinstrumentide madal tootlus suunata omandama kõrgemat riski halvema kvaliteediga investeeringute näol</w:t>
      </w:r>
      <w:r>
        <w:t>.</w:t>
      </w:r>
    </w:p>
    <w:p w:rsidR="00A44487" w:rsidRPr="00E4685B" w:rsidRDefault="00E4685B" w:rsidP="00E4685B">
      <w:pPr>
        <w:pStyle w:val="ListParagraph"/>
        <w:numPr>
          <w:ilvl w:val="0"/>
          <w:numId w:val="13"/>
        </w:numPr>
        <w:spacing w:after="120" w:line="300" w:lineRule="auto"/>
        <w:contextualSpacing w:val="0"/>
        <w:rPr>
          <w:color w:val="FF0000"/>
          <w:szCs w:val="21"/>
        </w:rPr>
      </w:pPr>
      <w:bookmarkStart w:id="3" w:name="_GoBack"/>
      <w:bookmarkEnd w:id="3"/>
      <w:r>
        <w:t>Enim müüdavad kindlustustooted on jätkuvalt investeerimisriskiga elukindlustus ja kindlustusriskiga tooted.</w:t>
      </w:r>
    </w:p>
    <w:sectPr w:rsidR="00A44487" w:rsidRPr="00E4685B" w:rsidSect="003356B9">
      <w:headerReference w:type="default" r:id="rId10"/>
      <w:footerReference w:type="default" r:id="rId11"/>
      <w:headerReference w:type="first" r:id="rId12"/>
      <w:type w:val="continuous"/>
      <w:pgSz w:w="11906" w:h="16838" w:code="9"/>
      <w:pgMar w:top="851" w:right="851" w:bottom="851" w:left="1701"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DD" w:rsidRDefault="00551DDD" w:rsidP="00DD5C49">
      <w:r>
        <w:separator/>
      </w:r>
    </w:p>
    <w:p w:rsidR="00551DDD" w:rsidRDefault="00551DDD"/>
  </w:endnote>
  <w:endnote w:type="continuationSeparator" w:id="0">
    <w:p w:rsidR="00551DDD" w:rsidRDefault="00551DDD" w:rsidP="00DD5C49">
      <w:r>
        <w:continuationSeparator/>
      </w:r>
    </w:p>
    <w:p w:rsidR="00551DDD" w:rsidRDefault="00551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tlas Grotesk Light">
    <w:panose1 w:val="00000000000000000000"/>
    <w:charset w:val="00"/>
    <w:family w:val="modern"/>
    <w:notTrueType/>
    <w:pitch w:val="variable"/>
    <w:sig w:usb0="00000007" w:usb1="00000000" w:usb2="00000000" w:usb3="00000000" w:csb0="00000093" w:csb1="00000000"/>
  </w:font>
  <w:font w:name="Publico Light">
    <w:altName w:val="Arial"/>
    <w:panose1 w:val="00000000000000000000"/>
    <w:charset w:val="00"/>
    <w:family w:val="modern"/>
    <w:notTrueType/>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Publico Headline">
    <w:panose1 w:val="02040502060504060203"/>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32102"/>
      <w:docPartObj>
        <w:docPartGallery w:val="Page Numbers (Bottom of Page)"/>
        <w:docPartUnique/>
      </w:docPartObj>
    </w:sdtPr>
    <w:sdtEndPr/>
    <w:sdtContent>
      <w:sdt>
        <w:sdtPr>
          <w:id w:val="-1308784095"/>
          <w:docPartObj>
            <w:docPartGallery w:val="Page Numbers (Top of Page)"/>
            <w:docPartUnique/>
          </w:docPartObj>
        </w:sdtPr>
        <w:sdtEndPr/>
        <w:sdtContent>
          <w:p w:rsidR="00115410" w:rsidRDefault="00115410" w:rsidP="00447F54">
            <w:pPr>
              <w:pStyle w:val="Footer"/>
              <w:jc w:val="right"/>
            </w:pPr>
            <w:r>
              <w:rPr>
                <w:noProof/>
                <w:lang w:eastAsia="et-EE"/>
              </w:rPr>
              <w:drawing>
                <wp:anchor distT="180340" distB="0" distL="114300" distR="114300" simplePos="0" relativeHeight="251662336" behindDoc="0" locked="0" layoutInCell="1" allowOverlap="1" wp14:anchorId="2C7D0297" wp14:editId="52D914C6">
                  <wp:simplePos x="0" y="0"/>
                  <wp:positionH relativeFrom="column">
                    <wp:align>left</wp:align>
                  </wp:positionH>
                  <wp:positionV relativeFrom="page">
                    <wp:posOffset>10081260</wp:posOffset>
                  </wp:positionV>
                  <wp:extent cx="1077480" cy="122040"/>
                  <wp:effectExtent l="0" t="0" r="8890" b="0"/>
                  <wp:wrapNone/>
                  <wp:docPr id="4" name="Picture 4"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48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5F65">
              <w:rPr>
                <w:bCs/>
                <w:color w:val="500778"/>
                <w:sz w:val="14"/>
                <w:szCs w:val="14"/>
              </w:rPr>
              <w:fldChar w:fldCharType="begin"/>
            </w:r>
            <w:r w:rsidRPr="00FF5F65">
              <w:rPr>
                <w:bCs/>
                <w:color w:val="500778"/>
                <w:sz w:val="14"/>
                <w:szCs w:val="14"/>
              </w:rPr>
              <w:instrText xml:space="preserve"> PAGE </w:instrText>
            </w:r>
            <w:r w:rsidRPr="00FF5F65">
              <w:rPr>
                <w:bCs/>
                <w:color w:val="500778"/>
                <w:sz w:val="14"/>
                <w:szCs w:val="14"/>
              </w:rPr>
              <w:fldChar w:fldCharType="separate"/>
            </w:r>
            <w:r w:rsidR="00E4685B">
              <w:rPr>
                <w:bCs/>
                <w:noProof/>
                <w:color w:val="500778"/>
                <w:sz w:val="14"/>
                <w:szCs w:val="14"/>
              </w:rPr>
              <w:t>1</w:t>
            </w:r>
            <w:r w:rsidRPr="00FF5F65">
              <w:rPr>
                <w:bCs/>
                <w:color w:val="500778"/>
                <w:sz w:val="14"/>
                <w:szCs w:val="14"/>
              </w:rPr>
              <w:fldChar w:fldCharType="end"/>
            </w:r>
            <w:r w:rsidRPr="00FF5F65">
              <w:rPr>
                <w:color w:val="500778"/>
                <w:sz w:val="14"/>
                <w:szCs w:val="14"/>
              </w:rPr>
              <w:t xml:space="preserve"> / </w:t>
            </w:r>
            <w:r w:rsidRPr="00FF5F65">
              <w:rPr>
                <w:bCs/>
                <w:color w:val="500778"/>
                <w:sz w:val="14"/>
                <w:szCs w:val="14"/>
              </w:rPr>
              <w:fldChar w:fldCharType="begin"/>
            </w:r>
            <w:r w:rsidRPr="00FF5F65">
              <w:rPr>
                <w:bCs/>
                <w:color w:val="500778"/>
                <w:sz w:val="14"/>
                <w:szCs w:val="14"/>
              </w:rPr>
              <w:instrText xml:space="preserve"> NUMPAGES  </w:instrText>
            </w:r>
            <w:r w:rsidRPr="00FF5F65">
              <w:rPr>
                <w:bCs/>
                <w:color w:val="500778"/>
                <w:sz w:val="14"/>
                <w:szCs w:val="14"/>
              </w:rPr>
              <w:fldChar w:fldCharType="separate"/>
            </w:r>
            <w:r w:rsidR="00E4685B">
              <w:rPr>
                <w:bCs/>
                <w:noProof/>
                <w:color w:val="500778"/>
                <w:sz w:val="14"/>
                <w:szCs w:val="14"/>
              </w:rPr>
              <w:t>2</w:t>
            </w:r>
            <w:r w:rsidRPr="00FF5F65">
              <w:rPr>
                <w:bCs/>
                <w:color w:val="500778"/>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DD" w:rsidRPr="003010D2" w:rsidRDefault="00551DDD" w:rsidP="00DD5C49">
      <w:pPr>
        <w:rPr>
          <w:color w:val="500778"/>
        </w:rPr>
      </w:pPr>
      <w:r w:rsidRPr="003010D2">
        <w:rPr>
          <w:color w:val="500778"/>
        </w:rPr>
        <w:separator/>
      </w:r>
    </w:p>
    <w:p w:rsidR="00551DDD" w:rsidRDefault="00551DDD"/>
  </w:footnote>
  <w:footnote w:type="continuationSeparator" w:id="0">
    <w:p w:rsidR="00551DDD" w:rsidRDefault="00551DDD" w:rsidP="00DD5C49">
      <w:r>
        <w:continuationSeparator/>
      </w:r>
    </w:p>
    <w:p w:rsidR="00551DDD" w:rsidRDefault="00551DDD"/>
  </w:footnote>
  <w:footnote w:id="1">
    <w:p w:rsidR="003356B9" w:rsidRPr="008D5EF7" w:rsidRDefault="003356B9" w:rsidP="003356B9">
      <w:pPr>
        <w:pStyle w:val="FootnoteText"/>
        <w:rPr>
          <w:lang w:val="en-US"/>
        </w:rPr>
      </w:pPr>
      <w:r>
        <w:rPr>
          <w:rStyle w:val="FootnoteReference"/>
        </w:rPr>
        <w:footnoteRef/>
      </w:r>
      <w:r>
        <w:rPr>
          <w:sz w:val="16"/>
          <w:szCs w:val="16"/>
        </w:rPr>
        <w:t xml:space="preserve"> </w:t>
      </w:r>
      <w:r w:rsidRPr="001B5B35">
        <w:rPr>
          <w:sz w:val="16"/>
          <w:szCs w:val="16"/>
        </w:rPr>
        <w:t>Sektori kasum on arvutatud kindlustusseltside avalike aruannete, mitte Finantsinspektsiooni järelevalveliste aruannete põhjal.</w:t>
      </w:r>
      <w:r>
        <w:rPr>
          <w:sz w:val="16"/>
          <w:szCs w:val="16"/>
        </w:rPr>
        <w:t xml:space="preserve"> Tulenevalt ühe elukindlustusandja filiaalistumisest, ei kajastu andmetes tema kasumi suurust.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10" w:rsidRPr="0015129C" w:rsidRDefault="003356B9" w:rsidP="0015129C">
    <w:pPr>
      <w:pStyle w:val="Header"/>
    </w:pPr>
    <w:r>
      <w:rPr>
        <w:noProof/>
        <w:lang w:eastAsia="et-EE"/>
      </w:rPr>
      <w:drawing>
        <wp:anchor distT="0" distB="0" distL="114300" distR="114300" simplePos="0" relativeHeight="251664384" behindDoc="0" locked="0" layoutInCell="1" allowOverlap="1" wp14:anchorId="6E781688" wp14:editId="10053ECB">
          <wp:simplePos x="0" y="0"/>
          <wp:positionH relativeFrom="page">
            <wp:posOffset>1080135</wp:posOffset>
          </wp:positionH>
          <wp:positionV relativeFrom="page">
            <wp:posOffset>360045</wp:posOffset>
          </wp:positionV>
          <wp:extent cx="1077120" cy="122040"/>
          <wp:effectExtent l="0" t="0" r="0" b="0"/>
          <wp:wrapNone/>
          <wp:docPr id="6" name="Picture 6"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410" w:rsidRPr="00812B47" w:rsidRDefault="00115410" w:rsidP="004C0791">
    <w:pPr>
      <w:pStyle w:val="Header"/>
      <w:spacing w:after="1701"/>
    </w:pPr>
    <w:r w:rsidRPr="00812B47">
      <w:rPr>
        <w:noProof/>
        <w:lang w:eastAsia="et-EE"/>
      </w:rPr>
      <w:drawing>
        <wp:anchor distT="0" distB="0" distL="114300" distR="114300" simplePos="0" relativeHeight="251661312" behindDoc="0" locked="0" layoutInCell="1" allowOverlap="1">
          <wp:simplePos x="0" y="0"/>
          <wp:positionH relativeFrom="column">
            <wp:posOffset>4386</wp:posOffset>
          </wp:positionH>
          <wp:positionV relativeFrom="paragraph">
            <wp:posOffset>1875</wp:posOffset>
          </wp:positionV>
          <wp:extent cx="3959225" cy="603885"/>
          <wp:effectExtent l="0" t="0" r="3175" b="5715"/>
          <wp:wrapNone/>
          <wp:docPr id="5" name="Picture 5" descr="C:\Users\i7design\AppData\Local\Microsoft\Windows\INetCache\Content.Word\logo_top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i7design\AppData\Local\Microsoft\Windows\INetCache\Content.Word\logo_top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9225" cy="6038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A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F06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0D49FE"/>
    <w:multiLevelType w:val="hybridMultilevel"/>
    <w:tmpl w:val="426A6320"/>
    <w:lvl w:ilvl="0" w:tplc="36C8FB7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A456E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B7770"/>
    <w:multiLevelType w:val="hybridMultilevel"/>
    <w:tmpl w:val="9C0E53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E302F"/>
    <w:multiLevelType w:val="multilevel"/>
    <w:tmpl w:val="C248D3BA"/>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C5007"/>
    <w:multiLevelType w:val="hybridMultilevel"/>
    <w:tmpl w:val="0A82912C"/>
    <w:lvl w:ilvl="0" w:tplc="CA28E1D2">
      <w:numFmt w:val="bullet"/>
      <w:pStyle w:val="MainGrayBoxBulletlist"/>
      <w:lvlText w:val="•"/>
      <w:lvlJc w:val="left"/>
      <w:pPr>
        <w:ind w:left="3101" w:hanging="360"/>
      </w:pPr>
      <w:rPr>
        <w:rFonts w:ascii="Atlas Grotesk" w:eastAsiaTheme="minorHAnsi" w:hAnsi="Atlas Grotesk" w:cstheme="minorBidi" w:hint="default"/>
      </w:rPr>
    </w:lvl>
    <w:lvl w:ilvl="1" w:tplc="08090003" w:tentative="1">
      <w:start w:val="1"/>
      <w:numFmt w:val="bullet"/>
      <w:lvlText w:val="o"/>
      <w:lvlJc w:val="left"/>
      <w:pPr>
        <w:ind w:left="3821" w:hanging="360"/>
      </w:pPr>
      <w:rPr>
        <w:rFonts w:ascii="Courier New" w:hAnsi="Courier New" w:cs="Courier New" w:hint="default"/>
      </w:rPr>
    </w:lvl>
    <w:lvl w:ilvl="2" w:tplc="08090005" w:tentative="1">
      <w:start w:val="1"/>
      <w:numFmt w:val="bullet"/>
      <w:lvlText w:val=""/>
      <w:lvlJc w:val="left"/>
      <w:pPr>
        <w:ind w:left="4541" w:hanging="360"/>
      </w:pPr>
      <w:rPr>
        <w:rFonts w:ascii="Wingdings" w:hAnsi="Wingdings" w:hint="default"/>
      </w:rPr>
    </w:lvl>
    <w:lvl w:ilvl="3" w:tplc="08090001" w:tentative="1">
      <w:start w:val="1"/>
      <w:numFmt w:val="bullet"/>
      <w:lvlText w:val=""/>
      <w:lvlJc w:val="left"/>
      <w:pPr>
        <w:ind w:left="5261" w:hanging="360"/>
      </w:pPr>
      <w:rPr>
        <w:rFonts w:ascii="Symbol" w:hAnsi="Symbol" w:hint="default"/>
      </w:rPr>
    </w:lvl>
    <w:lvl w:ilvl="4" w:tplc="08090003" w:tentative="1">
      <w:start w:val="1"/>
      <w:numFmt w:val="bullet"/>
      <w:lvlText w:val="o"/>
      <w:lvlJc w:val="left"/>
      <w:pPr>
        <w:ind w:left="5981" w:hanging="360"/>
      </w:pPr>
      <w:rPr>
        <w:rFonts w:ascii="Courier New" w:hAnsi="Courier New" w:cs="Courier New" w:hint="default"/>
      </w:rPr>
    </w:lvl>
    <w:lvl w:ilvl="5" w:tplc="08090005" w:tentative="1">
      <w:start w:val="1"/>
      <w:numFmt w:val="bullet"/>
      <w:lvlText w:val=""/>
      <w:lvlJc w:val="left"/>
      <w:pPr>
        <w:ind w:left="6701" w:hanging="360"/>
      </w:pPr>
      <w:rPr>
        <w:rFonts w:ascii="Wingdings" w:hAnsi="Wingdings" w:hint="default"/>
      </w:rPr>
    </w:lvl>
    <w:lvl w:ilvl="6" w:tplc="08090001" w:tentative="1">
      <w:start w:val="1"/>
      <w:numFmt w:val="bullet"/>
      <w:lvlText w:val=""/>
      <w:lvlJc w:val="left"/>
      <w:pPr>
        <w:ind w:left="7421" w:hanging="360"/>
      </w:pPr>
      <w:rPr>
        <w:rFonts w:ascii="Symbol" w:hAnsi="Symbol" w:hint="default"/>
      </w:rPr>
    </w:lvl>
    <w:lvl w:ilvl="7" w:tplc="08090003" w:tentative="1">
      <w:start w:val="1"/>
      <w:numFmt w:val="bullet"/>
      <w:lvlText w:val="o"/>
      <w:lvlJc w:val="left"/>
      <w:pPr>
        <w:ind w:left="8141" w:hanging="360"/>
      </w:pPr>
      <w:rPr>
        <w:rFonts w:ascii="Courier New" w:hAnsi="Courier New" w:cs="Courier New" w:hint="default"/>
      </w:rPr>
    </w:lvl>
    <w:lvl w:ilvl="8" w:tplc="08090005" w:tentative="1">
      <w:start w:val="1"/>
      <w:numFmt w:val="bullet"/>
      <w:lvlText w:val=""/>
      <w:lvlJc w:val="left"/>
      <w:pPr>
        <w:ind w:left="8861" w:hanging="360"/>
      </w:pPr>
      <w:rPr>
        <w:rFonts w:ascii="Wingdings" w:hAnsi="Wingdings" w:hint="default"/>
      </w:rPr>
    </w:lvl>
  </w:abstractNum>
  <w:abstractNum w:abstractNumId="7" w15:restartNumberingAfterBreak="0">
    <w:nsid w:val="2DCF0B11"/>
    <w:multiLevelType w:val="hybridMultilevel"/>
    <w:tmpl w:val="5824C4F0"/>
    <w:lvl w:ilvl="0" w:tplc="8796F4F0">
      <w:numFmt w:val="bullet"/>
      <w:lvlText w:val="•"/>
      <w:lvlJc w:val="left"/>
      <w:pPr>
        <w:ind w:left="720" w:hanging="360"/>
      </w:pPr>
      <w:rPr>
        <w:rFonts w:ascii="Atlas Grotesk" w:eastAsiaTheme="minorHAnsi" w:hAnsi="Atlas Grotes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602B6"/>
    <w:multiLevelType w:val="hybridMultilevel"/>
    <w:tmpl w:val="121E880C"/>
    <w:lvl w:ilvl="0" w:tplc="B95A4A24">
      <w:start w:val="1"/>
      <w:numFmt w:val="bullet"/>
      <w:lvlText w:val=""/>
      <w:lvlJc w:val="left"/>
      <w:pPr>
        <w:ind w:left="2160" w:hanging="360"/>
      </w:pPr>
      <w:rPr>
        <w:rFonts w:ascii="Symbol" w:hAnsi="Symbol" w:hint="default"/>
        <w:color w:val="500778"/>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9" w15:restartNumberingAfterBreak="0">
    <w:nsid w:val="3C8C1699"/>
    <w:multiLevelType w:val="hybridMultilevel"/>
    <w:tmpl w:val="427C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32964"/>
    <w:multiLevelType w:val="hybridMultilevel"/>
    <w:tmpl w:val="3116A29C"/>
    <w:lvl w:ilvl="0" w:tplc="D1427E2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85A5F23"/>
    <w:multiLevelType w:val="hybridMultilevel"/>
    <w:tmpl w:val="638AFD80"/>
    <w:lvl w:ilvl="0" w:tplc="B95A4A24">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3657DF9"/>
    <w:multiLevelType w:val="hybridMultilevel"/>
    <w:tmpl w:val="36B890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4701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B6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C56625"/>
    <w:multiLevelType w:val="hybridMultilevel"/>
    <w:tmpl w:val="66A074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CF3F2D"/>
    <w:multiLevelType w:val="hybridMultilevel"/>
    <w:tmpl w:val="96CA322A"/>
    <w:lvl w:ilvl="0" w:tplc="D0F26D74">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59F16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452BE"/>
    <w:multiLevelType w:val="hybridMultilevel"/>
    <w:tmpl w:val="2AC41F88"/>
    <w:lvl w:ilvl="0" w:tplc="36C8FB7C">
      <w:start w:val="1"/>
      <w:numFmt w:val="bullet"/>
      <w:lvlText w:val=""/>
      <w:lvlJc w:val="left"/>
      <w:pPr>
        <w:ind w:left="720" w:hanging="360"/>
      </w:pPr>
      <w:rPr>
        <w:rFonts w:ascii="Symbol" w:hAnsi="Symbol" w:hint="default"/>
        <w:color w:val="5007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E5D1C"/>
    <w:multiLevelType w:val="hybridMultilevel"/>
    <w:tmpl w:val="27A2E3DE"/>
    <w:lvl w:ilvl="0" w:tplc="36C8FB7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4"/>
  </w:num>
  <w:num w:numId="4">
    <w:abstractNumId w:val="1"/>
  </w:num>
  <w:num w:numId="5">
    <w:abstractNumId w:val="3"/>
  </w:num>
  <w:num w:numId="6">
    <w:abstractNumId w:val="13"/>
  </w:num>
  <w:num w:numId="7">
    <w:abstractNumId w:val="0"/>
  </w:num>
  <w:num w:numId="8">
    <w:abstractNumId w:val="5"/>
  </w:num>
  <w:num w:numId="9">
    <w:abstractNumId w:val="9"/>
  </w:num>
  <w:num w:numId="10">
    <w:abstractNumId w:val="7"/>
  </w:num>
  <w:num w:numId="11">
    <w:abstractNumId w:val="6"/>
  </w:num>
  <w:num w:numId="12">
    <w:abstractNumId w:val="2"/>
  </w:num>
  <w:num w:numId="13">
    <w:abstractNumId w:val="18"/>
  </w:num>
  <w:num w:numId="14">
    <w:abstractNumId w:val="11"/>
  </w:num>
  <w:num w:numId="15">
    <w:abstractNumId w:val="8"/>
  </w:num>
  <w:num w:numId="16">
    <w:abstractNumId w:val="16"/>
  </w:num>
  <w:num w:numId="17">
    <w:abstractNumId w:val="10"/>
  </w:num>
  <w:num w:numId="18">
    <w:abstractNumId w:val="1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1B"/>
    <w:rsid w:val="000014CC"/>
    <w:rsid w:val="00005089"/>
    <w:rsid w:val="00005B3E"/>
    <w:rsid w:val="00011CD9"/>
    <w:rsid w:val="0002047D"/>
    <w:rsid w:val="00022657"/>
    <w:rsid w:val="000233CC"/>
    <w:rsid w:val="0003000E"/>
    <w:rsid w:val="0004478E"/>
    <w:rsid w:val="00045665"/>
    <w:rsid w:val="00087B78"/>
    <w:rsid w:val="0009671A"/>
    <w:rsid w:val="000A2680"/>
    <w:rsid w:val="000B1684"/>
    <w:rsid w:val="000C5091"/>
    <w:rsid w:val="000D165A"/>
    <w:rsid w:val="000D509E"/>
    <w:rsid w:val="000E201C"/>
    <w:rsid w:val="000E5BB8"/>
    <w:rsid w:val="000F162F"/>
    <w:rsid w:val="000F1AEF"/>
    <w:rsid w:val="000F4687"/>
    <w:rsid w:val="001127A8"/>
    <w:rsid w:val="00115410"/>
    <w:rsid w:val="00130577"/>
    <w:rsid w:val="00137C90"/>
    <w:rsid w:val="0015072C"/>
    <w:rsid w:val="0015129C"/>
    <w:rsid w:val="00154E93"/>
    <w:rsid w:val="00162479"/>
    <w:rsid w:val="00170A82"/>
    <w:rsid w:val="00176DDC"/>
    <w:rsid w:val="001A6DA7"/>
    <w:rsid w:val="001B287A"/>
    <w:rsid w:val="001B2D51"/>
    <w:rsid w:val="001B3A22"/>
    <w:rsid w:val="001C3BE9"/>
    <w:rsid w:val="001C4F14"/>
    <w:rsid w:val="001C579F"/>
    <w:rsid w:val="001D611A"/>
    <w:rsid w:val="001E1FBB"/>
    <w:rsid w:val="001F2E4C"/>
    <w:rsid w:val="00225666"/>
    <w:rsid w:val="002261FE"/>
    <w:rsid w:val="00226E54"/>
    <w:rsid w:val="00234BEA"/>
    <w:rsid w:val="00242638"/>
    <w:rsid w:val="002512AA"/>
    <w:rsid w:val="002626B6"/>
    <w:rsid w:val="00262828"/>
    <w:rsid w:val="00283690"/>
    <w:rsid w:val="00292CFF"/>
    <w:rsid w:val="002964EC"/>
    <w:rsid w:val="00297FB8"/>
    <w:rsid w:val="002A1DA1"/>
    <w:rsid w:val="002A3D01"/>
    <w:rsid w:val="002A69DF"/>
    <w:rsid w:val="002B4131"/>
    <w:rsid w:val="002C1614"/>
    <w:rsid w:val="002C70CC"/>
    <w:rsid w:val="002F58A1"/>
    <w:rsid w:val="002F6FF2"/>
    <w:rsid w:val="003010D2"/>
    <w:rsid w:val="0030173F"/>
    <w:rsid w:val="00314DD4"/>
    <w:rsid w:val="00331AA9"/>
    <w:rsid w:val="0033263C"/>
    <w:rsid w:val="003356B9"/>
    <w:rsid w:val="00341820"/>
    <w:rsid w:val="003459F8"/>
    <w:rsid w:val="003461FD"/>
    <w:rsid w:val="0035134A"/>
    <w:rsid w:val="00362712"/>
    <w:rsid w:val="00364603"/>
    <w:rsid w:val="00387A01"/>
    <w:rsid w:val="0039144F"/>
    <w:rsid w:val="00397BFB"/>
    <w:rsid w:val="003A472D"/>
    <w:rsid w:val="003B291D"/>
    <w:rsid w:val="003B3C64"/>
    <w:rsid w:val="003B47E0"/>
    <w:rsid w:val="003B5CD2"/>
    <w:rsid w:val="00416BE0"/>
    <w:rsid w:val="00434700"/>
    <w:rsid w:val="004355B6"/>
    <w:rsid w:val="00447F54"/>
    <w:rsid w:val="004500DE"/>
    <w:rsid w:val="004524AF"/>
    <w:rsid w:val="0046078E"/>
    <w:rsid w:val="00471A0B"/>
    <w:rsid w:val="00481144"/>
    <w:rsid w:val="00493E0D"/>
    <w:rsid w:val="00496240"/>
    <w:rsid w:val="004A348C"/>
    <w:rsid w:val="004B4C7B"/>
    <w:rsid w:val="004C0791"/>
    <w:rsid w:val="004D4037"/>
    <w:rsid w:val="004D6AE5"/>
    <w:rsid w:val="004E0AE8"/>
    <w:rsid w:val="004F71BC"/>
    <w:rsid w:val="0051065D"/>
    <w:rsid w:val="0051369B"/>
    <w:rsid w:val="00517E8A"/>
    <w:rsid w:val="005237D6"/>
    <w:rsid w:val="00525943"/>
    <w:rsid w:val="00536E25"/>
    <w:rsid w:val="0053770C"/>
    <w:rsid w:val="00550B68"/>
    <w:rsid w:val="00551DDD"/>
    <w:rsid w:val="00557346"/>
    <w:rsid w:val="00557490"/>
    <w:rsid w:val="0056613C"/>
    <w:rsid w:val="00567569"/>
    <w:rsid w:val="005701AD"/>
    <w:rsid w:val="00582086"/>
    <w:rsid w:val="00592E07"/>
    <w:rsid w:val="00593306"/>
    <w:rsid w:val="005B52FA"/>
    <w:rsid w:val="005B6467"/>
    <w:rsid w:val="005C36E5"/>
    <w:rsid w:val="005C52F5"/>
    <w:rsid w:val="005D0053"/>
    <w:rsid w:val="005E16E9"/>
    <w:rsid w:val="005F15E6"/>
    <w:rsid w:val="006058C9"/>
    <w:rsid w:val="0060724F"/>
    <w:rsid w:val="0061018B"/>
    <w:rsid w:val="00613B48"/>
    <w:rsid w:val="006316F9"/>
    <w:rsid w:val="006363B9"/>
    <w:rsid w:val="00642971"/>
    <w:rsid w:val="006446C5"/>
    <w:rsid w:val="006507FB"/>
    <w:rsid w:val="00653DE1"/>
    <w:rsid w:val="0065579B"/>
    <w:rsid w:val="006604D8"/>
    <w:rsid w:val="006633D8"/>
    <w:rsid w:val="006957FA"/>
    <w:rsid w:val="006965B2"/>
    <w:rsid w:val="006D46B2"/>
    <w:rsid w:val="006E2A08"/>
    <w:rsid w:val="006E2F49"/>
    <w:rsid w:val="006F3569"/>
    <w:rsid w:val="007046C1"/>
    <w:rsid w:val="00713047"/>
    <w:rsid w:val="007233F3"/>
    <w:rsid w:val="0073678A"/>
    <w:rsid w:val="00745F96"/>
    <w:rsid w:val="00750F9A"/>
    <w:rsid w:val="00783D8F"/>
    <w:rsid w:val="007B2875"/>
    <w:rsid w:val="007C1062"/>
    <w:rsid w:val="007C6630"/>
    <w:rsid w:val="007D75EC"/>
    <w:rsid w:val="007E1049"/>
    <w:rsid w:val="007E2D15"/>
    <w:rsid w:val="007F180D"/>
    <w:rsid w:val="007F4C07"/>
    <w:rsid w:val="00807BEE"/>
    <w:rsid w:val="00812B47"/>
    <w:rsid w:val="00813D65"/>
    <w:rsid w:val="00816748"/>
    <w:rsid w:val="008265FC"/>
    <w:rsid w:val="00841F41"/>
    <w:rsid w:val="008665F1"/>
    <w:rsid w:val="00870A54"/>
    <w:rsid w:val="00884656"/>
    <w:rsid w:val="008B0F2F"/>
    <w:rsid w:val="008C3007"/>
    <w:rsid w:val="008C4BEF"/>
    <w:rsid w:val="008E628E"/>
    <w:rsid w:val="008F1574"/>
    <w:rsid w:val="008F5088"/>
    <w:rsid w:val="009025C8"/>
    <w:rsid w:val="00911842"/>
    <w:rsid w:val="00913474"/>
    <w:rsid w:val="00933E8C"/>
    <w:rsid w:val="00952602"/>
    <w:rsid w:val="009555A2"/>
    <w:rsid w:val="009572EC"/>
    <w:rsid w:val="00957D9A"/>
    <w:rsid w:val="00965A95"/>
    <w:rsid w:val="00980D5E"/>
    <w:rsid w:val="00981C83"/>
    <w:rsid w:val="00987C41"/>
    <w:rsid w:val="009940B2"/>
    <w:rsid w:val="009B2F76"/>
    <w:rsid w:val="009C1BF2"/>
    <w:rsid w:val="009D0862"/>
    <w:rsid w:val="009F1363"/>
    <w:rsid w:val="009F1F98"/>
    <w:rsid w:val="00A02BF6"/>
    <w:rsid w:val="00A22AFE"/>
    <w:rsid w:val="00A40F77"/>
    <w:rsid w:val="00A44487"/>
    <w:rsid w:val="00A56945"/>
    <w:rsid w:val="00A7281F"/>
    <w:rsid w:val="00A75FB7"/>
    <w:rsid w:val="00A80BC0"/>
    <w:rsid w:val="00A92A27"/>
    <w:rsid w:val="00A92F74"/>
    <w:rsid w:val="00AB1162"/>
    <w:rsid w:val="00AB51FC"/>
    <w:rsid w:val="00AB5BD0"/>
    <w:rsid w:val="00AF787B"/>
    <w:rsid w:val="00B01374"/>
    <w:rsid w:val="00B21DBF"/>
    <w:rsid w:val="00B22B97"/>
    <w:rsid w:val="00B26FBD"/>
    <w:rsid w:val="00B44B2C"/>
    <w:rsid w:val="00B719EB"/>
    <w:rsid w:val="00B93C43"/>
    <w:rsid w:val="00B948E7"/>
    <w:rsid w:val="00BA0506"/>
    <w:rsid w:val="00BA5E1B"/>
    <w:rsid w:val="00BA6221"/>
    <w:rsid w:val="00BB06C2"/>
    <w:rsid w:val="00BB0C28"/>
    <w:rsid w:val="00BB5F40"/>
    <w:rsid w:val="00BB6F28"/>
    <w:rsid w:val="00BD771A"/>
    <w:rsid w:val="00BE215F"/>
    <w:rsid w:val="00BF161E"/>
    <w:rsid w:val="00C05214"/>
    <w:rsid w:val="00C12531"/>
    <w:rsid w:val="00C333FB"/>
    <w:rsid w:val="00C53355"/>
    <w:rsid w:val="00C77BE3"/>
    <w:rsid w:val="00C91757"/>
    <w:rsid w:val="00C933D2"/>
    <w:rsid w:val="00CB25D1"/>
    <w:rsid w:val="00CC72D6"/>
    <w:rsid w:val="00CC78A5"/>
    <w:rsid w:val="00CD1C6A"/>
    <w:rsid w:val="00CD22E1"/>
    <w:rsid w:val="00CD5EF7"/>
    <w:rsid w:val="00CE1C61"/>
    <w:rsid w:val="00CE3A53"/>
    <w:rsid w:val="00CF2305"/>
    <w:rsid w:val="00CF47D8"/>
    <w:rsid w:val="00D032CA"/>
    <w:rsid w:val="00D04BC3"/>
    <w:rsid w:val="00D158DA"/>
    <w:rsid w:val="00D206FA"/>
    <w:rsid w:val="00D22995"/>
    <w:rsid w:val="00D403BE"/>
    <w:rsid w:val="00D76AEC"/>
    <w:rsid w:val="00D8700D"/>
    <w:rsid w:val="00D94D26"/>
    <w:rsid w:val="00DA6829"/>
    <w:rsid w:val="00DC2B6D"/>
    <w:rsid w:val="00DD4A27"/>
    <w:rsid w:val="00DD5C49"/>
    <w:rsid w:val="00DD735D"/>
    <w:rsid w:val="00DE3816"/>
    <w:rsid w:val="00DF087F"/>
    <w:rsid w:val="00E10AA9"/>
    <w:rsid w:val="00E16041"/>
    <w:rsid w:val="00E2081C"/>
    <w:rsid w:val="00E23536"/>
    <w:rsid w:val="00E24CEF"/>
    <w:rsid w:val="00E345E9"/>
    <w:rsid w:val="00E45B16"/>
    <w:rsid w:val="00E4685B"/>
    <w:rsid w:val="00E54D00"/>
    <w:rsid w:val="00E64ED7"/>
    <w:rsid w:val="00E64EFE"/>
    <w:rsid w:val="00ED3A3C"/>
    <w:rsid w:val="00ED5BDF"/>
    <w:rsid w:val="00ED6F20"/>
    <w:rsid w:val="00F0345C"/>
    <w:rsid w:val="00F0483B"/>
    <w:rsid w:val="00F053CD"/>
    <w:rsid w:val="00F2586E"/>
    <w:rsid w:val="00F27AE5"/>
    <w:rsid w:val="00F3070F"/>
    <w:rsid w:val="00F41502"/>
    <w:rsid w:val="00F4316D"/>
    <w:rsid w:val="00F44EDC"/>
    <w:rsid w:val="00F456F0"/>
    <w:rsid w:val="00F50979"/>
    <w:rsid w:val="00F610D1"/>
    <w:rsid w:val="00F655A8"/>
    <w:rsid w:val="00F75AF0"/>
    <w:rsid w:val="00F822B0"/>
    <w:rsid w:val="00FA7D85"/>
    <w:rsid w:val="00FC29EA"/>
    <w:rsid w:val="00FD12AF"/>
    <w:rsid w:val="00FD1B44"/>
    <w:rsid w:val="00FD3A7E"/>
    <w:rsid w:val="00FE4FD9"/>
    <w:rsid w:val="00FE6308"/>
    <w:rsid w:val="00FF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D0712"/>
  <w15:chartTrackingRefBased/>
  <w15:docId w15:val="{AF7C9D03-F51B-40E9-9DE6-312DE436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_INFO"/>
    <w:qFormat/>
    <w:rsid w:val="00BB5F40"/>
    <w:pPr>
      <w:spacing w:after="240" w:line="240" w:lineRule="auto"/>
      <w:jc w:val="both"/>
    </w:pPr>
    <w:rPr>
      <w:sz w:val="21"/>
      <w:lang w:val="et-EE"/>
    </w:rPr>
  </w:style>
  <w:style w:type="paragraph" w:styleId="Heading1">
    <w:name w:val="heading 1"/>
    <w:basedOn w:val="Normal"/>
    <w:next w:val="Normal"/>
    <w:link w:val="Heading1Char"/>
    <w:uiPriority w:val="9"/>
    <w:qFormat/>
    <w:rsid w:val="00987C41"/>
    <w:pPr>
      <w:keepNext/>
      <w:keepLines/>
      <w:pageBreakBefore/>
      <w:spacing w:before="240" w:after="360"/>
      <w:outlineLvl w:val="0"/>
    </w:pPr>
    <w:rPr>
      <w:rFonts w:asciiTheme="majorHAnsi" w:eastAsiaTheme="majorEastAsia" w:hAnsiTheme="majorHAnsi" w:cstheme="majorBidi"/>
      <w:color w:val="500778"/>
      <w:sz w:val="30"/>
      <w:szCs w:val="32"/>
    </w:rPr>
  </w:style>
  <w:style w:type="paragraph" w:styleId="Heading2">
    <w:name w:val="heading 2"/>
    <w:basedOn w:val="Heading1"/>
    <w:next w:val="Normal"/>
    <w:link w:val="Heading2Char"/>
    <w:autoRedefine/>
    <w:uiPriority w:val="9"/>
    <w:unhideWhenUsed/>
    <w:qFormat/>
    <w:rsid w:val="00BB5F40"/>
    <w:pPr>
      <w:numPr>
        <w:ilvl w:val="1"/>
        <w:numId w:val="8"/>
      </w:numPr>
      <w:spacing w:before="360" w:after="240"/>
      <w:ind w:left="425" w:hanging="425"/>
      <w:outlineLvl w:val="1"/>
    </w:pPr>
    <w:rPr>
      <w:szCs w:val="26"/>
    </w:rPr>
  </w:style>
  <w:style w:type="paragraph" w:styleId="Heading3">
    <w:name w:val="heading 3"/>
    <w:basedOn w:val="Normal"/>
    <w:next w:val="Normal"/>
    <w:link w:val="Heading3Char"/>
    <w:uiPriority w:val="9"/>
    <w:unhideWhenUsed/>
    <w:qFormat/>
    <w:rsid w:val="006446C5"/>
    <w:pPr>
      <w:keepNext/>
      <w:keepLines/>
      <w:spacing w:before="360"/>
      <w:outlineLvl w:val="2"/>
    </w:pPr>
    <w:rPr>
      <w:rFonts w:asciiTheme="majorHAnsi" w:eastAsiaTheme="majorEastAsia" w:hAnsiTheme="majorHAnsi" w:cstheme="majorBidi"/>
      <w:color w:val="500778"/>
      <w:szCs w:val="24"/>
    </w:rPr>
  </w:style>
  <w:style w:type="paragraph" w:styleId="Heading4">
    <w:name w:val="heading 4"/>
    <w:basedOn w:val="Normal"/>
    <w:next w:val="Normal"/>
    <w:link w:val="Heading4Char"/>
    <w:uiPriority w:val="9"/>
    <w:unhideWhenUsed/>
    <w:qFormat/>
    <w:rsid w:val="00AB51FC"/>
    <w:pPr>
      <w:keepNext/>
      <w:keepLines/>
      <w:spacing w:before="40"/>
      <w:outlineLvl w:val="3"/>
    </w:pPr>
    <w:rPr>
      <w:rFonts w:asciiTheme="majorHAnsi" w:eastAsiaTheme="majorEastAsia" w:hAnsiTheme="majorHAnsi" w:cstheme="majorBidi"/>
      <w:i/>
      <w:iCs/>
      <w:color w:val="3B0559" w:themeColor="accent1" w:themeShade="BF"/>
    </w:rPr>
  </w:style>
  <w:style w:type="paragraph" w:styleId="Heading5">
    <w:name w:val="heading 5"/>
    <w:basedOn w:val="Normal"/>
    <w:next w:val="Normal"/>
    <w:link w:val="Heading5Char"/>
    <w:uiPriority w:val="9"/>
    <w:semiHidden/>
    <w:unhideWhenUsed/>
    <w:qFormat/>
    <w:rsid w:val="00AB51FC"/>
    <w:pPr>
      <w:keepNext/>
      <w:keepLines/>
      <w:spacing w:before="40" w:after="0"/>
      <w:outlineLvl w:val="4"/>
    </w:pPr>
    <w:rPr>
      <w:rFonts w:asciiTheme="majorHAnsi" w:eastAsiaTheme="majorEastAsia" w:hAnsiTheme="majorHAnsi" w:cstheme="majorBidi"/>
      <w:color w:val="3B0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4CC"/>
    <w:pPr>
      <w:tabs>
        <w:tab w:val="center" w:pos="4513"/>
        <w:tab w:val="right" w:pos="9026"/>
      </w:tabs>
    </w:pPr>
    <w:rPr>
      <w:sz w:val="17"/>
    </w:rPr>
  </w:style>
  <w:style w:type="character" w:customStyle="1" w:styleId="HeaderChar">
    <w:name w:val="Header Char"/>
    <w:basedOn w:val="DefaultParagraphFont"/>
    <w:link w:val="Header"/>
    <w:uiPriority w:val="99"/>
    <w:rsid w:val="000014CC"/>
    <w:rPr>
      <w:rFonts w:ascii="Atlas Grotesk Light" w:hAnsi="Atlas Grotesk Light"/>
      <w:sz w:val="17"/>
      <w:lang w:val="et-EE"/>
    </w:rPr>
  </w:style>
  <w:style w:type="paragraph" w:styleId="Footer">
    <w:name w:val="footer"/>
    <w:link w:val="FooterChar"/>
    <w:uiPriority w:val="99"/>
    <w:unhideWhenUsed/>
    <w:rsid w:val="00AB51FC"/>
    <w:pPr>
      <w:spacing w:before="300" w:after="0" w:line="240" w:lineRule="auto"/>
    </w:pPr>
    <w:rPr>
      <w:sz w:val="18"/>
      <w:lang w:val="et-EE"/>
    </w:rPr>
  </w:style>
  <w:style w:type="character" w:customStyle="1" w:styleId="FooterChar">
    <w:name w:val="Footer Char"/>
    <w:basedOn w:val="DefaultParagraphFont"/>
    <w:link w:val="Footer"/>
    <w:uiPriority w:val="99"/>
    <w:rsid w:val="00AB51FC"/>
    <w:rPr>
      <w:sz w:val="18"/>
      <w:lang w:val="et-EE"/>
    </w:rPr>
  </w:style>
  <w:style w:type="paragraph" w:customStyle="1" w:styleId="MainGrayboxParagraph">
    <w:name w:val="Main_Graybox_Paragraph"/>
    <w:link w:val="MainGrayboxParagraphChar"/>
    <w:qFormat/>
    <w:rsid w:val="00BB5F40"/>
    <w:pPr>
      <w:pBdr>
        <w:top w:val="single" w:sz="4" w:space="15" w:color="F6F6F6"/>
        <w:left w:val="single" w:sz="4" w:space="15" w:color="F6F6F6"/>
        <w:bottom w:val="single" w:sz="4" w:space="15" w:color="F6F6F6"/>
        <w:right w:val="single" w:sz="4" w:space="15" w:color="F6F6F6"/>
      </w:pBdr>
      <w:shd w:val="clear" w:color="auto" w:fill="F6F6F6"/>
      <w:spacing w:line="300" w:lineRule="auto"/>
      <w:ind w:left="284" w:right="284"/>
    </w:pPr>
    <w:rPr>
      <w:sz w:val="21"/>
      <w:lang w:val="et-EE"/>
    </w:rPr>
  </w:style>
  <w:style w:type="character" w:customStyle="1" w:styleId="Heading1Char">
    <w:name w:val="Heading 1 Char"/>
    <w:basedOn w:val="DefaultParagraphFont"/>
    <w:link w:val="Heading1"/>
    <w:uiPriority w:val="9"/>
    <w:rsid w:val="00987C41"/>
    <w:rPr>
      <w:rFonts w:asciiTheme="majorHAnsi" w:eastAsiaTheme="majorEastAsia" w:hAnsiTheme="majorHAnsi" w:cstheme="majorBidi"/>
      <w:color w:val="500778"/>
      <w:sz w:val="30"/>
      <w:szCs w:val="32"/>
      <w:lang w:val="et-EE"/>
    </w:rPr>
  </w:style>
  <w:style w:type="character" w:customStyle="1" w:styleId="Heading2Char">
    <w:name w:val="Heading 2 Char"/>
    <w:basedOn w:val="DefaultParagraphFont"/>
    <w:link w:val="Heading2"/>
    <w:uiPriority w:val="9"/>
    <w:rsid w:val="00BB5F40"/>
    <w:rPr>
      <w:rFonts w:asciiTheme="majorHAnsi" w:eastAsiaTheme="majorEastAsia" w:hAnsiTheme="majorHAnsi" w:cstheme="majorBidi"/>
      <w:color w:val="500778"/>
      <w:sz w:val="30"/>
      <w:szCs w:val="26"/>
      <w:lang w:val="et-EE"/>
    </w:rPr>
  </w:style>
  <w:style w:type="paragraph" w:styleId="Title">
    <w:name w:val="Title"/>
    <w:basedOn w:val="Normal"/>
    <w:next w:val="Default"/>
    <w:link w:val="TitleChar"/>
    <w:uiPriority w:val="10"/>
    <w:qFormat/>
    <w:rsid w:val="00BB5F40"/>
    <w:pPr>
      <w:ind w:left="2381"/>
      <w:contextualSpacing/>
    </w:pPr>
    <w:rPr>
      <w:rFonts w:asciiTheme="majorHAnsi" w:eastAsiaTheme="majorEastAsia" w:hAnsiTheme="majorHAnsi" w:cstheme="majorBidi"/>
      <w:color w:val="500778"/>
      <w:sz w:val="76"/>
      <w:szCs w:val="56"/>
    </w:rPr>
  </w:style>
  <w:style w:type="character" w:customStyle="1" w:styleId="TitleChar">
    <w:name w:val="Title Char"/>
    <w:basedOn w:val="DefaultParagraphFont"/>
    <w:link w:val="Title"/>
    <w:uiPriority w:val="10"/>
    <w:rsid w:val="00BB5F40"/>
    <w:rPr>
      <w:rFonts w:asciiTheme="majorHAnsi" w:eastAsiaTheme="majorEastAsia" w:hAnsiTheme="majorHAnsi" w:cstheme="majorBidi"/>
      <w:color w:val="500778"/>
      <w:sz w:val="76"/>
      <w:szCs w:val="56"/>
      <w:lang w:val="et-EE"/>
    </w:rPr>
  </w:style>
  <w:style w:type="paragraph" w:styleId="Subtitle">
    <w:name w:val="Subtitle"/>
    <w:basedOn w:val="Normal"/>
    <w:next w:val="Normal"/>
    <w:link w:val="SubtitleChar"/>
    <w:uiPriority w:val="11"/>
    <w:rsid w:val="00AB51FC"/>
    <w:pPr>
      <w:numPr>
        <w:ilvl w:val="1"/>
      </w:numPr>
      <w:spacing w:after="160"/>
      <w:ind w:left="2381"/>
    </w:pPr>
    <w:rPr>
      <w:rFonts w:eastAsiaTheme="minorEastAsia"/>
      <w:color w:val="500778" w:themeColor="accent6"/>
      <w:spacing w:val="15"/>
      <w:sz w:val="22"/>
    </w:rPr>
  </w:style>
  <w:style w:type="character" w:customStyle="1" w:styleId="SubtitleChar">
    <w:name w:val="Subtitle Char"/>
    <w:basedOn w:val="DefaultParagraphFont"/>
    <w:link w:val="Subtitle"/>
    <w:uiPriority w:val="11"/>
    <w:rsid w:val="00AB51FC"/>
    <w:rPr>
      <w:rFonts w:eastAsiaTheme="minorEastAsia"/>
      <w:color w:val="500778" w:themeColor="accent6"/>
      <w:spacing w:val="15"/>
      <w:lang w:val="et-EE"/>
    </w:rPr>
  </w:style>
  <w:style w:type="paragraph" w:customStyle="1" w:styleId="Default">
    <w:name w:val="Default"/>
    <w:rsid w:val="00BB5F40"/>
    <w:pPr>
      <w:autoSpaceDE w:val="0"/>
      <w:autoSpaceDN w:val="0"/>
      <w:adjustRightInd w:val="0"/>
      <w:spacing w:after="240" w:line="300" w:lineRule="auto"/>
    </w:pPr>
    <w:rPr>
      <w:rFonts w:cs="Publico Light"/>
      <w:color w:val="000000"/>
      <w:sz w:val="18"/>
      <w:szCs w:val="24"/>
    </w:rPr>
  </w:style>
  <w:style w:type="paragraph" w:customStyle="1" w:styleId="PageTitleTableOfContent">
    <w:name w:val="Page_Title_TableOfContent"/>
    <w:qFormat/>
    <w:rsid w:val="00AB51FC"/>
    <w:pPr>
      <w:pBdr>
        <w:bottom w:val="single" w:sz="4" w:space="8" w:color="auto"/>
      </w:pBdr>
      <w:spacing w:after="360" w:line="300" w:lineRule="auto"/>
    </w:pPr>
    <w:rPr>
      <w:rFonts w:asciiTheme="majorHAnsi" w:hAnsiTheme="majorHAnsi"/>
      <w:color w:val="5B027A"/>
      <w:sz w:val="30"/>
      <w:szCs w:val="30"/>
      <w:lang w:val="et-EE"/>
    </w:rPr>
  </w:style>
  <w:style w:type="paragraph" w:styleId="ListParagraph">
    <w:name w:val="List Paragraph"/>
    <w:basedOn w:val="Normal"/>
    <w:link w:val="ListParagraphChar"/>
    <w:uiPriority w:val="34"/>
    <w:qFormat/>
    <w:rsid w:val="002964EC"/>
    <w:pPr>
      <w:ind w:left="720"/>
      <w:contextualSpacing/>
    </w:pPr>
  </w:style>
  <w:style w:type="paragraph" w:styleId="TOC1">
    <w:name w:val="toc 1"/>
    <w:basedOn w:val="Normal"/>
    <w:next w:val="Default"/>
    <w:link w:val="TOC1Char"/>
    <w:autoRedefine/>
    <w:uiPriority w:val="39"/>
    <w:unhideWhenUsed/>
    <w:rsid w:val="00BB5F40"/>
    <w:pPr>
      <w:tabs>
        <w:tab w:val="left" w:pos="284"/>
        <w:tab w:val="right" w:pos="9344"/>
      </w:tabs>
      <w:spacing w:after="360"/>
    </w:pPr>
    <w:rPr>
      <w:rFonts w:asciiTheme="majorHAnsi" w:hAnsiTheme="majorHAnsi"/>
      <w:color w:val="500778"/>
      <w:sz w:val="30"/>
    </w:rPr>
  </w:style>
  <w:style w:type="character" w:styleId="Hyperlink">
    <w:name w:val="Hyperlink"/>
    <w:basedOn w:val="DefaultParagraphFont"/>
    <w:uiPriority w:val="99"/>
    <w:unhideWhenUsed/>
    <w:rsid w:val="002964EC"/>
    <w:rPr>
      <w:color w:val="500778" w:themeColor="hyperlink"/>
      <w:u w:val="single"/>
    </w:rPr>
  </w:style>
  <w:style w:type="character" w:customStyle="1" w:styleId="TOC1Char">
    <w:name w:val="TOC 1 Char"/>
    <w:basedOn w:val="DefaultParagraphFont"/>
    <w:link w:val="TOC1"/>
    <w:uiPriority w:val="39"/>
    <w:rsid w:val="00BB5F40"/>
    <w:rPr>
      <w:rFonts w:asciiTheme="majorHAnsi" w:hAnsiTheme="majorHAnsi"/>
      <w:color w:val="500778"/>
      <w:sz w:val="30"/>
      <w:lang w:val="et-EE"/>
    </w:rPr>
  </w:style>
  <w:style w:type="paragraph" w:styleId="TOCHeading">
    <w:name w:val="TOC Heading"/>
    <w:basedOn w:val="Heading1"/>
    <w:next w:val="Normal"/>
    <w:uiPriority w:val="39"/>
    <w:unhideWhenUsed/>
    <w:qFormat/>
    <w:rsid w:val="00AB51FC"/>
    <w:pPr>
      <w:spacing w:line="259" w:lineRule="auto"/>
      <w:outlineLvl w:val="9"/>
    </w:pPr>
    <w:rPr>
      <w:color w:val="3B0559" w:themeColor="accent1" w:themeShade="BF"/>
      <w:sz w:val="32"/>
      <w:lang w:val="en-US"/>
    </w:rPr>
  </w:style>
  <w:style w:type="paragraph" w:styleId="TOC3">
    <w:name w:val="toc 3"/>
    <w:basedOn w:val="Normal"/>
    <w:next w:val="Normal"/>
    <w:autoRedefine/>
    <w:uiPriority w:val="39"/>
    <w:unhideWhenUsed/>
    <w:rsid w:val="00AB51FC"/>
    <w:pPr>
      <w:spacing w:after="100" w:line="259" w:lineRule="auto"/>
      <w:ind w:left="440"/>
    </w:pPr>
    <w:rPr>
      <w:rFonts w:asciiTheme="majorHAnsi" w:eastAsiaTheme="minorEastAsia" w:hAnsiTheme="majorHAnsi" w:cs="Times New Roman"/>
      <w:sz w:val="22"/>
      <w:lang w:val="en-US"/>
    </w:rPr>
  </w:style>
  <w:style w:type="paragraph" w:styleId="TOC2">
    <w:name w:val="toc 2"/>
    <w:basedOn w:val="Normal"/>
    <w:next w:val="Normal"/>
    <w:autoRedefine/>
    <w:uiPriority w:val="39"/>
    <w:unhideWhenUsed/>
    <w:rsid w:val="00BB5F40"/>
    <w:pPr>
      <w:tabs>
        <w:tab w:val="left" w:pos="993"/>
        <w:tab w:val="right" w:pos="9344"/>
      </w:tabs>
      <w:spacing w:after="360"/>
      <w:ind w:left="426"/>
      <w:contextualSpacing/>
    </w:pPr>
    <w:rPr>
      <w:rFonts w:asciiTheme="majorHAnsi" w:hAnsiTheme="majorHAnsi"/>
      <w:color w:val="500778"/>
      <w:sz w:val="30"/>
    </w:rPr>
  </w:style>
  <w:style w:type="paragraph" w:customStyle="1" w:styleId="MainGrayBoxBulletlist">
    <w:name w:val="Main_GrayBox_Bulletlist"/>
    <w:basedOn w:val="ListParagraph"/>
    <w:link w:val="MainGrayBoxBulletlistChar"/>
    <w:qFormat/>
    <w:rsid w:val="00BB5F40"/>
    <w:pPr>
      <w:numPr>
        <w:numId w:val="11"/>
      </w:numPr>
      <w:pBdr>
        <w:top w:val="single" w:sz="2" w:space="15" w:color="F6F6F6"/>
        <w:left w:val="single" w:sz="2" w:space="15" w:color="F6F6F6"/>
        <w:bottom w:val="single" w:sz="2" w:space="15" w:color="F6F6F6"/>
        <w:right w:val="single" w:sz="2" w:space="15" w:color="F6F6F6"/>
      </w:pBdr>
      <w:shd w:val="clear" w:color="auto" w:fill="F6F6F6"/>
      <w:ind w:left="641" w:right="284" w:hanging="357"/>
    </w:pPr>
  </w:style>
  <w:style w:type="character" w:customStyle="1" w:styleId="Heading3Char">
    <w:name w:val="Heading 3 Char"/>
    <w:basedOn w:val="DefaultParagraphFont"/>
    <w:link w:val="Heading3"/>
    <w:uiPriority w:val="9"/>
    <w:rsid w:val="006446C5"/>
    <w:rPr>
      <w:rFonts w:asciiTheme="majorHAnsi" w:eastAsiaTheme="majorEastAsia" w:hAnsiTheme="majorHAnsi" w:cstheme="majorBidi"/>
      <w:color w:val="500778"/>
      <w:sz w:val="21"/>
      <w:szCs w:val="24"/>
      <w:lang w:val="et-EE"/>
    </w:rPr>
  </w:style>
  <w:style w:type="character" w:customStyle="1" w:styleId="ListParagraphChar">
    <w:name w:val="List Paragraph Char"/>
    <w:basedOn w:val="DefaultParagraphFont"/>
    <w:link w:val="ListParagraph"/>
    <w:uiPriority w:val="34"/>
    <w:rsid w:val="00F0345C"/>
    <w:rPr>
      <w:rFonts w:ascii="Atlas Grotesk" w:hAnsi="Atlas Grotesk"/>
      <w:sz w:val="17"/>
      <w:lang w:val="et-EE"/>
    </w:rPr>
  </w:style>
  <w:style w:type="character" w:customStyle="1" w:styleId="MainGrayBoxBulletlistChar">
    <w:name w:val="Main_GrayBox_Bulletlist Char"/>
    <w:basedOn w:val="ListParagraphChar"/>
    <w:link w:val="MainGrayBoxBulletlist"/>
    <w:rsid w:val="00BB5F40"/>
    <w:rPr>
      <w:rFonts w:ascii="Atlas Grotesk" w:hAnsi="Atlas Grotesk"/>
      <w:sz w:val="21"/>
      <w:shd w:val="clear" w:color="auto" w:fill="F6F6F6"/>
      <w:lang w:val="et-EE"/>
    </w:rPr>
  </w:style>
  <w:style w:type="character" w:styleId="SubtleReference">
    <w:name w:val="Subtle Reference"/>
    <w:basedOn w:val="DefaultParagraphFont"/>
    <w:uiPriority w:val="31"/>
    <w:qFormat/>
    <w:rsid w:val="00262828"/>
    <w:rPr>
      <w:smallCaps/>
      <w:color w:val="500778" w:themeColor="accent6"/>
    </w:rPr>
  </w:style>
  <w:style w:type="character" w:styleId="IntenseReference">
    <w:name w:val="Intense Reference"/>
    <w:basedOn w:val="DefaultParagraphFont"/>
    <w:uiPriority w:val="32"/>
    <w:qFormat/>
    <w:rsid w:val="00D22995"/>
    <w:rPr>
      <w:b/>
      <w:bCs/>
      <w:smallCaps/>
      <w:color w:val="500778" w:themeColor="accent1"/>
      <w:spacing w:val="5"/>
    </w:rPr>
  </w:style>
  <w:style w:type="paragraph" w:styleId="NoSpacing">
    <w:name w:val="No Spacing"/>
    <w:uiPriority w:val="1"/>
    <w:rsid w:val="00BB5F40"/>
    <w:pPr>
      <w:spacing w:after="0" w:line="240" w:lineRule="auto"/>
    </w:pPr>
    <w:rPr>
      <w:sz w:val="21"/>
      <w:lang w:val="et-EE"/>
    </w:rPr>
  </w:style>
  <w:style w:type="character" w:customStyle="1" w:styleId="MainGrayboxParagraphChar">
    <w:name w:val="Main_Graybox_Paragraph Char"/>
    <w:basedOn w:val="DefaultParagraphFont"/>
    <w:link w:val="MainGrayboxParagraph"/>
    <w:rsid w:val="00BB5F40"/>
    <w:rPr>
      <w:sz w:val="21"/>
      <w:shd w:val="clear" w:color="auto" w:fill="F6F6F6"/>
      <w:lang w:val="et-EE"/>
    </w:rPr>
  </w:style>
  <w:style w:type="paragraph" w:styleId="Quote">
    <w:name w:val="Quote"/>
    <w:basedOn w:val="Normal"/>
    <w:next w:val="Normal"/>
    <w:link w:val="QuoteChar"/>
    <w:uiPriority w:val="29"/>
    <w:rsid w:val="00262828"/>
    <w:pPr>
      <w:spacing w:before="200" w:after="160"/>
      <w:ind w:left="864" w:right="864"/>
      <w:jc w:val="center"/>
    </w:pPr>
    <w:rPr>
      <w:i/>
      <w:iCs/>
      <w:color w:val="500778" w:themeColor="accent6"/>
    </w:rPr>
  </w:style>
  <w:style w:type="character" w:customStyle="1" w:styleId="QuoteChar">
    <w:name w:val="Quote Char"/>
    <w:basedOn w:val="DefaultParagraphFont"/>
    <w:link w:val="Quote"/>
    <w:uiPriority w:val="29"/>
    <w:rsid w:val="00262828"/>
    <w:rPr>
      <w:rFonts w:ascii="Atlas Grotesk Light" w:hAnsi="Atlas Grotesk Light"/>
      <w:i/>
      <w:iCs/>
      <w:color w:val="500778" w:themeColor="accent6"/>
      <w:sz w:val="18"/>
      <w:lang w:val="et-EE"/>
    </w:rPr>
  </w:style>
  <w:style w:type="character" w:styleId="Strong">
    <w:name w:val="Strong"/>
    <w:basedOn w:val="DefaultParagraphFont"/>
    <w:uiPriority w:val="22"/>
    <w:qFormat/>
    <w:rsid w:val="00D22995"/>
    <w:rPr>
      <w:b/>
      <w:bCs/>
    </w:rPr>
  </w:style>
  <w:style w:type="character" w:styleId="IntenseEmphasis">
    <w:name w:val="Intense Emphasis"/>
    <w:basedOn w:val="DefaultParagraphFont"/>
    <w:uiPriority w:val="21"/>
    <w:qFormat/>
    <w:rsid w:val="00D22995"/>
    <w:rPr>
      <w:i/>
      <w:iCs/>
      <w:color w:val="500778" w:themeColor="accent1"/>
    </w:rPr>
  </w:style>
  <w:style w:type="character" w:styleId="Emphasis">
    <w:name w:val="Emphasis"/>
    <w:basedOn w:val="DefaultParagraphFont"/>
    <w:uiPriority w:val="20"/>
    <w:qFormat/>
    <w:rsid w:val="00D22995"/>
    <w:rPr>
      <w:i/>
      <w:iCs/>
    </w:rPr>
  </w:style>
  <w:style w:type="character" w:styleId="SubtleEmphasis">
    <w:name w:val="Subtle Emphasis"/>
    <w:basedOn w:val="DefaultParagraphFont"/>
    <w:uiPriority w:val="19"/>
    <w:qFormat/>
    <w:rsid w:val="00262828"/>
    <w:rPr>
      <w:i/>
      <w:iCs/>
      <w:color w:val="500778" w:themeColor="accent6"/>
    </w:rPr>
  </w:style>
  <w:style w:type="character" w:customStyle="1" w:styleId="Heading4Char">
    <w:name w:val="Heading 4 Char"/>
    <w:basedOn w:val="DefaultParagraphFont"/>
    <w:link w:val="Heading4"/>
    <w:uiPriority w:val="9"/>
    <w:rsid w:val="00AB51FC"/>
    <w:rPr>
      <w:rFonts w:asciiTheme="majorHAnsi" w:eastAsiaTheme="majorEastAsia" w:hAnsiTheme="majorHAnsi" w:cstheme="majorBidi"/>
      <w:i/>
      <w:iCs/>
      <w:color w:val="3B0559" w:themeColor="accent1" w:themeShade="BF"/>
      <w:sz w:val="21"/>
      <w:lang w:val="et-EE"/>
    </w:rPr>
  </w:style>
  <w:style w:type="paragraph" w:customStyle="1" w:styleId="Image">
    <w:name w:val="Image"/>
    <w:link w:val="ImageChar"/>
    <w:qFormat/>
    <w:rsid w:val="00AB51FC"/>
    <w:rPr>
      <w:rFonts w:cs="Publico Light"/>
      <w:color w:val="000000"/>
      <w:sz w:val="21"/>
      <w:szCs w:val="24"/>
    </w:rPr>
  </w:style>
  <w:style w:type="paragraph" w:customStyle="1" w:styleId="MainFootnote">
    <w:name w:val="Main_Footnote"/>
    <w:basedOn w:val="Normal"/>
    <w:link w:val="MainFootnoteChar"/>
    <w:qFormat/>
    <w:rsid w:val="00AB51FC"/>
    <w:rPr>
      <w:sz w:val="18"/>
    </w:rPr>
  </w:style>
  <w:style w:type="paragraph" w:styleId="FootnoteText">
    <w:name w:val="footnote text"/>
    <w:basedOn w:val="Normal"/>
    <w:link w:val="FootnoteTextChar"/>
    <w:uiPriority w:val="99"/>
    <w:semiHidden/>
    <w:unhideWhenUsed/>
    <w:rsid w:val="003010D2"/>
    <w:rPr>
      <w:sz w:val="20"/>
      <w:szCs w:val="20"/>
    </w:rPr>
  </w:style>
  <w:style w:type="character" w:customStyle="1" w:styleId="MainFootnoteChar">
    <w:name w:val="Main_Footnote Char"/>
    <w:basedOn w:val="DefaultParagraphFont"/>
    <w:link w:val="MainFootnote"/>
    <w:rsid w:val="00AB51FC"/>
    <w:rPr>
      <w:sz w:val="18"/>
      <w:lang w:val="et-EE"/>
    </w:rPr>
  </w:style>
  <w:style w:type="character" w:customStyle="1" w:styleId="FootnoteTextChar">
    <w:name w:val="Footnote Text Char"/>
    <w:basedOn w:val="DefaultParagraphFont"/>
    <w:link w:val="FootnoteText"/>
    <w:uiPriority w:val="99"/>
    <w:semiHidden/>
    <w:rsid w:val="003010D2"/>
    <w:rPr>
      <w:rFonts w:ascii="Atlas Grotesk" w:hAnsi="Atlas Grotesk"/>
      <w:sz w:val="20"/>
      <w:szCs w:val="20"/>
      <w:lang w:val="et-EE"/>
    </w:rPr>
  </w:style>
  <w:style w:type="character" w:styleId="FootnoteReference">
    <w:name w:val="footnote reference"/>
    <w:basedOn w:val="DefaultParagraphFont"/>
    <w:uiPriority w:val="99"/>
    <w:semiHidden/>
    <w:unhideWhenUsed/>
    <w:rsid w:val="003010D2"/>
    <w:rPr>
      <w:vertAlign w:val="superscript"/>
    </w:rPr>
  </w:style>
  <w:style w:type="character" w:customStyle="1" w:styleId="ImageChar">
    <w:name w:val="Image Char"/>
    <w:basedOn w:val="DefaultParagraphFont"/>
    <w:link w:val="Image"/>
    <w:rsid w:val="00AB51FC"/>
    <w:rPr>
      <w:rFonts w:cs="Publico Light"/>
      <w:color w:val="000000"/>
      <w:sz w:val="21"/>
      <w:szCs w:val="24"/>
    </w:rPr>
  </w:style>
  <w:style w:type="paragraph" w:customStyle="1" w:styleId="ChartTitleFull">
    <w:name w:val="Chart_Title_Full"/>
    <w:basedOn w:val="Normal"/>
    <w:link w:val="ChartTitleFullChar"/>
    <w:qFormat/>
    <w:rsid w:val="00AB51FC"/>
    <w:pPr>
      <w:pBdr>
        <w:bottom w:val="single" w:sz="4" w:space="5" w:color="5B027A"/>
      </w:pBdr>
      <w:spacing w:after="360"/>
    </w:pPr>
    <w:rPr>
      <w:color w:val="5B027A"/>
      <w:sz w:val="16"/>
    </w:rPr>
  </w:style>
  <w:style w:type="paragraph" w:customStyle="1" w:styleId="ChartTitleRight">
    <w:name w:val="Chart_Title_Right"/>
    <w:basedOn w:val="ChartTitleFull"/>
    <w:link w:val="ChartTitleRightChar"/>
    <w:qFormat/>
    <w:rsid w:val="00BB5F40"/>
  </w:style>
  <w:style w:type="character" w:customStyle="1" w:styleId="ChartTitleFullChar">
    <w:name w:val="Chart_Title_Full Char"/>
    <w:basedOn w:val="DefaultParagraphFont"/>
    <w:link w:val="ChartTitleFull"/>
    <w:rsid w:val="00AB51FC"/>
    <w:rPr>
      <w:color w:val="5B027A"/>
      <w:sz w:val="16"/>
      <w:lang w:val="et-EE"/>
    </w:rPr>
  </w:style>
  <w:style w:type="character" w:customStyle="1" w:styleId="ChartTitleRightChar">
    <w:name w:val="Chart_Title_Right Char"/>
    <w:basedOn w:val="ChartTitleFullChar"/>
    <w:link w:val="ChartTitleRight"/>
    <w:rsid w:val="00BB5F40"/>
    <w:rPr>
      <w:color w:val="5B027A"/>
      <w:sz w:val="16"/>
      <w:lang w:val="et-EE"/>
    </w:rPr>
  </w:style>
  <w:style w:type="character" w:customStyle="1" w:styleId="Heading5Char">
    <w:name w:val="Heading 5 Char"/>
    <w:basedOn w:val="DefaultParagraphFont"/>
    <w:link w:val="Heading5"/>
    <w:uiPriority w:val="9"/>
    <w:semiHidden/>
    <w:rsid w:val="00AB51FC"/>
    <w:rPr>
      <w:rFonts w:asciiTheme="majorHAnsi" w:eastAsiaTheme="majorEastAsia" w:hAnsiTheme="majorHAnsi" w:cstheme="majorBidi"/>
      <w:color w:val="3B0559" w:themeColor="accent1" w:themeShade="BF"/>
      <w:sz w:val="21"/>
      <w:lang w:val="et-EE"/>
    </w:rPr>
  </w:style>
  <w:style w:type="paragraph" w:customStyle="1" w:styleId="MainText">
    <w:name w:val="Main_Text"/>
    <w:basedOn w:val="Normal"/>
    <w:link w:val="MainTextChar"/>
    <w:qFormat/>
    <w:rsid w:val="00DD4A27"/>
    <w:pPr>
      <w:spacing w:line="300" w:lineRule="auto"/>
      <w:jc w:val="left"/>
    </w:pPr>
    <w:rPr>
      <w:sz w:val="20"/>
    </w:rPr>
  </w:style>
  <w:style w:type="character" w:customStyle="1" w:styleId="MainTextChar">
    <w:name w:val="Main_Text Char"/>
    <w:basedOn w:val="DefaultParagraphFont"/>
    <w:link w:val="MainText"/>
    <w:rsid w:val="00DD4A27"/>
    <w:rPr>
      <w:sz w:val="20"/>
      <w:lang w:val="et-EE"/>
    </w:rPr>
  </w:style>
  <w:style w:type="table" w:styleId="TableGrid">
    <w:name w:val="Table Grid"/>
    <w:basedOn w:val="TableNormal"/>
    <w:uiPriority w:val="39"/>
    <w:rsid w:val="008F5088"/>
    <w:pPr>
      <w:spacing w:before="60" w:after="6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D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DE1"/>
    <w:rPr>
      <w:rFonts w:ascii="Segoe UI"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ebov\Documents\Custom%20Office%20Templates\FI%20mallid\Raport_Long.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accent1"/>
                </a:solidFill>
                <a:latin typeface="+mn-lt"/>
                <a:ea typeface="+mn-ea"/>
                <a:cs typeface="Calibri" panose="020F0502020204030204" pitchFamily="34" charset="0"/>
              </a:defRPr>
            </a:pPr>
            <a:r>
              <a:rPr lang="et-EE" sz="1100">
                <a:solidFill>
                  <a:schemeClr val="accent1"/>
                </a:solidFill>
                <a:latin typeface="+mn-lt"/>
                <a:cs typeface="Calibri" panose="020F0502020204030204" pitchFamily="34" charset="0"/>
              </a:rPr>
              <a:t>Jooksva</a:t>
            </a:r>
            <a:r>
              <a:rPr lang="et-EE" sz="1100" baseline="0">
                <a:solidFill>
                  <a:schemeClr val="accent1"/>
                </a:solidFill>
                <a:latin typeface="+mn-lt"/>
                <a:cs typeface="Calibri" panose="020F0502020204030204" pitchFamily="34" charset="0"/>
              </a:rPr>
              <a:t> aasta kindlustusmaksed ja nõuded, 2017</a:t>
            </a:r>
            <a:endParaRPr lang="en-US" sz="1100">
              <a:solidFill>
                <a:schemeClr val="accent1"/>
              </a:solidFill>
              <a:latin typeface="+mn-lt"/>
              <a:cs typeface="Calibri" panose="020F0502020204030204" pitchFamily="34" charset="0"/>
            </a:endParaRPr>
          </a:p>
        </c:rich>
      </c:tx>
      <c:layout>
        <c:manualLayout>
          <c:xMode val="edge"/>
          <c:yMode val="edge"/>
          <c:x val="0.17820897591583248"/>
          <c:y val="4.0947940749879565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accent1"/>
              </a:solidFill>
              <a:latin typeface="+mn-lt"/>
              <a:ea typeface="+mn-ea"/>
              <a:cs typeface="Calibri" panose="020F0502020204030204" pitchFamily="34" charset="0"/>
            </a:defRPr>
          </a:pPr>
          <a:endParaRPr lang="et-EE"/>
        </a:p>
      </c:txPr>
    </c:title>
    <c:autoTitleDeleted val="0"/>
    <c:plotArea>
      <c:layout>
        <c:manualLayout>
          <c:layoutTarget val="inner"/>
          <c:xMode val="edge"/>
          <c:yMode val="edge"/>
          <c:x val="0.42141193042026298"/>
          <c:y val="0.15180925925925925"/>
          <c:w val="0.82476347477396028"/>
          <c:h val="0.57031784105653027"/>
        </c:manualLayout>
      </c:layout>
      <c:barChart>
        <c:barDir val="bar"/>
        <c:grouping val="clustered"/>
        <c:varyColors val="0"/>
        <c:ser>
          <c:idx val="0"/>
          <c:order val="0"/>
          <c:tx>
            <c:strRef>
              <c:f>'[20180122_elukindlustus_III kvartal_joonised.xlsm]Abitabel'!$B$14</c:f>
              <c:strCache>
                <c:ptCount val="1"/>
                <c:pt idx="0">
                  <c:v>Kindlustusmaksed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'[20180122_elukindlustus_III kvartal_joonised.xlsm]Turugraafikud'!$L$103:$L$108</c:f>
              <c:strCache>
                <c:ptCount val="6"/>
                <c:pt idx="0">
                  <c:v>tervisekindlustus</c:v>
                </c:pt>
                <c:pt idx="1">
                  <c:v>kasumiosalusega kindlustus</c:v>
                </c:pt>
                <c:pt idx="2">
                  <c:v>investeerimisriskiga elukindlustus</c:v>
                </c:pt>
                <c:pt idx="3">
                  <c:v>muu elukindlustus</c:v>
                </c:pt>
                <c:pt idx="4">
                  <c:v>ravikulukindlustus</c:v>
                </c:pt>
                <c:pt idx="5">
                  <c:v>sissetuleku kaotuse kindlustus</c:v>
                </c:pt>
              </c:strCache>
            </c:strRef>
          </c:cat>
          <c:val>
            <c:numRef>
              <c:f>'[20180122_elukindlustus_III kvartal_joonised.xlsm]Statistika'!$AR$3:$AR$6,'[20180122_elukindlustus_III kvartal_joonised.xlsm]Statistika'!$AR$38:$AR$39</c:f>
              <c:numCache>
                <c:formatCode>#,##0</c:formatCode>
                <c:ptCount val="6"/>
                <c:pt idx="0">
                  <c:v>5562022.1100000003</c:v>
                </c:pt>
                <c:pt idx="1">
                  <c:v>47900631.530000001</c:v>
                </c:pt>
                <c:pt idx="2">
                  <c:v>81036002.700000003</c:v>
                </c:pt>
                <c:pt idx="3">
                  <c:v>21191937.539999999</c:v>
                </c:pt>
                <c:pt idx="4">
                  <c:v>9509774.6500000004</c:v>
                </c:pt>
                <c:pt idx="5">
                  <c:v>1498339.2200000002</c:v>
                </c:pt>
              </c:numCache>
            </c:numRef>
          </c:val>
          <c:extLst>
            <c:ext xmlns:c16="http://schemas.microsoft.com/office/drawing/2014/chart" uri="{C3380CC4-5D6E-409C-BE32-E72D297353CC}">
              <c16:uniqueId val="{00000000-48A9-4044-BDFF-9CCC60D5CDDE}"/>
            </c:ext>
          </c:extLst>
        </c:ser>
        <c:ser>
          <c:idx val="1"/>
          <c:order val="1"/>
          <c:tx>
            <c:strRef>
              <c:f>'[20180122_elukindlustus_III kvartal_joonised.xlsm]Abitabel'!$B$15</c:f>
              <c:strCache>
                <c:ptCount val="1"/>
                <c:pt idx="0">
                  <c:v>Esinenud nõuded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'[20180122_elukindlustus_III kvartal_joonised.xlsm]Turugraafikud'!$L$103:$L$108</c:f>
              <c:strCache>
                <c:ptCount val="6"/>
                <c:pt idx="0">
                  <c:v>tervisekindlustus</c:v>
                </c:pt>
                <c:pt idx="1">
                  <c:v>kasumiosalusega kindlustus</c:v>
                </c:pt>
                <c:pt idx="2">
                  <c:v>investeerimisriskiga elukindlustus</c:v>
                </c:pt>
                <c:pt idx="3">
                  <c:v>muu elukindlustus</c:v>
                </c:pt>
                <c:pt idx="4">
                  <c:v>ravikulukindlustus</c:v>
                </c:pt>
                <c:pt idx="5">
                  <c:v>sissetuleku kaotuse kindlustus</c:v>
                </c:pt>
              </c:strCache>
            </c:strRef>
          </c:cat>
          <c:val>
            <c:numRef>
              <c:f>'[20180122_elukindlustus_III kvartal_joonised.xlsm]Statistika'!$AR$13:$AR$16,'[20180122_elukindlustus_III kvartal_joonised.xlsm]Statistika'!$AR$48:$AR$49</c:f>
              <c:numCache>
                <c:formatCode>#,##0</c:formatCode>
                <c:ptCount val="6"/>
                <c:pt idx="0">
                  <c:v>3458682.29</c:v>
                </c:pt>
                <c:pt idx="1">
                  <c:v>29521547.629999999</c:v>
                </c:pt>
                <c:pt idx="2">
                  <c:v>56377503.509999998</c:v>
                </c:pt>
                <c:pt idx="3">
                  <c:v>2390206.91</c:v>
                </c:pt>
                <c:pt idx="4">
                  <c:v>6130905.6799999997</c:v>
                </c:pt>
                <c:pt idx="5">
                  <c:v>293024.96999999997</c:v>
                </c:pt>
              </c:numCache>
            </c:numRef>
          </c:val>
          <c:extLst>
            <c:ext xmlns:c16="http://schemas.microsoft.com/office/drawing/2014/chart" uri="{C3380CC4-5D6E-409C-BE32-E72D297353CC}">
              <c16:uniqueId val="{00000001-48A9-4044-BDFF-9CCC60D5CDDE}"/>
            </c:ext>
          </c:extLst>
        </c:ser>
        <c:dLbls>
          <c:showLegendKey val="0"/>
          <c:showVal val="0"/>
          <c:showCatName val="0"/>
          <c:showSerName val="0"/>
          <c:showPercent val="0"/>
          <c:showBubbleSize val="0"/>
        </c:dLbls>
        <c:gapWidth val="100"/>
        <c:axId val="284025088"/>
        <c:axId val="286477984"/>
      </c:barChart>
      <c:catAx>
        <c:axId val="284025088"/>
        <c:scaling>
          <c:orientation val="minMax"/>
        </c:scaling>
        <c:delete val="0"/>
        <c:axPos val="l"/>
        <c:numFmt formatCode="General" sourceLinked="1"/>
        <c:majorTickMark val="none"/>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Calibri" panose="020F0502020204030204" pitchFamily="34" charset="0"/>
              </a:defRPr>
            </a:pPr>
            <a:endParaRPr lang="et-EE"/>
          </a:p>
        </c:txPr>
        <c:crossAx val="286477984"/>
        <c:crosses val="autoZero"/>
        <c:auto val="1"/>
        <c:lblAlgn val="ctr"/>
        <c:lblOffset val="100"/>
        <c:noMultiLvlLbl val="0"/>
      </c:catAx>
      <c:valAx>
        <c:axId val="286477984"/>
        <c:scaling>
          <c:orientation val="minMax"/>
        </c:scaling>
        <c:delete val="0"/>
        <c:axPos val="b"/>
        <c:majorGridlines>
          <c:spPr>
            <a:ln w="6350" cap="flat" cmpd="sng" algn="ctr">
              <a:solidFill>
                <a:schemeClr val="bg1">
                  <a:lumMod val="85000"/>
                </a:schemeClr>
              </a:solidFill>
              <a:prstDash val="sys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Calibri" panose="020F0502020204030204" pitchFamily="34" charset="0"/>
              </a:defRPr>
            </a:pPr>
            <a:endParaRPr lang="et-EE"/>
          </a:p>
        </c:txPr>
        <c:crossAx val="284025088"/>
        <c:crosses val="autoZero"/>
        <c:crossBetween val="between"/>
        <c:majorUnit val="10000000"/>
        <c:dispUnits>
          <c:builtInUnit val="millions"/>
          <c:dispUnitsLbl>
            <c:layout>
              <c:manualLayout>
                <c:xMode val="edge"/>
                <c:yMode val="edge"/>
                <c:x val="0.55449749161101702"/>
                <c:y val="0.81532106118267311"/>
              </c:manualLayout>
            </c:layout>
            <c:tx>
              <c:rich>
                <a:bodyPr rot="0" spcFirstLastPara="1" vertOverflow="ellipsis" vert="horz" wrap="square" anchor="ctr" anchorCtr="1"/>
                <a:lstStyle/>
                <a:p>
                  <a:pPr>
                    <a:defRPr sz="900" b="0" i="0" u="none" strike="noStrike" kern="1200" baseline="0">
                      <a:solidFill>
                        <a:schemeClr val="tx2"/>
                      </a:solidFill>
                      <a:latin typeface="+mn-lt"/>
                      <a:ea typeface="+mn-ea"/>
                      <a:cs typeface="Calibri" panose="020F0502020204030204" pitchFamily="34" charset="0"/>
                    </a:defRPr>
                  </a:pPr>
                  <a:r>
                    <a:rPr lang="et-EE" sz="900">
                      <a:solidFill>
                        <a:schemeClr val="tx2"/>
                      </a:solidFill>
                      <a:latin typeface="+mn-lt"/>
                      <a:cs typeface="Calibri" panose="020F0502020204030204" pitchFamily="34" charset="0"/>
                    </a:rPr>
                    <a:t>mln eurodes</a:t>
                  </a:r>
                </a:p>
              </c:rich>
            </c:tx>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Calibri" panose="020F0502020204030204" pitchFamily="34" charset="0"/>
                  </a:defRPr>
                </a:pPr>
                <a:endParaRPr lang="et-EE"/>
              </a:p>
            </c:txPr>
          </c:dispUnitsLbl>
        </c:dispUnits>
      </c:valAx>
      <c:spPr>
        <a:noFill/>
        <a:ln>
          <a:noFill/>
          <a:prstDash val="sysDash"/>
        </a:ln>
        <a:effectLst/>
      </c:spPr>
    </c:plotArea>
    <c:legend>
      <c:legendPos val="b"/>
      <c:layout>
        <c:manualLayout>
          <c:xMode val="edge"/>
          <c:yMode val="edge"/>
          <c:x val="0.32667884868821778"/>
          <c:y val="0.89357745723324777"/>
          <c:w val="0.5604214979456682"/>
          <c:h val="0.100979441619343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Calibri" panose="020F0502020204030204" pitchFamily="34" charset="0"/>
            </a:defRPr>
          </a:pPr>
          <a:endParaRPr lang="et-EE"/>
        </a:p>
      </c:txPr>
    </c:legend>
    <c:plotVisOnly val="1"/>
    <c:dispBlanksAs val="gap"/>
    <c:showDLblsOverMax val="0"/>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2"/>
                </a:solidFill>
                <a:latin typeface="+mn-lt"/>
                <a:ea typeface="+mn-ea"/>
                <a:cs typeface="+mn-cs"/>
              </a:defRPr>
            </a:pPr>
            <a:r>
              <a:rPr lang="et-EE" sz="1100" b="1"/>
              <a:t>Solventsuskapitalinõude täitmine</a:t>
            </a:r>
            <a:endParaRPr lang="en-US" sz="1100" b="1"/>
          </a:p>
        </c:rich>
      </c:tx>
      <c:layout>
        <c:manualLayout>
          <c:xMode val="edge"/>
          <c:yMode val="edge"/>
          <c:x val="0.26270555555555558"/>
          <c:y val="1.7638888888888888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2"/>
              </a:solidFill>
              <a:latin typeface="+mn-lt"/>
              <a:ea typeface="+mn-ea"/>
              <a:cs typeface="+mn-cs"/>
            </a:defRPr>
          </a:pPr>
          <a:endParaRPr lang="et-EE"/>
        </a:p>
      </c:txPr>
    </c:title>
    <c:autoTitleDeleted val="0"/>
    <c:plotArea>
      <c:layout>
        <c:manualLayout>
          <c:layoutTarget val="inner"/>
          <c:xMode val="edge"/>
          <c:yMode val="edge"/>
          <c:x val="0.13479526031198827"/>
          <c:y val="0.14424212962962965"/>
          <c:w val="0.75973931993727439"/>
          <c:h val="0.60191926160287368"/>
        </c:manualLayout>
      </c:layout>
      <c:barChart>
        <c:barDir val="col"/>
        <c:grouping val="clustered"/>
        <c:varyColors val="0"/>
        <c:ser>
          <c:idx val="1"/>
          <c:order val="0"/>
          <c:tx>
            <c:strRef>
              <c:f>Omavahendid!$C$13</c:f>
              <c:strCache>
                <c:ptCount val="1"/>
                <c:pt idx="0">
                  <c:v>Solventsuskapitalinõue (SCR)</c:v>
                </c:pt>
              </c:strCache>
            </c:strRef>
          </c:tx>
          <c:spPr>
            <a:solidFill>
              <a:schemeClr val="accent2"/>
            </a:solidFill>
            <a:ln>
              <a:noFill/>
            </a:ln>
            <a:effectLst/>
          </c:spPr>
          <c:invertIfNegative val="0"/>
          <c:cat>
            <c:strRef>
              <c:f>Turugraafikud!$B$4:$I$4</c:f>
              <c:strCache>
                <c:ptCount val="8"/>
                <c:pt idx="0">
                  <c:v>01.01.16</c:v>
                </c:pt>
                <c:pt idx="1">
                  <c:v>I 16</c:v>
                </c:pt>
                <c:pt idx="2">
                  <c:v>II 16</c:v>
                </c:pt>
                <c:pt idx="3">
                  <c:v>III 16</c:v>
                </c:pt>
                <c:pt idx="4">
                  <c:v>IV 16</c:v>
                </c:pt>
                <c:pt idx="5">
                  <c:v>I 17</c:v>
                </c:pt>
                <c:pt idx="6">
                  <c:v>II 17</c:v>
                </c:pt>
                <c:pt idx="7">
                  <c:v>III 17</c:v>
                </c:pt>
              </c:strCache>
            </c:strRef>
          </c:cat>
          <c:val>
            <c:numRef>
              <c:f>KVARTALID!$E$86:$L$86</c:f>
              <c:numCache>
                <c:formatCode>#,##0</c:formatCode>
                <c:ptCount val="8"/>
                <c:pt idx="0">
                  <c:v>126415332.478699</c:v>
                </c:pt>
                <c:pt idx="1">
                  <c:v>126678822.98350799</c:v>
                </c:pt>
                <c:pt idx="2">
                  <c:v>133366200.237066</c:v>
                </c:pt>
                <c:pt idx="3">
                  <c:v>142021296.797434</c:v>
                </c:pt>
                <c:pt idx="4">
                  <c:v>144046474.33886099</c:v>
                </c:pt>
                <c:pt idx="5">
                  <c:v>149243993.901829</c:v>
                </c:pt>
                <c:pt idx="6">
                  <c:v>153803898.577185</c:v>
                </c:pt>
                <c:pt idx="7">
                  <c:v>152519097.00130802</c:v>
                </c:pt>
              </c:numCache>
            </c:numRef>
          </c:val>
          <c:extLst>
            <c:ext xmlns:c16="http://schemas.microsoft.com/office/drawing/2014/chart" uri="{C3380CC4-5D6E-409C-BE32-E72D297353CC}">
              <c16:uniqueId val="{00000000-776E-47A0-A727-CBA6BB86427F}"/>
            </c:ext>
          </c:extLst>
        </c:ser>
        <c:ser>
          <c:idx val="0"/>
          <c:order val="1"/>
          <c:tx>
            <c:strRef>
              <c:f>Omavahendid!$C$11</c:f>
              <c:strCache>
                <c:ptCount val="1"/>
                <c:pt idx="0">
                  <c:v>Omavahendid</c:v>
                </c:pt>
              </c:strCache>
            </c:strRef>
          </c:tx>
          <c:spPr>
            <a:solidFill>
              <a:schemeClr val="accent1"/>
            </a:solidFill>
            <a:ln>
              <a:noFill/>
            </a:ln>
            <a:effectLst/>
          </c:spPr>
          <c:invertIfNegative val="0"/>
          <c:cat>
            <c:strRef>
              <c:f>Turugraafikud!$B$4:$I$4</c:f>
              <c:strCache>
                <c:ptCount val="8"/>
                <c:pt idx="0">
                  <c:v>01.01.16</c:v>
                </c:pt>
                <c:pt idx="1">
                  <c:v>I 16</c:v>
                </c:pt>
                <c:pt idx="2">
                  <c:v>II 16</c:v>
                </c:pt>
                <c:pt idx="3">
                  <c:v>III 16</c:v>
                </c:pt>
                <c:pt idx="4">
                  <c:v>IV 16</c:v>
                </c:pt>
                <c:pt idx="5">
                  <c:v>I 17</c:v>
                </c:pt>
                <c:pt idx="6">
                  <c:v>II 17</c:v>
                </c:pt>
                <c:pt idx="7">
                  <c:v>III 17</c:v>
                </c:pt>
              </c:strCache>
            </c:strRef>
          </c:cat>
          <c:val>
            <c:numRef>
              <c:f>KVARTALID!$E$85:$L$85</c:f>
              <c:numCache>
                <c:formatCode>#,##0</c:formatCode>
                <c:ptCount val="8"/>
                <c:pt idx="0">
                  <c:v>196049291.072</c:v>
                </c:pt>
                <c:pt idx="1">
                  <c:v>193887465.77179998</c:v>
                </c:pt>
                <c:pt idx="2">
                  <c:v>218314276.29519999</c:v>
                </c:pt>
                <c:pt idx="3">
                  <c:v>247549903.48360002</c:v>
                </c:pt>
                <c:pt idx="4">
                  <c:v>248610728.61680001</c:v>
                </c:pt>
                <c:pt idx="5">
                  <c:v>268876282.84560001</c:v>
                </c:pt>
                <c:pt idx="6">
                  <c:v>284787732.24450004</c:v>
                </c:pt>
                <c:pt idx="7">
                  <c:v>297857822.83130002</c:v>
                </c:pt>
              </c:numCache>
            </c:numRef>
          </c:val>
          <c:extLst>
            <c:ext xmlns:c16="http://schemas.microsoft.com/office/drawing/2014/chart" uri="{C3380CC4-5D6E-409C-BE32-E72D297353CC}">
              <c16:uniqueId val="{00000001-776E-47A0-A727-CBA6BB86427F}"/>
            </c:ext>
          </c:extLst>
        </c:ser>
        <c:dLbls>
          <c:showLegendKey val="0"/>
          <c:showVal val="0"/>
          <c:showCatName val="0"/>
          <c:showSerName val="0"/>
          <c:showPercent val="0"/>
          <c:showBubbleSize val="0"/>
        </c:dLbls>
        <c:gapWidth val="219"/>
        <c:axId val="367062896"/>
        <c:axId val="367063288"/>
      </c:barChart>
      <c:lineChart>
        <c:grouping val="standard"/>
        <c:varyColors val="0"/>
        <c:ser>
          <c:idx val="2"/>
          <c:order val="2"/>
          <c:tx>
            <c:strRef>
              <c:f>Omavahendid!$C$15</c:f>
              <c:strCache>
                <c:ptCount val="1"/>
                <c:pt idx="0">
                  <c:v>Omavahendid/SCR (%)</c:v>
                </c:pt>
              </c:strCache>
            </c:strRef>
          </c:tx>
          <c:spPr>
            <a:ln w="19050" cap="rnd">
              <a:solidFill>
                <a:schemeClr val="accent3"/>
              </a:solidFill>
              <a:round/>
            </a:ln>
            <a:effectLst/>
          </c:spPr>
          <c:marker>
            <c:symbol val="none"/>
          </c:marker>
          <c:cat>
            <c:strRef>
              <c:f>Turugraafikud!$C$4:$F$4</c:f>
              <c:strCache>
                <c:ptCount val="4"/>
                <c:pt idx="0">
                  <c:v>I 16</c:v>
                </c:pt>
                <c:pt idx="1">
                  <c:v>II 16</c:v>
                </c:pt>
                <c:pt idx="2">
                  <c:v>III 16</c:v>
                </c:pt>
                <c:pt idx="3">
                  <c:v>IV 16</c:v>
                </c:pt>
              </c:strCache>
            </c:strRef>
          </c:cat>
          <c:val>
            <c:numRef>
              <c:f>KVARTALID!$E$90:$L$90</c:f>
              <c:numCache>
                <c:formatCode>0.0%</c:formatCode>
                <c:ptCount val="8"/>
                <c:pt idx="0">
                  <c:v>1.5508347542022589</c:v>
                </c:pt>
                <c:pt idx="1">
                  <c:v>1.5305436315669094</c:v>
                </c:pt>
                <c:pt idx="2">
                  <c:v>1.6369535602509029</c:v>
                </c:pt>
                <c:pt idx="3">
                  <c:v>1.7430477616091777</c:v>
                </c:pt>
                <c:pt idx="4">
                  <c:v>1.7259063767986274</c:v>
                </c:pt>
                <c:pt idx="5" formatCode="0%">
                  <c:v>1.8015886322531931</c:v>
                </c:pt>
                <c:pt idx="6" formatCode="_(* #,##0.00_);_(* \(#,##0.00\);_(* &quot;-&quot;??_);_(@_)">
                  <c:v>1.8516288265708822</c:v>
                </c:pt>
                <c:pt idx="7" formatCode="_(* #,##0.00_);_(* \(#,##0.00\);_(* &quot;-&quot;??_);_(@_)">
                  <c:v>1.9529214943407747</c:v>
                </c:pt>
              </c:numCache>
            </c:numRef>
          </c:val>
          <c:smooth val="0"/>
          <c:extLst>
            <c:ext xmlns:c16="http://schemas.microsoft.com/office/drawing/2014/chart" uri="{C3380CC4-5D6E-409C-BE32-E72D297353CC}">
              <c16:uniqueId val="{00000002-776E-47A0-A727-CBA6BB86427F}"/>
            </c:ext>
          </c:extLst>
        </c:ser>
        <c:dLbls>
          <c:showLegendKey val="0"/>
          <c:showVal val="0"/>
          <c:showCatName val="0"/>
          <c:showSerName val="0"/>
          <c:showPercent val="0"/>
          <c:showBubbleSize val="0"/>
        </c:dLbls>
        <c:marker val="1"/>
        <c:smooth val="0"/>
        <c:axId val="340148496"/>
        <c:axId val="340148104"/>
      </c:lineChart>
      <c:catAx>
        <c:axId val="367062896"/>
        <c:scaling>
          <c:orientation val="minMax"/>
        </c:scaling>
        <c:delete val="0"/>
        <c:axPos val="b"/>
        <c:numFmt formatCode="General" sourceLinked="1"/>
        <c:majorTickMark val="none"/>
        <c:minorTickMark val="none"/>
        <c:tickLblPos val="nextTo"/>
        <c:spPr>
          <a:noFill/>
          <a:ln w="9525" cap="flat" cmpd="sng" algn="ctr">
            <a:solidFill>
              <a:schemeClr val="bg1">
                <a:lumMod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t-EE"/>
          </a:p>
        </c:txPr>
        <c:crossAx val="367063288"/>
        <c:crosses val="autoZero"/>
        <c:auto val="1"/>
        <c:lblAlgn val="ctr"/>
        <c:lblOffset val="100"/>
        <c:tickLblSkip val="1"/>
        <c:noMultiLvlLbl val="0"/>
      </c:catAx>
      <c:valAx>
        <c:axId val="367063288"/>
        <c:scaling>
          <c:orientation val="minMax"/>
          <c:max val="300000000"/>
        </c:scaling>
        <c:delete val="0"/>
        <c:axPos val="l"/>
        <c:majorGridlines>
          <c:spPr>
            <a:ln w="6350" cap="flat" cmpd="sng" algn="ctr">
              <a:solidFill>
                <a:schemeClr val="bg1">
                  <a:lumMod val="85000"/>
                </a:schemeClr>
              </a:solidFill>
              <a:prstDash val="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t-EE"/>
          </a:p>
        </c:txPr>
        <c:crossAx val="367062896"/>
        <c:crosses val="autoZero"/>
        <c:crossBetween val="between"/>
        <c:majorUnit val="50000000"/>
        <c:dispUnits>
          <c:builtInUnit val="millions"/>
          <c:dispUnitsLbl>
            <c:layout>
              <c:manualLayout>
                <c:xMode val="edge"/>
                <c:yMode val="edge"/>
                <c:x val="9.7082766753291486E-3"/>
                <c:y val="0.31310131550776699"/>
              </c:manualLayout>
            </c:layout>
            <c:tx>
              <c:rich>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r>
                    <a:rPr lang="et-EE"/>
                    <a:t>mln eurodes</a:t>
                  </a:r>
                </a:p>
              </c:rich>
            </c:tx>
            <c:spPr>
              <a:noFill/>
              <a:ln>
                <a:noFill/>
              </a:ln>
              <a:effectLst/>
            </c:spPr>
            <c:txPr>
              <a:bodyPr rot="-54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t-EE"/>
              </a:p>
            </c:txPr>
          </c:dispUnitsLbl>
        </c:dispUnits>
      </c:valAx>
      <c:valAx>
        <c:axId val="340148104"/>
        <c:scaling>
          <c:orientation val="minMax"/>
          <c:max val="2.1"/>
          <c:min val="1.5"/>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t-EE"/>
          </a:p>
        </c:txPr>
        <c:crossAx val="340148496"/>
        <c:crosses val="max"/>
        <c:crossBetween val="between"/>
      </c:valAx>
      <c:catAx>
        <c:axId val="340148496"/>
        <c:scaling>
          <c:orientation val="minMax"/>
        </c:scaling>
        <c:delete val="1"/>
        <c:axPos val="b"/>
        <c:numFmt formatCode="General" sourceLinked="1"/>
        <c:majorTickMark val="out"/>
        <c:minorTickMark val="none"/>
        <c:tickLblPos val="nextTo"/>
        <c:crossAx val="340148104"/>
        <c:crosses val="autoZero"/>
        <c:auto val="1"/>
        <c:lblAlgn val="ctr"/>
        <c:lblOffset val="100"/>
        <c:noMultiLvlLbl val="0"/>
      </c:catAx>
      <c:spPr>
        <a:noFill/>
        <a:ln>
          <a:noFill/>
        </a:ln>
        <a:effectLst/>
      </c:spPr>
    </c:plotArea>
    <c:legend>
      <c:legendPos val="b"/>
      <c:layout>
        <c:manualLayout>
          <c:xMode val="edge"/>
          <c:yMode val="edge"/>
          <c:x val="0"/>
          <c:y val="0.86150153436258536"/>
          <c:w val="0.99710568459768067"/>
          <c:h val="0.132621262221376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t-EE"/>
        </a:p>
      </c:txPr>
    </c:legend>
    <c:plotVisOnly val="1"/>
    <c:dispBlanksAs val="gap"/>
    <c:showDLblsOverMax val="0"/>
  </c:chart>
  <c:spPr>
    <a:solidFill>
      <a:schemeClr val="bg1"/>
    </a:solidFill>
    <a:ln w="9525" cap="flat" cmpd="sng" algn="ctr">
      <a:noFill/>
      <a:round/>
    </a:ln>
    <a:effectLst/>
  </c:spPr>
  <c:txPr>
    <a:bodyPr/>
    <a:lstStyle/>
    <a:p>
      <a:pPr>
        <a:defRPr sz="900">
          <a:solidFill>
            <a:schemeClr val="tx2"/>
          </a:solidFill>
          <a:latin typeface="+mn-lt"/>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rgbClr val="500778"/>
      </a:dk1>
      <a:lt1>
        <a:sysClr val="window" lastClr="FFFFFF"/>
      </a:lt1>
      <a:dk2>
        <a:srgbClr val="500778"/>
      </a:dk2>
      <a:lt2>
        <a:srgbClr val="FFFFFF"/>
      </a:lt2>
      <a:accent1>
        <a:srgbClr val="500778"/>
      </a:accent1>
      <a:accent2>
        <a:srgbClr val="00BB4A"/>
      </a:accent2>
      <a:accent3>
        <a:srgbClr val="FA5C1D"/>
      </a:accent3>
      <a:accent4>
        <a:srgbClr val="0037F5"/>
      </a:accent4>
      <a:accent5>
        <a:srgbClr val="C66EF6"/>
      </a:accent5>
      <a:accent6>
        <a:srgbClr val="500778"/>
      </a:accent6>
      <a:hlink>
        <a:srgbClr val="500778"/>
      </a:hlink>
      <a:folHlink>
        <a:srgbClr val="500778"/>
      </a:folHlink>
    </a:clrScheme>
    <a:fontScheme name="FI_Georgia+CalibriLight">
      <a:majorFont>
        <a:latin typeface="Georgia"/>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7138-EC00-4746-930A-6AD9C698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Raport_Long</Template>
  <TotalTime>7</TotalTime>
  <Pages>2</Pages>
  <Words>434</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Ilja Hlebov</dc:creator>
  <cp:keywords/>
  <dc:description/>
  <cp:lastModifiedBy>Piret Lakson</cp:lastModifiedBy>
  <cp:revision>5</cp:revision>
  <cp:lastPrinted>2018-04-26T09:42:00Z</cp:lastPrinted>
  <dcterms:created xsi:type="dcterms:W3CDTF">2018-04-26T09:36:00Z</dcterms:created>
  <dcterms:modified xsi:type="dcterms:W3CDTF">2018-05-14T10:26:00Z</dcterms:modified>
</cp:coreProperties>
</file>