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E6" w:rsidRDefault="003371E6" w:rsidP="00D032BE">
      <w:pPr>
        <w:tabs>
          <w:tab w:val="right" w:pos="9072"/>
        </w:tabs>
        <w:rPr>
          <w:lang w:val="et-EE"/>
        </w:rPr>
      </w:pPr>
    </w:p>
    <w:p w:rsidR="00D032BE" w:rsidRPr="00D032BE" w:rsidRDefault="00D032BE" w:rsidP="00D032BE">
      <w:pPr>
        <w:tabs>
          <w:tab w:val="right" w:pos="9072"/>
        </w:tabs>
        <w:rPr>
          <w:lang w:val="et-EE"/>
        </w:rPr>
      </w:pPr>
    </w:p>
    <w:p w:rsidR="00D032BE" w:rsidRPr="00D032BE" w:rsidRDefault="003371E6" w:rsidP="00D032BE">
      <w:pPr>
        <w:rPr>
          <w:lang w:val="et-EE"/>
        </w:rPr>
      </w:pPr>
      <w:r>
        <w:rPr>
          <w:noProof/>
          <w:lang w:val="et-EE" w:eastAsia="et-EE"/>
        </w:rPr>
        <w:drawing>
          <wp:anchor distT="0" distB="0" distL="114300" distR="114300" simplePos="0" relativeHeight="251659264" behindDoc="0" locked="0" layoutInCell="1" allowOverlap="1">
            <wp:simplePos x="903605" y="1296670"/>
            <wp:positionH relativeFrom="margin">
              <wp:align>left</wp:align>
            </wp:positionH>
            <wp:positionV relativeFrom="margin">
              <wp:align>top</wp:align>
            </wp:positionV>
            <wp:extent cx="818515" cy="1409700"/>
            <wp:effectExtent l="0" t="0" r="635" b="0"/>
            <wp:wrapSquare wrapText="bothSides"/>
            <wp:docPr id="2" name="Pilt 2" descr="FATF: Financial action task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TF: Financial action task for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8515" cy="1409700"/>
                    </a:xfrm>
                    <a:prstGeom prst="rect">
                      <a:avLst/>
                    </a:prstGeom>
                    <a:noFill/>
                    <a:ln>
                      <a:noFill/>
                    </a:ln>
                  </pic:spPr>
                </pic:pic>
              </a:graphicData>
            </a:graphic>
          </wp:anchor>
        </w:drawing>
      </w:r>
    </w:p>
    <w:p w:rsidR="003371E6" w:rsidRDefault="003371E6" w:rsidP="00D032BE">
      <w:pPr>
        <w:jc w:val="center"/>
        <w:rPr>
          <w:sz w:val="36"/>
          <w:szCs w:val="36"/>
          <w:lang w:val="et-EE"/>
        </w:rPr>
      </w:pPr>
    </w:p>
    <w:p w:rsidR="003371E6" w:rsidRDefault="003371E6" w:rsidP="00D032BE">
      <w:pPr>
        <w:jc w:val="center"/>
        <w:rPr>
          <w:sz w:val="36"/>
          <w:szCs w:val="36"/>
          <w:lang w:val="et-EE"/>
        </w:rPr>
      </w:pPr>
    </w:p>
    <w:p w:rsidR="003371E6" w:rsidRDefault="003371E6" w:rsidP="00D032BE">
      <w:pPr>
        <w:jc w:val="center"/>
        <w:rPr>
          <w:sz w:val="36"/>
          <w:szCs w:val="36"/>
          <w:lang w:val="et-EE"/>
        </w:rPr>
      </w:pPr>
    </w:p>
    <w:p w:rsidR="003371E6" w:rsidRDefault="003371E6" w:rsidP="00D032BE">
      <w:pPr>
        <w:jc w:val="center"/>
        <w:rPr>
          <w:sz w:val="36"/>
          <w:szCs w:val="36"/>
          <w:lang w:val="et-EE"/>
        </w:rPr>
      </w:pPr>
    </w:p>
    <w:p w:rsidR="003371E6" w:rsidRPr="00D032BE" w:rsidRDefault="003371E6" w:rsidP="00D032BE">
      <w:pPr>
        <w:jc w:val="center"/>
        <w:rPr>
          <w:sz w:val="36"/>
          <w:szCs w:val="36"/>
          <w:lang w:val="et-EE"/>
        </w:rPr>
      </w:pPr>
    </w:p>
    <w:p w:rsidR="003371E6" w:rsidRDefault="003371E6" w:rsidP="00D032BE">
      <w:pPr>
        <w:jc w:val="center"/>
        <w:rPr>
          <w:sz w:val="36"/>
          <w:szCs w:val="36"/>
          <w:lang w:val="et-EE"/>
        </w:rPr>
      </w:pPr>
    </w:p>
    <w:p w:rsidR="003371E6" w:rsidRDefault="003371E6" w:rsidP="003371E6">
      <w:pPr>
        <w:rPr>
          <w:sz w:val="36"/>
          <w:szCs w:val="36"/>
          <w:lang w:val="et-EE"/>
        </w:rPr>
      </w:pPr>
    </w:p>
    <w:p w:rsidR="00D032BE" w:rsidRPr="00D032BE" w:rsidRDefault="00D032BE" w:rsidP="003371E6">
      <w:pPr>
        <w:tabs>
          <w:tab w:val="left" w:pos="851"/>
        </w:tabs>
        <w:ind w:left="851"/>
        <w:rPr>
          <w:sz w:val="36"/>
          <w:szCs w:val="36"/>
          <w:lang w:val="et-EE"/>
        </w:rPr>
      </w:pPr>
      <w:r w:rsidRPr="00D032BE">
        <w:rPr>
          <w:sz w:val="36"/>
          <w:szCs w:val="36"/>
          <w:lang w:val="et-EE"/>
        </w:rPr>
        <w:t xml:space="preserve">RAHAPESU NING TERRORISMI JA MASSIHÄVITUSRELVADE </w:t>
      </w:r>
      <w:r w:rsidR="00351064">
        <w:rPr>
          <w:sz w:val="36"/>
          <w:szCs w:val="36"/>
          <w:lang w:val="et-EE"/>
        </w:rPr>
        <w:t xml:space="preserve">LEVIKU </w:t>
      </w:r>
      <w:r w:rsidRPr="00D032BE">
        <w:rPr>
          <w:sz w:val="36"/>
          <w:szCs w:val="36"/>
          <w:lang w:val="et-EE"/>
        </w:rPr>
        <w:t>RAHASTAMISE</w:t>
      </w:r>
      <w:r w:rsidR="003371E6">
        <w:rPr>
          <w:sz w:val="36"/>
          <w:szCs w:val="36"/>
          <w:lang w:val="et-EE"/>
        </w:rPr>
        <w:t xml:space="preserve"> </w:t>
      </w:r>
      <w:r w:rsidRPr="00D032BE">
        <w:rPr>
          <w:sz w:val="36"/>
          <w:szCs w:val="36"/>
          <w:lang w:val="et-EE"/>
        </w:rPr>
        <w:t>VASTU VÕITLEMISE RAHVUSVAHELISED STANDARDID</w:t>
      </w:r>
    </w:p>
    <w:p w:rsidR="00D032BE" w:rsidRPr="00D032BE" w:rsidRDefault="00D032BE" w:rsidP="003371E6">
      <w:pPr>
        <w:tabs>
          <w:tab w:val="left" w:pos="851"/>
        </w:tabs>
        <w:ind w:left="851"/>
        <w:rPr>
          <w:sz w:val="36"/>
          <w:szCs w:val="36"/>
          <w:lang w:val="et-EE"/>
        </w:rPr>
      </w:pPr>
    </w:p>
    <w:p w:rsidR="00D032BE" w:rsidRPr="00D032BE" w:rsidRDefault="00D032BE" w:rsidP="003371E6">
      <w:pPr>
        <w:tabs>
          <w:tab w:val="left" w:pos="851"/>
        </w:tabs>
        <w:ind w:left="851"/>
        <w:rPr>
          <w:b/>
          <w:sz w:val="40"/>
          <w:szCs w:val="40"/>
          <w:lang w:val="et-EE"/>
        </w:rPr>
      </w:pPr>
      <w:r w:rsidRPr="00D032BE">
        <w:rPr>
          <w:b/>
          <w:sz w:val="40"/>
          <w:szCs w:val="40"/>
          <w:lang w:val="et-EE"/>
        </w:rPr>
        <w:t>FATFi soovitused</w:t>
      </w: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D032BE" w:rsidRPr="00D032BE" w:rsidRDefault="00D032BE" w:rsidP="00D032BE">
      <w:pPr>
        <w:rPr>
          <w:lang w:val="et-EE"/>
        </w:rPr>
      </w:pPr>
    </w:p>
    <w:p w:rsidR="003371E6" w:rsidRDefault="003371E6" w:rsidP="003371E6">
      <w:pPr>
        <w:ind w:left="851"/>
        <w:rPr>
          <w:lang w:val="et-EE"/>
        </w:rPr>
      </w:pPr>
    </w:p>
    <w:p w:rsidR="003371E6" w:rsidRDefault="003371E6" w:rsidP="003371E6">
      <w:pPr>
        <w:ind w:left="851"/>
        <w:rPr>
          <w:lang w:val="et-EE"/>
        </w:rPr>
      </w:pPr>
    </w:p>
    <w:p w:rsidR="003371E6" w:rsidRDefault="003371E6" w:rsidP="003371E6">
      <w:pPr>
        <w:ind w:left="851"/>
        <w:rPr>
          <w:lang w:val="et-EE"/>
        </w:rPr>
      </w:pPr>
    </w:p>
    <w:p w:rsidR="003371E6" w:rsidRDefault="003371E6" w:rsidP="003371E6">
      <w:pPr>
        <w:ind w:left="851"/>
        <w:rPr>
          <w:lang w:val="et-EE"/>
        </w:rPr>
      </w:pPr>
    </w:p>
    <w:p w:rsidR="003371E6" w:rsidRDefault="003371E6" w:rsidP="003371E6">
      <w:pPr>
        <w:ind w:left="851"/>
        <w:rPr>
          <w:lang w:val="et-EE"/>
        </w:rPr>
      </w:pPr>
    </w:p>
    <w:p w:rsidR="0024189D" w:rsidRDefault="00D032BE" w:rsidP="003371E6">
      <w:pPr>
        <w:ind w:left="851"/>
        <w:rPr>
          <w:lang w:val="et-EE"/>
        </w:rPr>
      </w:pPr>
      <w:r w:rsidRPr="00D032BE">
        <w:rPr>
          <w:lang w:val="et-EE"/>
        </w:rPr>
        <w:t>VEEBRUAR 2012</w:t>
      </w:r>
    </w:p>
    <w:p w:rsidR="0024189D" w:rsidRDefault="0024189D" w:rsidP="00D032BE">
      <w:pPr>
        <w:jc w:val="center"/>
        <w:rPr>
          <w:lang w:val="et-EE"/>
        </w:rPr>
      </w:pPr>
    </w:p>
    <w:p w:rsidR="0024189D" w:rsidRDefault="0024189D" w:rsidP="00D032BE">
      <w:pPr>
        <w:jc w:val="center"/>
        <w:rPr>
          <w:lang w:val="et-EE"/>
        </w:rPr>
      </w:pPr>
    </w:p>
    <w:p w:rsidR="0024189D" w:rsidRDefault="0024189D" w:rsidP="00D032BE">
      <w:pPr>
        <w:jc w:val="center"/>
        <w:rPr>
          <w:lang w:val="et-EE"/>
        </w:rPr>
      </w:pPr>
    </w:p>
    <w:p w:rsidR="0024189D" w:rsidRDefault="0024189D" w:rsidP="00D032BE">
      <w:pPr>
        <w:jc w:val="center"/>
        <w:rPr>
          <w:lang w:val="et-EE"/>
        </w:rPr>
      </w:pPr>
    </w:p>
    <w:p w:rsidR="0024189D" w:rsidRDefault="0024189D" w:rsidP="0024189D">
      <w:pPr>
        <w:rPr>
          <w:lang w:val="et-EE"/>
        </w:rPr>
      </w:pPr>
    </w:p>
    <w:p w:rsidR="0024189D" w:rsidRDefault="0024189D" w:rsidP="0024189D">
      <w:pPr>
        <w:rPr>
          <w:lang w:val="et-EE"/>
        </w:rPr>
      </w:pPr>
    </w:p>
    <w:p w:rsidR="0024189D" w:rsidRDefault="0024189D" w:rsidP="0024189D">
      <w:pPr>
        <w:rPr>
          <w:lang w:val="et-EE"/>
        </w:rPr>
      </w:pPr>
    </w:p>
    <w:p w:rsidR="0024189D" w:rsidRDefault="0024189D" w:rsidP="0024189D">
      <w:pPr>
        <w:rPr>
          <w:lang w:val="et-EE"/>
        </w:rPr>
      </w:pPr>
    </w:p>
    <w:p w:rsidR="00D032BE" w:rsidRPr="00D032BE" w:rsidRDefault="00D032BE" w:rsidP="0024189D">
      <w:pPr>
        <w:jc w:val="both"/>
        <w:rPr>
          <w:lang w:val="et-EE"/>
        </w:rPr>
      </w:pPr>
      <w:bookmarkStart w:id="0" w:name="_GoBack"/>
      <w:bookmarkEnd w:id="0"/>
    </w:p>
    <w:p w:rsidR="00D032BE" w:rsidRPr="00D032BE" w:rsidRDefault="00D032BE" w:rsidP="00D032BE">
      <w:pPr>
        <w:jc w:val="center"/>
        <w:rPr>
          <w:lang w:val="et-EE"/>
        </w:rPr>
      </w:pPr>
    </w:p>
    <w:p w:rsidR="00D032BE" w:rsidRPr="00D032BE" w:rsidRDefault="00D032BE" w:rsidP="00D032BE">
      <w:pPr>
        <w:jc w:val="center"/>
        <w:rPr>
          <w:lang w:val="et-EE"/>
        </w:rPr>
      </w:pPr>
    </w:p>
    <w:p w:rsidR="00D032BE" w:rsidRPr="00D032BE" w:rsidRDefault="00D032BE" w:rsidP="00D032BE">
      <w:pPr>
        <w:jc w:val="center"/>
        <w:rPr>
          <w:lang w:val="et-EE"/>
        </w:rPr>
      </w:pPr>
    </w:p>
    <w:p w:rsidR="003371E6" w:rsidRDefault="003371E6" w:rsidP="00D032BE">
      <w:pPr>
        <w:jc w:val="center"/>
        <w:rPr>
          <w:sz w:val="28"/>
          <w:szCs w:val="28"/>
          <w:lang w:val="et-EE"/>
        </w:rPr>
      </w:pPr>
    </w:p>
    <w:p w:rsidR="003371E6" w:rsidRDefault="003371E6" w:rsidP="00D032BE">
      <w:pPr>
        <w:jc w:val="center"/>
        <w:rPr>
          <w:sz w:val="28"/>
          <w:szCs w:val="28"/>
          <w:lang w:val="et-EE"/>
        </w:rPr>
      </w:pPr>
      <w:r>
        <w:rPr>
          <w:noProof/>
          <w:lang w:val="et-EE" w:eastAsia="et-EE"/>
        </w:rPr>
        <w:drawing>
          <wp:anchor distT="0" distB="0" distL="114300" distR="114300" simplePos="0" relativeHeight="251658240" behindDoc="0" locked="0" layoutInCell="1" allowOverlap="1">
            <wp:simplePos x="3369945" y="1732915"/>
            <wp:positionH relativeFrom="margin">
              <wp:align>left</wp:align>
            </wp:positionH>
            <wp:positionV relativeFrom="margin">
              <wp:align>top</wp:align>
            </wp:positionV>
            <wp:extent cx="818515" cy="1409700"/>
            <wp:effectExtent l="0" t="0" r="635" b="0"/>
            <wp:wrapSquare wrapText="bothSides"/>
            <wp:docPr id="3" name="Pilt 3" descr="FATF: Financial action task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TF: Financial action task for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8515" cy="1409700"/>
                    </a:xfrm>
                    <a:prstGeom prst="rect">
                      <a:avLst/>
                    </a:prstGeom>
                    <a:noFill/>
                    <a:ln>
                      <a:noFill/>
                    </a:ln>
                  </pic:spPr>
                </pic:pic>
              </a:graphicData>
            </a:graphic>
          </wp:anchor>
        </w:drawing>
      </w:r>
    </w:p>
    <w:p w:rsidR="003371E6" w:rsidRDefault="003371E6" w:rsidP="00D032BE">
      <w:pPr>
        <w:jc w:val="center"/>
        <w:rPr>
          <w:sz w:val="28"/>
          <w:szCs w:val="28"/>
          <w:lang w:val="et-EE"/>
        </w:rPr>
      </w:pPr>
    </w:p>
    <w:p w:rsidR="003371E6" w:rsidRDefault="003371E6" w:rsidP="00D032BE">
      <w:pPr>
        <w:jc w:val="center"/>
        <w:rPr>
          <w:sz w:val="28"/>
          <w:szCs w:val="28"/>
          <w:lang w:val="et-EE"/>
        </w:rPr>
      </w:pPr>
    </w:p>
    <w:p w:rsidR="003371E6" w:rsidRDefault="003371E6" w:rsidP="00D032BE">
      <w:pPr>
        <w:jc w:val="center"/>
        <w:rPr>
          <w:sz w:val="28"/>
          <w:szCs w:val="28"/>
          <w:lang w:val="et-EE"/>
        </w:rPr>
      </w:pPr>
    </w:p>
    <w:p w:rsidR="003371E6" w:rsidRDefault="003371E6" w:rsidP="00D032BE">
      <w:pPr>
        <w:jc w:val="center"/>
        <w:rPr>
          <w:sz w:val="28"/>
          <w:szCs w:val="28"/>
          <w:lang w:val="et-EE"/>
        </w:rPr>
      </w:pPr>
    </w:p>
    <w:p w:rsidR="003371E6" w:rsidRDefault="003371E6" w:rsidP="00D032BE">
      <w:pPr>
        <w:jc w:val="center"/>
        <w:rPr>
          <w:sz w:val="28"/>
          <w:szCs w:val="28"/>
          <w:lang w:val="et-EE"/>
        </w:rPr>
      </w:pPr>
    </w:p>
    <w:p w:rsidR="00D032BE" w:rsidRPr="00D032BE" w:rsidRDefault="00D032BE" w:rsidP="00D032BE">
      <w:pPr>
        <w:jc w:val="center"/>
        <w:rPr>
          <w:sz w:val="28"/>
          <w:szCs w:val="28"/>
          <w:lang w:val="et-EE"/>
        </w:rPr>
      </w:pPr>
      <w:r w:rsidRPr="00D032BE">
        <w:rPr>
          <w:sz w:val="28"/>
          <w:szCs w:val="28"/>
          <w:lang w:val="et-EE"/>
        </w:rPr>
        <w:t xml:space="preserve">RAHAPESU NING </w:t>
      </w:r>
    </w:p>
    <w:p w:rsidR="00D032BE" w:rsidRPr="00D032BE" w:rsidRDefault="00D032BE" w:rsidP="00D032BE">
      <w:pPr>
        <w:jc w:val="center"/>
        <w:rPr>
          <w:sz w:val="28"/>
          <w:szCs w:val="28"/>
          <w:lang w:val="et-EE"/>
        </w:rPr>
      </w:pPr>
      <w:r w:rsidRPr="00D032BE">
        <w:rPr>
          <w:sz w:val="28"/>
          <w:szCs w:val="28"/>
          <w:lang w:val="et-EE"/>
        </w:rPr>
        <w:t xml:space="preserve">TERRORISMI JA MASSIHÄVITUSRELVADE </w:t>
      </w:r>
      <w:r w:rsidR="00351064">
        <w:rPr>
          <w:sz w:val="28"/>
          <w:szCs w:val="28"/>
          <w:lang w:val="et-EE"/>
        </w:rPr>
        <w:t>LEVIKU</w:t>
      </w:r>
      <w:r w:rsidR="00B067F6" w:rsidRPr="00D032BE">
        <w:rPr>
          <w:sz w:val="28"/>
          <w:szCs w:val="28"/>
          <w:lang w:val="et-EE"/>
        </w:rPr>
        <w:t xml:space="preserve"> </w:t>
      </w:r>
      <w:r w:rsidRPr="00D032BE">
        <w:rPr>
          <w:sz w:val="28"/>
          <w:szCs w:val="28"/>
          <w:lang w:val="et-EE"/>
        </w:rPr>
        <w:t xml:space="preserve">RAHASTAMISE </w:t>
      </w:r>
    </w:p>
    <w:p w:rsidR="00D032BE" w:rsidRPr="00D032BE" w:rsidRDefault="00D032BE" w:rsidP="00D032BE">
      <w:pPr>
        <w:jc w:val="center"/>
        <w:rPr>
          <w:sz w:val="28"/>
          <w:szCs w:val="28"/>
          <w:lang w:val="et-EE"/>
        </w:rPr>
      </w:pPr>
      <w:r w:rsidRPr="00D032BE">
        <w:rPr>
          <w:sz w:val="28"/>
          <w:szCs w:val="28"/>
          <w:lang w:val="et-EE"/>
        </w:rPr>
        <w:t xml:space="preserve">VASTU VÕITLEMISE </w:t>
      </w:r>
    </w:p>
    <w:p w:rsidR="00D032BE" w:rsidRPr="00D032BE" w:rsidRDefault="00D032BE" w:rsidP="00D032BE">
      <w:pPr>
        <w:jc w:val="center"/>
        <w:rPr>
          <w:sz w:val="28"/>
          <w:szCs w:val="28"/>
          <w:lang w:val="et-EE"/>
        </w:rPr>
      </w:pPr>
      <w:r w:rsidRPr="00D032BE">
        <w:rPr>
          <w:sz w:val="28"/>
          <w:szCs w:val="28"/>
          <w:lang w:val="et-EE"/>
        </w:rPr>
        <w:t>RAHVUSVAHELISED STANDARDID</w:t>
      </w:r>
    </w:p>
    <w:p w:rsidR="00D032BE" w:rsidRPr="00D032BE" w:rsidRDefault="00D032BE" w:rsidP="00D032BE">
      <w:pPr>
        <w:jc w:val="center"/>
        <w:rPr>
          <w:sz w:val="28"/>
          <w:szCs w:val="28"/>
          <w:lang w:val="et-EE"/>
        </w:rPr>
      </w:pPr>
    </w:p>
    <w:p w:rsidR="00D032BE" w:rsidRPr="00D032BE" w:rsidRDefault="00D032BE" w:rsidP="00D032BE">
      <w:pPr>
        <w:jc w:val="center"/>
        <w:rPr>
          <w:lang w:val="et-EE"/>
        </w:rPr>
      </w:pPr>
    </w:p>
    <w:p w:rsidR="00D032BE" w:rsidRPr="00D032BE" w:rsidRDefault="00D032BE" w:rsidP="00D032BE">
      <w:pPr>
        <w:jc w:val="center"/>
        <w:rPr>
          <w:b/>
          <w:sz w:val="32"/>
          <w:szCs w:val="32"/>
          <w:lang w:val="et-EE"/>
        </w:rPr>
      </w:pPr>
      <w:r w:rsidRPr="00D032BE">
        <w:rPr>
          <w:b/>
          <w:sz w:val="32"/>
          <w:szCs w:val="32"/>
          <w:lang w:val="et-EE"/>
        </w:rPr>
        <w:t>FATFi SOOVITUSED</w:t>
      </w:r>
    </w:p>
    <w:p w:rsidR="00D032BE" w:rsidRPr="00D032BE" w:rsidRDefault="00D032BE" w:rsidP="00D032BE">
      <w:pPr>
        <w:jc w:val="center"/>
        <w:rPr>
          <w:sz w:val="28"/>
          <w:szCs w:val="28"/>
          <w:lang w:val="et-EE"/>
        </w:rPr>
      </w:pPr>
    </w:p>
    <w:p w:rsidR="00D032BE" w:rsidRPr="00D032BE" w:rsidRDefault="00D032BE" w:rsidP="00D032BE">
      <w:pPr>
        <w:jc w:val="center"/>
        <w:rPr>
          <w:sz w:val="28"/>
          <w:szCs w:val="28"/>
          <w:lang w:val="et-EE"/>
        </w:rPr>
      </w:pPr>
      <w:r w:rsidRPr="00D032BE">
        <w:rPr>
          <w:sz w:val="28"/>
          <w:szCs w:val="28"/>
          <w:lang w:val="et-EE"/>
        </w:rPr>
        <w:t>VEEBRUAR 2012</w:t>
      </w:r>
    </w:p>
    <w:p w:rsidR="00D032BE" w:rsidRPr="00D032BE" w:rsidRDefault="00D032BE" w:rsidP="00D032BE">
      <w:pPr>
        <w:jc w:val="center"/>
        <w:rPr>
          <w:lang w:val="et-EE"/>
        </w:rPr>
      </w:pPr>
    </w:p>
    <w:p w:rsidR="00D032BE" w:rsidRPr="00D032BE" w:rsidRDefault="00D032BE" w:rsidP="00D032BE">
      <w:pPr>
        <w:jc w:val="center"/>
        <w:rPr>
          <w:lang w:val="et-EE"/>
        </w:rPr>
      </w:pPr>
    </w:p>
    <w:p w:rsidR="00D032BE" w:rsidRPr="00D032BE" w:rsidRDefault="00D032BE" w:rsidP="00D032BE">
      <w:pPr>
        <w:jc w:val="center"/>
        <w:rPr>
          <w:lang w:val="et-EE"/>
        </w:rPr>
      </w:pPr>
    </w:p>
    <w:p w:rsidR="0024189D" w:rsidRDefault="00D032BE" w:rsidP="0024189D">
      <w:pPr>
        <w:jc w:val="center"/>
        <w:rPr>
          <w:lang w:val="et-EE"/>
        </w:rPr>
      </w:pPr>
      <w:r w:rsidRPr="00D032BE">
        <w:rPr>
          <w:lang w:val="et-EE"/>
        </w:rPr>
        <w:t>Trükitud veebruaris 2012</w:t>
      </w:r>
    </w:p>
    <w:p w:rsidR="0024189D" w:rsidRDefault="0024189D" w:rsidP="0024189D">
      <w:pPr>
        <w:jc w:val="center"/>
        <w:rPr>
          <w:lang w:val="et-EE"/>
        </w:rPr>
      </w:pPr>
    </w:p>
    <w:p w:rsidR="0024189D" w:rsidRDefault="0024189D" w:rsidP="0024189D">
      <w:pPr>
        <w:jc w:val="center"/>
        <w:rPr>
          <w:lang w:val="et-EE"/>
        </w:rPr>
      </w:pPr>
    </w:p>
    <w:p w:rsidR="0024189D" w:rsidRDefault="0024189D" w:rsidP="0024189D">
      <w:pPr>
        <w:jc w:val="center"/>
        <w:rPr>
          <w:lang w:val="et-EE"/>
        </w:rPr>
      </w:pPr>
    </w:p>
    <w:p w:rsidR="0024189D" w:rsidRDefault="0024189D" w:rsidP="0024189D">
      <w:pPr>
        <w:jc w:val="center"/>
        <w:rPr>
          <w:lang w:val="et-EE"/>
        </w:rPr>
      </w:pPr>
    </w:p>
    <w:p w:rsidR="0024189D" w:rsidRDefault="0024189D" w:rsidP="0024189D">
      <w:pPr>
        <w:jc w:val="center"/>
        <w:rPr>
          <w:lang w:val="et-EE"/>
        </w:rPr>
      </w:pPr>
    </w:p>
    <w:p w:rsidR="0024189D" w:rsidRDefault="0024189D" w:rsidP="0024189D">
      <w:pPr>
        <w:rPr>
          <w:lang w:val="et-EE"/>
        </w:rPr>
      </w:pPr>
    </w:p>
    <w:p w:rsidR="0024189D" w:rsidRPr="00D032BE" w:rsidRDefault="0024189D" w:rsidP="0024189D">
      <w:pPr>
        <w:rPr>
          <w:lang w:val="et-EE"/>
        </w:rPr>
        <w:sectPr w:rsidR="0024189D" w:rsidRPr="00D032BE" w:rsidSect="007709ED">
          <w:headerReference w:type="even" r:id="rId10"/>
          <w:footerReference w:type="even" r:id="rId11"/>
          <w:footerReference w:type="default" r:id="rId12"/>
          <w:pgSz w:w="11906" w:h="16838"/>
          <w:pgMar w:top="1417" w:right="1417" w:bottom="1417" w:left="1417" w:header="708" w:footer="708" w:gutter="0"/>
          <w:cols w:space="708"/>
          <w:titlePg/>
          <w:docGrid w:linePitch="360"/>
        </w:sectPr>
      </w:pPr>
    </w:p>
    <w:p w:rsidR="00D032BE" w:rsidRPr="00D032BE" w:rsidRDefault="00D032BE" w:rsidP="00D032BE">
      <w:pPr>
        <w:rPr>
          <w:lang w:val="et-EE"/>
        </w:rPr>
      </w:pPr>
    </w:p>
    <w:p w:rsidR="00D032BE" w:rsidRPr="00D032BE" w:rsidRDefault="00D032BE" w:rsidP="00D032BE">
      <w:pPr>
        <w:jc w:val="center"/>
        <w:rPr>
          <w:b/>
          <w:color w:val="348093"/>
          <w:sz w:val="32"/>
          <w:szCs w:val="32"/>
          <w:lang w:val="et-EE"/>
        </w:rPr>
      </w:pPr>
      <w:r w:rsidRPr="00D032BE">
        <w:rPr>
          <w:b/>
          <w:color w:val="348093"/>
          <w:sz w:val="32"/>
          <w:szCs w:val="32"/>
          <w:lang w:val="et-EE"/>
        </w:rPr>
        <w:t>SISUKORD</w:t>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FATFi soovituste loetelu</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_Ref338857955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683A70">
        <w:rPr>
          <w:rFonts w:ascii="Cambria" w:hAnsi="Cambria"/>
          <w:noProof/>
          <w:sz w:val="24"/>
          <w:szCs w:val="24"/>
          <w:lang w:val="et-EE"/>
        </w:rPr>
        <w:t>4</w:t>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 xml:space="preserve">Sissejuhatus </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_Ref338857960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683A70">
        <w:rPr>
          <w:rFonts w:ascii="Cambria" w:hAnsi="Cambria"/>
          <w:noProof/>
          <w:sz w:val="24"/>
          <w:szCs w:val="24"/>
          <w:lang w:val="et-EE"/>
        </w:rPr>
        <w:t>6</w:t>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 xml:space="preserve">FATFi soovitused </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_Ref338857965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683A70">
        <w:rPr>
          <w:rFonts w:ascii="Cambria" w:hAnsi="Cambria"/>
          <w:noProof/>
          <w:sz w:val="24"/>
          <w:szCs w:val="24"/>
          <w:lang w:val="et-EE"/>
        </w:rPr>
        <w:t>9</w:t>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 xml:space="preserve">Tõlgendavad märkused </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_Ref338857980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683A70">
        <w:rPr>
          <w:rFonts w:ascii="Cambria" w:hAnsi="Cambria"/>
          <w:noProof/>
          <w:sz w:val="24"/>
          <w:szCs w:val="24"/>
          <w:lang w:val="et-EE"/>
        </w:rPr>
        <w:t>31</w:t>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 xml:space="preserve">Märkus </w:t>
      </w:r>
      <w:r w:rsidR="006043CB">
        <w:rPr>
          <w:rFonts w:ascii="Cambria" w:hAnsi="Cambria"/>
          <w:sz w:val="24"/>
          <w:szCs w:val="24"/>
          <w:lang w:val="et-EE"/>
        </w:rPr>
        <w:t>finantsasutus</w:t>
      </w:r>
      <w:r w:rsidRPr="00D032BE">
        <w:rPr>
          <w:rFonts w:ascii="Cambria" w:hAnsi="Cambria"/>
          <w:sz w:val="24"/>
          <w:szCs w:val="24"/>
          <w:lang w:val="et-EE"/>
        </w:rPr>
        <w:t>i ja mittefinantsteenuseid pakkuvate määratud ettevõtjaid ja kutsetöötajaid käsitlevate nõuete õiguslike aluste kohta</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_Ref338857996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066666">
        <w:rPr>
          <w:rFonts w:ascii="Cambria" w:hAnsi="Cambria"/>
          <w:noProof/>
          <w:sz w:val="24"/>
          <w:szCs w:val="24"/>
          <w:lang w:val="et-EE"/>
        </w:rPr>
        <w:t>118</w:t>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Sõnaseletused</w:t>
      </w:r>
      <w:r w:rsidRPr="00D032BE">
        <w:rPr>
          <w:rFonts w:ascii="Cambria" w:hAnsi="Cambria"/>
          <w:sz w:val="24"/>
          <w:szCs w:val="24"/>
          <w:lang w:val="et-EE"/>
        </w:rPr>
        <w:tab/>
      </w:r>
      <w:r w:rsidR="00066666">
        <w:rPr>
          <w:rFonts w:ascii="Cambria" w:hAnsi="Cambria"/>
          <w:sz w:val="24"/>
          <w:szCs w:val="24"/>
          <w:lang w:val="et-EE"/>
        </w:rPr>
        <w:fldChar w:fldCharType="begin"/>
      </w:r>
      <w:r w:rsidR="00066666">
        <w:rPr>
          <w:rFonts w:ascii="Cambria" w:hAnsi="Cambria"/>
          <w:sz w:val="24"/>
          <w:szCs w:val="24"/>
          <w:lang w:val="et-EE"/>
        </w:rPr>
        <w:instrText xml:space="preserve"> PAGEREF _Ref342311395 \h </w:instrText>
      </w:r>
      <w:r w:rsidR="00066666">
        <w:rPr>
          <w:rFonts w:ascii="Cambria" w:hAnsi="Cambria"/>
          <w:sz w:val="24"/>
          <w:szCs w:val="24"/>
          <w:lang w:val="et-EE"/>
        </w:rPr>
      </w:r>
      <w:r w:rsidR="00066666">
        <w:rPr>
          <w:rFonts w:ascii="Cambria" w:hAnsi="Cambria"/>
          <w:sz w:val="24"/>
          <w:szCs w:val="24"/>
          <w:lang w:val="et-EE"/>
        </w:rPr>
        <w:fldChar w:fldCharType="separate"/>
      </w:r>
      <w:r w:rsidR="00066666">
        <w:rPr>
          <w:rFonts w:ascii="Cambria" w:hAnsi="Cambria"/>
          <w:noProof/>
          <w:sz w:val="24"/>
          <w:szCs w:val="24"/>
          <w:lang w:val="et-EE"/>
        </w:rPr>
        <w:t>120</w:t>
      </w:r>
      <w:r w:rsidR="00066666">
        <w:rPr>
          <w:rFonts w:ascii="Cambria" w:hAnsi="Cambria"/>
          <w:sz w:val="24"/>
          <w:szCs w:val="24"/>
          <w:lang w:val="et-EE"/>
        </w:rPr>
        <w:fldChar w:fldCharType="end"/>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_Ref338858003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Lühendid</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_Ref338858008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683A70">
        <w:rPr>
          <w:rFonts w:ascii="Cambria" w:hAnsi="Cambria"/>
          <w:noProof/>
          <w:sz w:val="24"/>
          <w:szCs w:val="24"/>
          <w:lang w:val="et-EE"/>
        </w:rPr>
        <w:t>136</w:t>
      </w:r>
      <w:r w:rsidR="00B86CDE" w:rsidRPr="00D032BE">
        <w:rPr>
          <w:rFonts w:ascii="Cambria" w:hAnsi="Cambria"/>
          <w:sz w:val="24"/>
          <w:szCs w:val="24"/>
          <w:lang w:val="et-EE"/>
        </w:rPr>
        <w:fldChar w:fldCharType="end"/>
      </w:r>
    </w:p>
    <w:p w:rsidR="00D032BE" w:rsidRPr="00D032BE" w:rsidRDefault="00D032BE" w:rsidP="00D032BE">
      <w:pPr>
        <w:tabs>
          <w:tab w:val="right" w:pos="7938"/>
        </w:tabs>
        <w:ind w:left="1134" w:right="1134"/>
        <w:rPr>
          <w:rFonts w:ascii="Cambria" w:hAnsi="Cambria"/>
          <w:sz w:val="24"/>
          <w:szCs w:val="24"/>
          <w:lang w:val="et-EE"/>
        </w:rPr>
      </w:pPr>
      <w:r w:rsidRPr="00D032BE">
        <w:rPr>
          <w:rFonts w:ascii="Cambria" w:hAnsi="Cambria"/>
          <w:sz w:val="24"/>
          <w:szCs w:val="24"/>
          <w:lang w:val="et-EE"/>
        </w:rPr>
        <w:t>Lisa: FATFi juhenddokumendid</w:t>
      </w:r>
      <w:r w:rsidRPr="00D032BE">
        <w:rPr>
          <w:rFonts w:ascii="Cambria" w:hAnsi="Cambria"/>
          <w:sz w:val="24"/>
          <w:szCs w:val="24"/>
          <w:lang w:val="et-EE"/>
        </w:rPr>
        <w:tab/>
      </w:r>
      <w:r w:rsidR="00B86CDE" w:rsidRPr="00D032BE">
        <w:rPr>
          <w:rFonts w:ascii="Cambria" w:hAnsi="Cambria"/>
          <w:sz w:val="24"/>
          <w:szCs w:val="24"/>
          <w:lang w:val="et-EE"/>
        </w:rPr>
        <w:fldChar w:fldCharType="begin"/>
      </w:r>
      <w:r w:rsidRPr="00D032BE">
        <w:rPr>
          <w:rFonts w:ascii="Cambria" w:hAnsi="Cambria"/>
          <w:sz w:val="24"/>
          <w:szCs w:val="24"/>
          <w:lang w:val="et-EE"/>
        </w:rPr>
        <w:instrText xml:space="preserve"> PAGEREF _Ref338858012 \h </w:instrText>
      </w:r>
      <w:r w:rsidR="00B86CDE" w:rsidRPr="00D032BE">
        <w:rPr>
          <w:rFonts w:ascii="Cambria" w:hAnsi="Cambria"/>
          <w:sz w:val="24"/>
          <w:szCs w:val="24"/>
          <w:lang w:val="et-EE"/>
        </w:rPr>
      </w:r>
      <w:r w:rsidR="00B86CDE" w:rsidRPr="00D032BE">
        <w:rPr>
          <w:rFonts w:ascii="Cambria" w:hAnsi="Cambria"/>
          <w:sz w:val="24"/>
          <w:szCs w:val="24"/>
          <w:lang w:val="et-EE"/>
        </w:rPr>
        <w:fldChar w:fldCharType="separate"/>
      </w:r>
      <w:r w:rsidR="00683A70">
        <w:rPr>
          <w:rFonts w:ascii="Cambria" w:hAnsi="Cambria"/>
          <w:noProof/>
          <w:sz w:val="24"/>
          <w:szCs w:val="24"/>
          <w:lang w:val="et-EE"/>
        </w:rPr>
        <w:t>138</w:t>
      </w:r>
      <w:r w:rsidR="00B86CDE" w:rsidRPr="00D032BE">
        <w:rPr>
          <w:rFonts w:ascii="Cambria" w:hAnsi="Cambria"/>
          <w:sz w:val="24"/>
          <w:szCs w:val="24"/>
          <w:lang w:val="et-EE"/>
        </w:rPr>
        <w:fldChar w:fldCharType="end"/>
      </w:r>
    </w:p>
    <w:p w:rsidR="00D032BE" w:rsidRPr="00D032BE" w:rsidRDefault="00D032BE" w:rsidP="00D032BE">
      <w:pPr>
        <w:rPr>
          <w:lang w:val="et-EE"/>
        </w:rPr>
      </w:pPr>
      <w:r w:rsidRPr="00D032BE">
        <w:rPr>
          <w:lang w:val="et-EE"/>
        </w:rPr>
        <w:br w:type="page"/>
      </w:r>
    </w:p>
    <w:p w:rsidR="00D032BE" w:rsidRPr="00D032BE" w:rsidRDefault="00D032BE" w:rsidP="00D032BE">
      <w:pPr>
        <w:pStyle w:val="Pealkiri1"/>
        <w:jc w:val="center"/>
      </w:pPr>
      <w:bookmarkStart w:id="1" w:name="_Toc338857791"/>
      <w:bookmarkStart w:id="2" w:name="_Ref338857955"/>
      <w:r w:rsidRPr="00D032BE">
        <w:lastRenderedPageBreak/>
        <w:t>FATFi SOOVITUSED</w:t>
      </w:r>
      <w:bookmarkEnd w:id="1"/>
      <w:bookmarkEnd w:id="2"/>
    </w:p>
    <w:tbl>
      <w:tblPr>
        <w:tblW w:w="0" w:type="auto"/>
        <w:tblLook w:val="00A0" w:firstRow="1" w:lastRow="0" w:firstColumn="1" w:lastColumn="0" w:noHBand="0" w:noVBand="0"/>
      </w:tblPr>
      <w:tblGrid>
        <w:gridCol w:w="1034"/>
        <w:gridCol w:w="1624"/>
        <w:gridCol w:w="6584"/>
      </w:tblGrid>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Number </w:t>
            </w:r>
          </w:p>
        </w:tc>
        <w:tc>
          <w:tcPr>
            <w:tcW w:w="1626"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Endine number</w:t>
            </w:r>
          </w:p>
        </w:tc>
        <w:tc>
          <w:tcPr>
            <w:tcW w:w="6593" w:type="dxa"/>
          </w:tcPr>
          <w:p w:rsidR="00D032BE" w:rsidRPr="00D032BE" w:rsidRDefault="00D032BE" w:rsidP="006B35DC">
            <w:pPr>
              <w:spacing w:line="240" w:lineRule="auto"/>
              <w:rPr>
                <w:sz w:val="24"/>
                <w:szCs w:val="24"/>
                <w:lang w:val="et-EE" w:eastAsia="zh-CN"/>
              </w:rPr>
            </w:pP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D032BE" w:rsidRDefault="00D032BE" w:rsidP="00162FFB">
            <w:pPr>
              <w:spacing w:line="240" w:lineRule="auto"/>
              <w:rPr>
                <w:b/>
                <w:sz w:val="24"/>
                <w:szCs w:val="24"/>
                <w:lang w:val="et-EE" w:eastAsia="zh-CN"/>
              </w:rPr>
            </w:pPr>
            <w:r w:rsidRPr="00D032BE">
              <w:rPr>
                <w:b/>
                <w:sz w:val="24"/>
                <w:szCs w:val="24"/>
                <w:lang w:val="et-EE" w:eastAsia="zh-CN"/>
              </w:rPr>
              <w:t xml:space="preserve">A – </w:t>
            </w:r>
            <w:r w:rsidR="002A32CF">
              <w:rPr>
                <w:b/>
                <w:caps/>
                <w:sz w:val="24"/>
                <w:szCs w:val="24"/>
                <w:lang w:val="et-EE" w:eastAsia="zh-CN"/>
              </w:rPr>
              <w:t>Rahapesu</w:t>
            </w:r>
            <w:r w:rsidRPr="00D032BE">
              <w:rPr>
                <w:b/>
                <w:caps/>
                <w:sz w:val="24"/>
                <w:szCs w:val="24"/>
                <w:lang w:val="et-EE" w:eastAsia="zh-CN"/>
              </w:rPr>
              <w:t xml:space="preserve"> ja terrorismi rahastamise </w:t>
            </w:r>
            <w:r w:rsidR="00162FFB">
              <w:rPr>
                <w:b/>
                <w:caps/>
                <w:sz w:val="24"/>
                <w:szCs w:val="24"/>
                <w:lang w:val="et-EE" w:eastAsia="zh-CN"/>
              </w:rPr>
              <w:t>Tõkestamise</w:t>
            </w:r>
            <w:r w:rsidRPr="00D032BE">
              <w:rPr>
                <w:b/>
                <w:caps/>
                <w:sz w:val="24"/>
                <w:szCs w:val="24"/>
                <w:lang w:val="et-EE" w:eastAsia="zh-CN"/>
              </w:rPr>
              <w:t xml:space="preserve"> pÕhimõtted ja koordineerimine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 </w:t>
            </w:r>
          </w:p>
        </w:tc>
        <w:tc>
          <w:tcPr>
            <w:tcW w:w="6593" w:type="dxa"/>
          </w:tcPr>
          <w:p w:rsidR="00D032BE" w:rsidRPr="00D032BE" w:rsidRDefault="00D032BE" w:rsidP="006B35DC">
            <w:pPr>
              <w:spacing w:line="240" w:lineRule="auto"/>
              <w:rPr>
                <w:sz w:val="24"/>
                <w:szCs w:val="24"/>
                <w:lang w:val="et-EE" w:eastAsia="zh-CN"/>
              </w:rPr>
            </w:pPr>
            <w:r w:rsidRPr="00D032BE">
              <w:rPr>
                <w:sz w:val="24"/>
                <w:szCs w:val="24"/>
                <w:lang w:val="et-EE" w:eastAsia="zh-CN"/>
              </w:rPr>
              <w:t>Riskide hindamine ja riskipõhise lähenemise rakendamine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2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R.31 </w:t>
            </w:r>
          </w:p>
        </w:tc>
        <w:tc>
          <w:tcPr>
            <w:tcW w:w="6593" w:type="dxa"/>
          </w:tcPr>
          <w:p w:rsidR="00D032BE" w:rsidRPr="00D032BE" w:rsidRDefault="00D032BE" w:rsidP="006B35DC">
            <w:pPr>
              <w:spacing w:line="240" w:lineRule="auto"/>
              <w:rPr>
                <w:sz w:val="24"/>
                <w:szCs w:val="24"/>
                <w:lang w:val="et-EE" w:eastAsia="zh-CN"/>
              </w:rPr>
            </w:pPr>
            <w:r w:rsidRPr="00D032BE">
              <w:rPr>
                <w:sz w:val="24"/>
                <w:szCs w:val="24"/>
                <w:lang w:val="et-EE" w:eastAsia="zh-CN"/>
              </w:rPr>
              <w:t>Siseriiklik koostöö ja koordineerimine</w:t>
            </w: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D032BE" w:rsidRDefault="00D032BE" w:rsidP="006B35DC">
            <w:pPr>
              <w:spacing w:line="240" w:lineRule="auto"/>
              <w:rPr>
                <w:sz w:val="24"/>
                <w:szCs w:val="24"/>
                <w:lang w:val="et-EE" w:eastAsia="zh-CN"/>
              </w:rPr>
            </w:pPr>
            <w:r w:rsidRPr="00D032BE">
              <w:rPr>
                <w:b/>
                <w:sz w:val="24"/>
                <w:szCs w:val="24"/>
                <w:lang w:val="et-EE" w:eastAsia="zh-CN"/>
              </w:rPr>
              <w:t xml:space="preserve">B – </w:t>
            </w:r>
            <w:r w:rsidRPr="00D032BE">
              <w:rPr>
                <w:b/>
                <w:caps/>
                <w:sz w:val="24"/>
                <w:szCs w:val="24"/>
                <w:lang w:val="et-EE" w:eastAsia="zh-CN"/>
              </w:rPr>
              <w:t>Rahapesu ja konfiskeerimine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3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 &amp; R.2 </w:t>
            </w:r>
          </w:p>
        </w:tc>
        <w:tc>
          <w:tcPr>
            <w:tcW w:w="6593" w:type="dxa"/>
          </w:tcPr>
          <w:p w:rsidR="00D032BE" w:rsidRPr="00D032BE" w:rsidRDefault="00D032BE" w:rsidP="006B35DC">
            <w:pPr>
              <w:spacing w:line="240" w:lineRule="auto"/>
              <w:rPr>
                <w:sz w:val="24"/>
                <w:szCs w:val="24"/>
                <w:lang w:val="et-EE" w:eastAsia="zh-CN"/>
              </w:rPr>
            </w:pPr>
            <w:r w:rsidRPr="00D032BE">
              <w:rPr>
                <w:sz w:val="24"/>
                <w:szCs w:val="24"/>
                <w:lang w:val="et-EE" w:eastAsia="zh-CN"/>
              </w:rPr>
              <w:t>Rahapesu kuritegu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4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R.3 </w:t>
            </w:r>
          </w:p>
        </w:tc>
        <w:tc>
          <w:tcPr>
            <w:tcW w:w="6593" w:type="dxa"/>
          </w:tcPr>
          <w:p w:rsidR="00D032BE" w:rsidRPr="00D032BE" w:rsidRDefault="00D032BE" w:rsidP="006B35DC">
            <w:pPr>
              <w:spacing w:line="240" w:lineRule="auto"/>
              <w:rPr>
                <w:sz w:val="24"/>
                <w:szCs w:val="24"/>
                <w:lang w:val="et-EE" w:eastAsia="zh-CN"/>
              </w:rPr>
            </w:pPr>
            <w:r w:rsidRPr="00D032BE">
              <w:rPr>
                <w:sz w:val="24"/>
                <w:szCs w:val="24"/>
                <w:lang w:val="et-EE" w:eastAsia="zh-CN"/>
              </w:rPr>
              <w:t>Konfiskeerimine ja ajutised meetmed *</w:t>
            </w: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40255A" w:rsidRDefault="00D032BE" w:rsidP="0040255A">
            <w:pPr>
              <w:spacing w:line="240" w:lineRule="auto"/>
              <w:rPr>
                <w:b/>
                <w:sz w:val="24"/>
                <w:szCs w:val="24"/>
                <w:lang w:val="et-EE" w:eastAsia="zh-CN"/>
              </w:rPr>
            </w:pPr>
            <w:r w:rsidRPr="0040255A">
              <w:rPr>
                <w:b/>
                <w:sz w:val="24"/>
                <w:szCs w:val="24"/>
                <w:lang w:val="et-EE" w:eastAsia="zh-CN"/>
              </w:rPr>
              <w:t xml:space="preserve">C – </w:t>
            </w:r>
            <w:r w:rsidRPr="0040255A">
              <w:rPr>
                <w:b/>
                <w:caps/>
                <w:sz w:val="24"/>
                <w:szCs w:val="24"/>
                <w:lang w:val="et-EE" w:eastAsia="zh-CN"/>
              </w:rPr>
              <w:t>Terrorismi rahastami</w:t>
            </w:r>
            <w:r w:rsidR="0040255A">
              <w:rPr>
                <w:b/>
                <w:caps/>
                <w:sz w:val="24"/>
                <w:szCs w:val="24"/>
                <w:lang w:val="et-EE" w:eastAsia="zh-CN"/>
              </w:rPr>
              <w:t>S</w:t>
            </w:r>
            <w:r w:rsidRPr="0040255A">
              <w:rPr>
                <w:b/>
                <w:caps/>
                <w:sz w:val="24"/>
                <w:szCs w:val="24"/>
                <w:lang w:val="et-EE" w:eastAsia="zh-CN"/>
              </w:rPr>
              <w:t xml:space="preserve">e ja massihävitusrelvade leviku </w:t>
            </w:r>
            <w:r w:rsidR="0040255A">
              <w:rPr>
                <w:b/>
                <w:caps/>
                <w:sz w:val="24"/>
                <w:szCs w:val="24"/>
                <w:lang w:val="et-EE" w:eastAsia="zh-CN"/>
              </w:rPr>
              <w:t>TÕKESTAMIN</w:t>
            </w:r>
            <w:r w:rsidRPr="0040255A">
              <w:rPr>
                <w:b/>
                <w:caps/>
                <w:sz w:val="24"/>
                <w:szCs w:val="24"/>
                <w:lang w:val="et-EE" w:eastAsia="zh-CN"/>
              </w:rPr>
              <w:t>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5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SRII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Terrorismi rahastamise kuritegu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6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SRIII </w:t>
            </w:r>
          </w:p>
        </w:tc>
        <w:tc>
          <w:tcPr>
            <w:tcW w:w="6593" w:type="dxa"/>
          </w:tcPr>
          <w:p w:rsidR="00D032BE" w:rsidRPr="0040255A" w:rsidRDefault="00D032BE" w:rsidP="002F4C95">
            <w:pPr>
              <w:spacing w:line="240" w:lineRule="auto"/>
              <w:rPr>
                <w:sz w:val="24"/>
                <w:szCs w:val="24"/>
                <w:lang w:val="et-EE" w:eastAsia="zh-CN"/>
              </w:rPr>
            </w:pPr>
            <w:r w:rsidRPr="0040255A">
              <w:rPr>
                <w:sz w:val="24"/>
                <w:szCs w:val="24"/>
                <w:lang w:val="et-EE" w:eastAsia="zh-CN"/>
              </w:rPr>
              <w:t>Terrorismi ja terrorism</w:t>
            </w:r>
            <w:r w:rsidR="002F4C95" w:rsidRPr="0040255A">
              <w:rPr>
                <w:sz w:val="24"/>
                <w:szCs w:val="24"/>
                <w:lang w:val="et-EE" w:eastAsia="zh-CN"/>
              </w:rPr>
              <w:t>i</w:t>
            </w:r>
            <w:r w:rsidRPr="0040255A">
              <w:rPr>
                <w:sz w:val="24"/>
                <w:szCs w:val="24"/>
                <w:lang w:val="et-EE" w:eastAsia="zh-CN"/>
              </w:rPr>
              <w:t xml:space="preserve"> rahastamisega </w:t>
            </w:r>
            <w:r w:rsidR="002F4C95" w:rsidRPr="0040255A">
              <w:rPr>
                <w:sz w:val="24"/>
                <w:szCs w:val="24"/>
                <w:lang w:val="et-EE" w:eastAsia="zh-CN"/>
              </w:rPr>
              <w:t>seotud sanktsioonid</w:t>
            </w:r>
            <w:r w:rsidRPr="0040255A">
              <w:rPr>
                <w:sz w:val="24"/>
                <w:szCs w:val="24"/>
                <w:lang w:val="et-EE" w:eastAsia="zh-CN"/>
              </w:rPr>
              <w:t xml:space="preserv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7 </w:t>
            </w: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D032BE" w:rsidP="002F4C95">
            <w:pPr>
              <w:spacing w:line="240" w:lineRule="auto"/>
              <w:rPr>
                <w:sz w:val="24"/>
                <w:szCs w:val="24"/>
                <w:lang w:val="et-EE" w:eastAsia="zh-CN"/>
              </w:rPr>
            </w:pPr>
            <w:r w:rsidRPr="0040255A">
              <w:rPr>
                <w:sz w:val="24"/>
                <w:szCs w:val="24"/>
                <w:lang w:val="et-EE" w:eastAsia="zh-CN"/>
              </w:rPr>
              <w:t xml:space="preserve">Massihävitusrelvade levikuga seotud </w:t>
            </w:r>
            <w:r w:rsidR="002F4C95" w:rsidRPr="0040255A">
              <w:rPr>
                <w:sz w:val="24"/>
                <w:szCs w:val="24"/>
                <w:lang w:val="et-EE" w:eastAsia="zh-CN"/>
              </w:rPr>
              <w:t>sanktsioonid</w:t>
            </w:r>
            <w:r w:rsidRPr="0040255A">
              <w:rPr>
                <w:sz w:val="24"/>
                <w:szCs w:val="24"/>
                <w:lang w:val="et-EE" w:eastAsia="zh-CN"/>
              </w:rPr>
              <w:t xml:space="preserv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8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SRVIII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Mittetulundusühingud *</w:t>
            </w: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40255A" w:rsidRDefault="00D032BE" w:rsidP="002F4C95">
            <w:pPr>
              <w:spacing w:line="240" w:lineRule="auto"/>
              <w:rPr>
                <w:sz w:val="24"/>
                <w:szCs w:val="24"/>
                <w:lang w:val="et-EE" w:eastAsia="zh-CN"/>
              </w:rPr>
            </w:pPr>
            <w:r w:rsidRPr="0040255A">
              <w:rPr>
                <w:b/>
                <w:sz w:val="24"/>
                <w:szCs w:val="24"/>
                <w:lang w:val="et-EE" w:eastAsia="zh-CN"/>
              </w:rPr>
              <w:t xml:space="preserve">D – </w:t>
            </w:r>
            <w:r w:rsidR="004060D7" w:rsidRPr="004060D7">
              <w:rPr>
                <w:b/>
                <w:caps/>
                <w:sz w:val="24"/>
                <w:szCs w:val="24"/>
                <w:lang w:eastAsia="zh-CN"/>
              </w:rPr>
              <w:t>KLIENTIDE SUHTES RAKENDATAVAD HOOLSUSMEETMED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9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R.4 </w:t>
            </w:r>
          </w:p>
        </w:tc>
        <w:tc>
          <w:tcPr>
            <w:tcW w:w="6593" w:type="dxa"/>
          </w:tcPr>
          <w:p w:rsidR="00D032BE" w:rsidRPr="0040255A" w:rsidRDefault="0040255A" w:rsidP="006B35DC">
            <w:pPr>
              <w:spacing w:line="240" w:lineRule="auto"/>
              <w:rPr>
                <w:sz w:val="24"/>
                <w:szCs w:val="24"/>
                <w:lang w:val="et-EE" w:eastAsia="zh-CN"/>
              </w:rPr>
            </w:pPr>
            <w:r w:rsidRPr="0040255A">
              <w:rPr>
                <w:sz w:val="24"/>
                <w:szCs w:val="24"/>
                <w:lang w:val="et-EE" w:eastAsia="zh-CN"/>
              </w:rPr>
              <w:t>Finantsasutuste käsutuses olevate andmete konfidentsiaalsust reguleerivad seadused</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F82C8E" w:rsidP="00F82C8E">
            <w:pPr>
              <w:spacing w:line="240" w:lineRule="auto"/>
              <w:rPr>
                <w:b/>
                <w:i/>
                <w:sz w:val="24"/>
                <w:szCs w:val="24"/>
                <w:lang w:val="et-EE" w:eastAsia="zh-CN"/>
              </w:rPr>
            </w:pPr>
            <w:r w:rsidRPr="0040255A">
              <w:rPr>
                <w:b/>
                <w:i/>
                <w:color w:val="348093"/>
                <w:sz w:val="24"/>
                <w:szCs w:val="24"/>
                <w:lang w:val="et-EE" w:eastAsia="zh-CN"/>
              </w:rPr>
              <w:t>Hoolsusmeetmed</w:t>
            </w:r>
            <w:r w:rsidR="00D032BE" w:rsidRPr="0040255A">
              <w:rPr>
                <w:b/>
                <w:i/>
                <w:color w:val="348093"/>
                <w:sz w:val="24"/>
                <w:szCs w:val="24"/>
                <w:lang w:val="et-EE" w:eastAsia="zh-CN"/>
              </w:rPr>
              <w:t xml:space="preserve"> ja andmete säilitamine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10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R.5 </w:t>
            </w:r>
          </w:p>
        </w:tc>
        <w:tc>
          <w:tcPr>
            <w:tcW w:w="6593" w:type="dxa"/>
          </w:tcPr>
          <w:p w:rsidR="00D032BE" w:rsidRPr="0040255A" w:rsidRDefault="00F82C8E" w:rsidP="002222DE">
            <w:pPr>
              <w:spacing w:line="240" w:lineRule="auto"/>
              <w:rPr>
                <w:sz w:val="24"/>
                <w:szCs w:val="24"/>
                <w:lang w:val="et-EE" w:eastAsia="zh-CN"/>
              </w:rPr>
            </w:pPr>
            <w:r w:rsidRPr="0040255A">
              <w:rPr>
                <w:sz w:val="24"/>
                <w:szCs w:val="24"/>
                <w:lang w:val="et-EE" w:eastAsia="zh-CN"/>
              </w:rPr>
              <w:t>H</w:t>
            </w:r>
            <w:r w:rsidR="00D032BE" w:rsidRPr="0040255A">
              <w:rPr>
                <w:sz w:val="24"/>
                <w:szCs w:val="24"/>
                <w:lang w:val="et-EE" w:eastAsia="zh-CN"/>
              </w:rPr>
              <w:t>oolsusmeetmed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11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R.10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Andmete säilitamine</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F82C8E" w:rsidP="006B35DC">
            <w:pPr>
              <w:spacing w:line="240" w:lineRule="auto"/>
              <w:rPr>
                <w:sz w:val="24"/>
                <w:szCs w:val="24"/>
                <w:lang w:val="et-EE" w:eastAsia="zh-CN"/>
              </w:rPr>
            </w:pPr>
            <w:r w:rsidRPr="0040255A">
              <w:rPr>
                <w:b/>
                <w:i/>
                <w:color w:val="348093"/>
                <w:sz w:val="24"/>
                <w:szCs w:val="24"/>
                <w:lang w:val="et-EE" w:eastAsia="zh-CN"/>
              </w:rPr>
              <w:t>Täiendavad hoolsusmeetmed</w:t>
            </w:r>
            <w:r w:rsidR="00D032BE" w:rsidRPr="0040255A">
              <w:rPr>
                <w:b/>
                <w:i/>
                <w:color w:val="348093"/>
                <w:sz w:val="24"/>
                <w:szCs w:val="24"/>
                <w:lang w:val="et-EE" w:eastAsia="zh-CN"/>
              </w:rPr>
              <w:t xml:space="preserve"> seoses konkreetsete klientide ja toimingutega</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12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R.6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Riikliku taustaga isikud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13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R.7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Korrespondentpangandus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14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SRVI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 xml:space="preserve">Raha või </w:t>
            </w:r>
            <w:r w:rsidR="006F4DF2" w:rsidRPr="0040255A">
              <w:rPr>
                <w:sz w:val="24"/>
                <w:szCs w:val="24"/>
                <w:lang w:val="et-EE" w:eastAsia="zh-CN"/>
              </w:rPr>
              <w:t>alternatiivse</w:t>
            </w:r>
            <w:r w:rsidR="00847867" w:rsidRPr="0040255A">
              <w:rPr>
                <w:sz w:val="24"/>
                <w:szCs w:val="24"/>
                <w:lang w:val="et-EE" w:eastAsia="zh-CN"/>
              </w:rPr>
              <w:t xml:space="preserve"> </w:t>
            </w:r>
            <w:r w:rsidR="006F4DF2" w:rsidRPr="0040255A">
              <w:rPr>
                <w:sz w:val="24"/>
                <w:szCs w:val="24"/>
                <w:lang w:val="et-EE" w:eastAsia="zh-CN"/>
              </w:rPr>
              <w:t>maksevahendi</w:t>
            </w:r>
            <w:r w:rsidRPr="0040255A">
              <w:rPr>
                <w:sz w:val="24"/>
                <w:szCs w:val="24"/>
                <w:lang w:val="et-EE" w:eastAsia="zh-CN"/>
              </w:rPr>
              <w:t xml:space="preserve"> ülekandeteenused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15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R.8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Uued tehnoloogiad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16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SRVII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Elektroonilised ülekanded *</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40255A" w:rsidP="00D654B5">
            <w:pPr>
              <w:spacing w:line="240" w:lineRule="auto"/>
              <w:rPr>
                <w:sz w:val="24"/>
                <w:szCs w:val="24"/>
                <w:lang w:val="et-EE" w:eastAsia="zh-CN"/>
              </w:rPr>
            </w:pPr>
            <w:r>
              <w:rPr>
                <w:b/>
                <w:i/>
                <w:color w:val="348093"/>
                <w:sz w:val="24"/>
                <w:szCs w:val="24"/>
                <w:lang w:val="et-EE" w:eastAsia="zh-CN"/>
              </w:rPr>
              <w:t>K</w:t>
            </w:r>
            <w:r w:rsidR="00F82C8E" w:rsidRPr="0040255A">
              <w:rPr>
                <w:b/>
                <w:i/>
                <w:color w:val="348093"/>
                <w:sz w:val="24"/>
                <w:szCs w:val="24"/>
                <w:lang w:val="et-EE" w:eastAsia="zh-CN"/>
              </w:rPr>
              <w:t>olmandale isikule tuginemine</w:t>
            </w:r>
            <w:r w:rsidRPr="0040255A">
              <w:rPr>
                <w:b/>
                <w:i/>
                <w:color w:val="348093"/>
                <w:sz w:val="24"/>
                <w:szCs w:val="24"/>
                <w:lang w:val="et-EE" w:eastAsia="zh-CN"/>
              </w:rPr>
              <w:t xml:space="preserve"> </w:t>
            </w:r>
            <w:r>
              <w:rPr>
                <w:b/>
                <w:i/>
                <w:color w:val="348093"/>
                <w:sz w:val="24"/>
                <w:szCs w:val="24"/>
                <w:lang w:val="et-EE" w:eastAsia="zh-CN"/>
              </w:rPr>
              <w:t>h</w:t>
            </w:r>
            <w:r w:rsidRPr="0040255A">
              <w:rPr>
                <w:b/>
                <w:i/>
                <w:color w:val="348093"/>
                <w:sz w:val="24"/>
                <w:szCs w:val="24"/>
                <w:lang w:val="et-EE" w:eastAsia="zh-CN"/>
              </w:rPr>
              <w:t>oolsusmeetmete kohaldamisel</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17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R.9 </w:t>
            </w:r>
          </w:p>
        </w:tc>
        <w:tc>
          <w:tcPr>
            <w:tcW w:w="6593" w:type="dxa"/>
          </w:tcPr>
          <w:p w:rsidR="00D032BE" w:rsidRPr="0040255A" w:rsidRDefault="00F82C8E" w:rsidP="006B35DC">
            <w:pPr>
              <w:spacing w:line="240" w:lineRule="auto"/>
              <w:rPr>
                <w:sz w:val="24"/>
                <w:szCs w:val="24"/>
                <w:lang w:val="et-EE" w:eastAsia="zh-CN"/>
              </w:rPr>
            </w:pPr>
            <w:r w:rsidRPr="0040255A">
              <w:rPr>
                <w:sz w:val="24"/>
                <w:szCs w:val="24"/>
                <w:lang w:val="et-EE" w:eastAsia="zh-CN"/>
              </w:rPr>
              <w:t xml:space="preserve">Tuginemine kolmanda isiku poolt hoolsusmeetmete käigus tuvastatud teabele </w:t>
            </w:r>
            <w:r w:rsidR="00D032BE" w:rsidRPr="0040255A">
              <w:rPr>
                <w:sz w:val="24"/>
                <w:szCs w:val="24"/>
                <w:lang w:val="et-EE" w:eastAsia="zh-CN"/>
              </w:rPr>
              <w:t>*</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18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R.15 &amp; R.22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Sisekontrollimehhanismid ning välismaised filiaalid ja t</w:t>
            </w:r>
            <w:r w:rsidR="00F82C8E" w:rsidRPr="0040255A">
              <w:rPr>
                <w:sz w:val="24"/>
                <w:szCs w:val="24"/>
                <w:lang w:val="et-EE" w:eastAsia="zh-CN"/>
              </w:rPr>
              <w:t xml:space="preserve">ütarettevõtted </w:t>
            </w:r>
            <w:r w:rsidRPr="0040255A">
              <w:rPr>
                <w:sz w:val="24"/>
                <w:szCs w:val="24"/>
                <w:lang w:val="et-EE" w:eastAsia="zh-CN"/>
              </w:rPr>
              <w:t>*</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19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R.21 </w:t>
            </w:r>
          </w:p>
        </w:tc>
        <w:tc>
          <w:tcPr>
            <w:tcW w:w="6593" w:type="dxa"/>
          </w:tcPr>
          <w:p w:rsidR="00D032BE" w:rsidRPr="0040255A" w:rsidRDefault="00D032BE" w:rsidP="00213F51">
            <w:pPr>
              <w:spacing w:line="240" w:lineRule="auto"/>
              <w:rPr>
                <w:sz w:val="24"/>
                <w:szCs w:val="24"/>
                <w:lang w:val="et-EE" w:eastAsia="zh-CN"/>
              </w:rPr>
            </w:pPr>
            <w:r w:rsidRPr="0040255A">
              <w:rPr>
                <w:sz w:val="24"/>
                <w:szCs w:val="24"/>
                <w:lang w:val="et-EE" w:eastAsia="zh-CN"/>
              </w:rPr>
              <w:t xml:space="preserve">Kõrgema </w:t>
            </w:r>
            <w:r w:rsidR="00213F51" w:rsidRPr="0040255A">
              <w:rPr>
                <w:sz w:val="24"/>
                <w:szCs w:val="24"/>
                <w:lang w:val="et-EE" w:eastAsia="zh-CN"/>
              </w:rPr>
              <w:t xml:space="preserve">riskiastmega </w:t>
            </w:r>
            <w:r w:rsidRPr="0040255A">
              <w:rPr>
                <w:sz w:val="24"/>
                <w:szCs w:val="24"/>
                <w:lang w:val="et-EE" w:eastAsia="zh-CN"/>
              </w:rPr>
              <w:t>riigid *</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D032BE" w:rsidP="006B35DC">
            <w:pPr>
              <w:spacing w:line="240" w:lineRule="auto"/>
              <w:rPr>
                <w:sz w:val="24"/>
                <w:szCs w:val="24"/>
                <w:lang w:val="et-EE" w:eastAsia="zh-CN"/>
              </w:rPr>
            </w:pPr>
            <w:r w:rsidRPr="0040255A">
              <w:rPr>
                <w:b/>
                <w:i/>
                <w:color w:val="348093"/>
                <w:sz w:val="24"/>
                <w:szCs w:val="24"/>
                <w:lang w:val="et-EE" w:eastAsia="zh-CN"/>
              </w:rPr>
              <w:t>Kahtlastest tehingutest teatamine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20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R.13 &amp; SRIV </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Kahtlastest tehingutest teatamine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21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R.14 </w:t>
            </w:r>
          </w:p>
        </w:tc>
        <w:tc>
          <w:tcPr>
            <w:tcW w:w="6593" w:type="dxa"/>
          </w:tcPr>
          <w:p w:rsidR="00D032BE" w:rsidRPr="0040255A" w:rsidRDefault="00890E8A" w:rsidP="00890E8A">
            <w:pPr>
              <w:spacing w:line="240" w:lineRule="auto"/>
              <w:rPr>
                <w:sz w:val="24"/>
                <w:szCs w:val="24"/>
                <w:lang w:val="et-EE" w:eastAsia="zh-CN"/>
              </w:rPr>
            </w:pPr>
            <w:r>
              <w:rPr>
                <w:sz w:val="24"/>
                <w:szCs w:val="24"/>
                <w:lang w:val="et-EE" w:eastAsia="zh-CN"/>
              </w:rPr>
              <w:t>Kliendi</w:t>
            </w:r>
            <w:r w:rsidR="00D032BE" w:rsidRPr="0040255A">
              <w:rPr>
                <w:sz w:val="24"/>
                <w:szCs w:val="24"/>
                <w:lang w:val="et-EE" w:eastAsia="zh-CN"/>
              </w:rPr>
              <w:t xml:space="preserve"> tea</w:t>
            </w:r>
            <w:r>
              <w:rPr>
                <w:sz w:val="24"/>
                <w:szCs w:val="24"/>
                <w:lang w:val="et-EE" w:eastAsia="zh-CN"/>
              </w:rPr>
              <w:t>vitamine</w:t>
            </w:r>
            <w:r w:rsidR="00D032BE" w:rsidRPr="0040255A">
              <w:rPr>
                <w:sz w:val="24"/>
                <w:szCs w:val="24"/>
                <w:lang w:val="et-EE" w:eastAsia="zh-CN"/>
              </w:rPr>
              <w:t xml:space="preserve"> </w:t>
            </w:r>
            <w:r>
              <w:rPr>
                <w:sz w:val="24"/>
                <w:szCs w:val="24"/>
                <w:lang w:val="et-EE" w:eastAsia="zh-CN"/>
              </w:rPr>
              <w:t>rahapesu kahtlusest</w:t>
            </w:r>
            <w:r w:rsidR="00D032BE" w:rsidRPr="0040255A">
              <w:rPr>
                <w:sz w:val="24"/>
                <w:szCs w:val="24"/>
                <w:lang w:val="et-EE" w:eastAsia="zh-CN"/>
              </w:rPr>
              <w:t xml:space="preserve"> ja konfidentsiaalsus</w:t>
            </w:r>
            <w:r w:rsidR="00F82C8E" w:rsidRPr="0040255A">
              <w:rPr>
                <w:sz w:val="24"/>
                <w:szCs w:val="24"/>
                <w:lang w:val="et-EE" w:eastAsia="zh-CN"/>
              </w:rPr>
              <w:t>piirangud</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D032BE" w:rsidP="00F82C8E">
            <w:pPr>
              <w:spacing w:line="240" w:lineRule="auto"/>
              <w:rPr>
                <w:b/>
                <w:i/>
                <w:color w:val="348093"/>
                <w:sz w:val="24"/>
                <w:szCs w:val="24"/>
                <w:lang w:val="et-EE" w:eastAsia="zh-CN"/>
              </w:rPr>
            </w:pPr>
            <w:r w:rsidRPr="0040255A">
              <w:rPr>
                <w:b/>
                <w:i/>
                <w:color w:val="348093"/>
                <w:sz w:val="24"/>
                <w:szCs w:val="24"/>
                <w:lang w:val="et-EE" w:eastAsia="zh-CN"/>
              </w:rPr>
              <w:t xml:space="preserve">Mittefinantsteenuseid pakkuvad </w:t>
            </w:r>
            <w:r w:rsidR="00F82C8E" w:rsidRPr="0040255A">
              <w:rPr>
                <w:b/>
                <w:i/>
                <w:color w:val="348093"/>
                <w:sz w:val="24"/>
                <w:szCs w:val="24"/>
                <w:lang w:val="et-EE" w:eastAsia="zh-CN"/>
              </w:rPr>
              <w:t>kohustatud</w:t>
            </w:r>
            <w:r w:rsidRPr="0040255A">
              <w:rPr>
                <w:b/>
                <w:i/>
                <w:color w:val="348093"/>
                <w:sz w:val="24"/>
                <w:szCs w:val="24"/>
                <w:lang w:val="et-EE" w:eastAsia="zh-CN"/>
              </w:rPr>
              <w:t xml:space="preserve"> ettevõtjad ja kutsetöötajad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22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R.12 </w:t>
            </w:r>
          </w:p>
        </w:tc>
        <w:tc>
          <w:tcPr>
            <w:tcW w:w="6593" w:type="dxa"/>
          </w:tcPr>
          <w:p w:rsidR="00D032BE" w:rsidRPr="002D4AC1" w:rsidRDefault="00D032BE" w:rsidP="002D4AC1">
            <w:pPr>
              <w:spacing w:line="240" w:lineRule="auto"/>
              <w:rPr>
                <w:sz w:val="24"/>
                <w:szCs w:val="24"/>
                <w:lang w:val="et-EE" w:eastAsia="zh-CN"/>
              </w:rPr>
            </w:pPr>
            <w:r w:rsidRPr="002D4AC1">
              <w:rPr>
                <w:sz w:val="24"/>
                <w:szCs w:val="24"/>
                <w:lang w:val="et-EE" w:eastAsia="zh-CN"/>
              </w:rPr>
              <w:t xml:space="preserve">Mittefinantsteenuseid pakkuvad </w:t>
            </w:r>
            <w:r w:rsidR="00F82C8E" w:rsidRPr="002D4AC1">
              <w:rPr>
                <w:sz w:val="24"/>
                <w:szCs w:val="24"/>
                <w:lang w:val="et-EE" w:eastAsia="zh-CN"/>
              </w:rPr>
              <w:t>kohustatud</w:t>
            </w:r>
            <w:r w:rsidRPr="002D4AC1">
              <w:rPr>
                <w:sz w:val="24"/>
                <w:szCs w:val="24"/>
                <w:lang w:val="et-EE" w:eastAsia="zh-CN"/>
              </w:rPr>
              <w:t xml:space="preserve"> ettevõtj</w:t>
            </w:r>
            <w:r w:rsidR="00890E8A" w:rsidRPr="002D4AC1">
              <w:rPr>
                <w:sz w:val="24"/>
                <w:szCs w:val="24"/>
                <w:lang w:val="et-EE" w:eastAsia="zh-CN"/>
              </w:rPr>
              <w:t xml:space="preserve">ad ja kutsetöötajad: </w:t>
            </w:r>
            <w:r w:rsidRPr="002D4AC1">
              <w:rPr>
                <w:sz w:val="24"/>
                <w:szCs w:val="24"/>
                <w:lang w:val="et-EE" w:eastAsia="zh-CN"/>
              </w:rPr>
              <w:t>hoolsusmeetmed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 xml:space="preserve">23 </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 xml:space="preserve">R.16 </w:t>
            </w:r>
          </w:p>
        </w:tc>
        <w:tc>
          <w:tcPr>
            <w:tcW w:w="6593" w:type="dxa"/>
          </w:tcPr>
          <w:p w:rsidR="00D032BE" w:rsidRPr="002D4AC1" w:rsidRDefault="00D032BE" w:rsidP="002D4AC1">
            <w:pPr>
              <w:spacing w:line="240" w:lineRule="auto"/>
              <w:rPr>
                <w:sz w:val="24"/>
                <w:szCs w:val="24"/>
                <w:lang w:val="et-EE" w:eastAsia="zh-CN"/>
              </w:rPr>
            </w:pPr>
            <w:r w:rsidRPr="002D4AC1">
              <w:rPr>
                <w:sz w:val="24"/>
                <w:szCs w:val="24"/>
                <w:lang w:val="et-EE" w:eastAsia="zh-CN"/>
              </w:rPr>
              <w:t>Mittefinantsteenuseid pakkuvad määratud ettevõtjad ja kutsetöötajad: muud meetmed *</w:t>
            </w: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40255A" w:rsidRDefault="00D032BE" w:rsidP="006B35DC">
            <w:pPr>
              <w:spacing w:line="240" w:lineRule="auto"/>
              <w:rPr>
                <w:sz w:val="24"/>
                <w:szCs w:val="24"/>
                <w:lang w:val="et-EE" w:eastAsia="zh-CN"/>
              </w:rPr>
            </w:pPr>
            <w:r w:rsidRPr="0040255A">
              <w:rPr>
                <w:b/>
                <w:sz w:val="24"/>
                <w:szCs w:val="24"/>
                <w:lang w:val="et-EE" w:eastAsia="zh-CN"/>
              </w:rPr>
              <w:t>E – JURIIDILISTE ISIKUTE JA ÕIGUSLIKE ÜKSUSTE LÄBIPAISTVUS JA TEGELIKUD KASUSAAJAD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24</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R.33</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Juriidiliste isikute läbipaistvus ja tegelikud kasusaajad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25</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R.34</w:t>
            </w:r>
          </w:p>
        </w:tc>
        <w:tc>
          <w:tcPr>
            <w:tcW w:w="6593" w:type="dxa"/>
          </w:tcPr>
          <w:p w:rsidR="00D032BE" w:rsidRPr="0040255A" w:rsidRDefault="00F82C8E" w:rsidP="00F82C8E">
            <w:pPr>
              <w:spacing w:line="240" w:lineRule="auto"/>
              <w:rPr>
                <w:sz w:val="24"/>
                <w:szCs w:val="24"/>
                <w:lang w:val="et-EE" w:eastAsia="zh-CN"/>
              </w:rPr>
            </w:pPr>
            <w:r w:rsidRPr="0040255A">
              <w:rPr>
                <w:sz w:val="24"/>
                <w:szCs w:val="24"/>
                <w:lang w:val="et-EE" w:eastAsia="zh-CN"/>
              </w:rPr>
              <w:t>Lepinguliste õ</w:t>
            </w:r>
            <w:r w:rsidR="00D032BE" w:rsidRPr="0040255A">
              <w:rPr>
                <w:sz w:val="24"/>
                <w:szCs w:val="24"/>
                <w:lang w:val="et-EE" w:eastAsia="zh-CN"/>
              </w:rPr>
              <w:t>iguslike üksuste läbipaistvus ja tegelikud kasusaajad *</w:t>
            </w: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40255A" w:rsidRDefault="00D032BE" w:rsidP="00890E8A">
            <w:pPr>
              <w:spacing w:line="240" w:lineRule="auto"/>
              <w:rPr>
                <w:sz w:val="24"/>
                <w:szCs w:val="24"/>
                <w:lang w:val="et-EE" w:eastAsia="zh-CN"/>
              </w:rPr>
            </w:pPr>
            <w:r w:rsidRPr="0040255A">
              <w:rPr>
                <w:b/>
                <w:sz w:val="24"/>
                <w:szCs w:val="24"/>
                <w:lang w:val="et-EE" w:eastAsia="zh-CN"/>
              </w:rPr>
              <w:t>F – PÄDEVATE ASUTUSTE VOLITUSED JA KOHUSTUSED NING MUUD INSTITUTSIO</w:t>
            </w:r>
            <w:r w:rsidR="00890E8A">
              <w:rPr>
                <w:b/>
                <w:sz w:val="24"/>
                <w:szCs w:val="24"/>
                <w:lang w:val="et-EE" w:eastAsia="zh-CN"/>
              </w:rPr>
              <w:t>NAALSE</w:t>
            </w:r>
            <w:r w:rsidRPr="0040255A">
              <w:rPr>
                <w:b/>
                <w:sz w:val="24"/>
                <w:szCs w:val="24"/>
                <w:lang w:val="et-EE" w:eastAsia="zh-CN"/>
              </w:rPr>
              <w:t>D MEETMED</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890E8A" w:rsidP="0040255A">
            <w:pPr>
              <w:spacing w:line="240" w:lineRule="auto"/>
              <w:rPr>
                <w:sz w:val="24"/>
                <w:szCs w:val="24"/>
                <w:lang w:val="et-EE" w:eastAsia="zh-CN"/>
              </w:rPr>
            </w:pPr>
            <w:r>
              <w:rPr>
                <w:b/>
                <w:i/>
                <w:color w:val="348093"/>
                <w:sz w:val="24"/>
                <w:szCs w:val="24"/>
                <w:lang w:val="et-EE" w:eastAsia="zh-CN"/>
              </w:rPr>
              <w:t>R</w:t>
            </w:r>
            <w:r w:rsidR="00D032BE" w:rsidRPr="0040255A">
              <w:rPr>
                <w:b/>
                <w:i/>
                <w:color w:val="348093"/>
                <w:sz w:val="24"/>
                <w:szCs w:val="24"/>
                <w:lang w:val="et-EE" w:eastAsia="zh-CN"/>
              </w:rPr>
              <w:t>eguleerimine ja järelevalve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26</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R.23</w:t>
            </w:r>
          </w:p>
        </w:tc>
        <w:tc>
          <w:tcPr>
            <w:tcW w:w="6593" w:type="dxa"/>
          </w:tcPr>
          <w:p w:rsidR="00D032BE" w:rsidRPr="0040255A" w:rsidRDefault="006043CB" w:rsidP="006B35DC">
            <w:pPr>
              <w:spacing w:line="240" w:lineRule="auto"/>
              <w:rPr>
                <w:sz w:val="24"/>
                <w:szCs w:val="24"/>
                <w:lang w:val="et-EE" w:eastAsia="zh-CN"/>
              </w:rPr>
            </w:pPr>
            <w:r w:rsidRPr="0040255A">
              <w:rPr>
                <w:sz w:val="24"/>
                <w:szCs w:val="24"/>
                <w:lang w:val="et-EE" w:eastAsia="zh-CN"/>
              </w:rPr>
              <w:t>Finantsasutus</w:t>
            </w:r>
            <w:r w:rsidR="00D032BE" w:rsidRPr="0040255A">
              <w:rPr>
                <w:sz w:val="24"/>
                <w:szCs w:val="24"/>
                <w:lang w:val="et-EE" w:eastAsia="zh-CN"/>
              </w:rPr>
              <w:t>te reguleerimine ja järelevalve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27</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R.29</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Järelevalveasutuste volitused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28</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R.24</w:t>
            </w:r>
          </w:p>
        </w:tc>
        <w:tc>
          <w:tcPr>
            <w:tcW w:w="6593" w:type="dxa"/>
          </w:tcPr>
          <w:p w:rsidR="00D032BE" w:rsidRPr="0040255A" w:rsidRDefault="00D032BE" w:rsidP="0040255A">
            <w:pPr>
              <w:spacing w:line="240" w:lineRule="auto"/>
              <w:rPr>
                <w:sz w:val="24"/>
                <w:szCs w:val="24"/>
                <w:lang w:val="et-EE" w:eastAsia="zh-CN"/>
              </w:rPr>
            </w:pPr>
            <w:r w:rsidRPr="0040255A">
              <w:rPr>
                <w:sz w:val="24"/>
                <w:szCs w:val="24"/>
                <w:lang w:val="et-EE" w:eastAsia="zh-CN"/>
              </w:rPr>
              <w:t xml:space="preserve">Mittefinantsteenuseid pakkuvate </w:t>
            </w:r>
            <w:r w:rsidR="0040255A" w:rsidRPr="0040255A">
              <w:rPr>
                <w:sz w:val="24"/>
                <w:szCs w:val="24"/>
                <w:lang w:val="et-EE" w:eastAsia="zh-CN"/>
              </w:rPr>
              <w:t>kohustatud</w:t>
            </w:r>
            <w:r w:rsidRPr="0040255A">
              <w:rPr>
                <w:sz w:val="24"/>
                <w:szCs w:val="24"/>
                <w:lang w:val="et-EE" w:eastAsia="zh-CN"/>
              </w:rPr>
              <w:t xml:space="preserve"> ettevõtjate ja kutsetöötajate reguleerimine ja järelevalve</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40255A" w:rsidP="006B35DC">
            <w:pPr>
              <w:spacing w:line="240" w:lineRule="auto"/>
              <w:rPr>
                <w:sz w:val="24"/>
                <w:szCs w:val="24"/>
                <w:lang w:val="et-EE" w:eastAsia="zh-CN"/>
              </w:rPr>
            </w:pPr>
            <w:r w:rsidRPr="0040255A">
              <w:rPr>
                <w:b/>
                <w:i/>
                <w:color w:val="348093"/>
                <w:sz w:val="24"/>
                <w:szCs w:val="24"/>
                <w:lang w:val="et-EE" w:eastAsia="zh-CN"/>
              </w:rPr>
              <w:t>Õ</w:t>
            </w:r>
            <w:r w:rsidR="00D032BE" w:rsidRPr="0040255A">
              <w:rPr>
                <w:b/>
                <w:i/>
                <w:color w:val="348093"/>
                <w:sz w:val="24"/>
                <w:szCs w:val="24"/>
                <w:lang w:val="et-EE" w:eastAsia="zh-CN"/>
              </w:rPr>
              <w:t>iguskaitse</w:t>
            </w:r>
            <w:r w:rsidRPr="0040255A">
              <w:rPr>
                <w:b/>
                <w:i/>
                <w:color w:val="348093"/>
                <w:sz w:val="24"/>
                <w:szCs w:val="24"/>
                <w:lang w:val="et-EE" w:eastAsia="zh-CN"/>
              </w:rPr>
              <w:t>- ja uurimis</w:t>
            </w:r>
            <w:r w:rsidR="00D032BE" w:rsidRPr="0040255A">
              <w:rPr>
                <w:b/>
                <w:i/>
                <w:color w:val="348093"/>
                <w:sz w:val="24"/>
                <w:szCs w:val="24"/>
                <w:lang w:val="et-EE" w:eastAsia="zh-CN"/>
              </w:rPr>
              <w:t>asutused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29</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R.26</w:t>
            </w:r>
          </w:p>
        </w:tc>
        <w:tc>
          <w:tcPr>
            <w:tcW w:w="6593" w:type="dxa"/>
          </w:tcPr>
          <w:p w:rsidR="00D032BE" w:rsidRPr="0040255A" w:rsidRDefault="00D86A5F" w:rsidP="006B35DC">
            <w:pPr>
              <w:spacing w:line="240" w:lineRule="auto"/>
              <w:rPr>
                <w:sz w:val="24"/>
                <w:szCs w:val="24"/>
                <w:lang w:val="et-EE" w:eastAsia="zh-CN"/>
              </w:rPr>
            </w:pPr>
            <w:r w:rsidRPr="0040255A">
              <w:rPr>
                <w:sz w:val="24"/>
                <w:szCs w:val="24"/>
                <w:lang w:val="et-EE" w:eastAsia="zh-CN"/>
              </w:rPr>
              <w:t>Rahapesu andmebüroo</w:t>
            </w:r>
            <w:r w:rsidR="00D032BE" w:rsidRPr="0040255A">
              <w:rPr>
                <w:sz w:val="24"/>
                <w:szCs w:val="24"/>
                <w:lang w:val="et-EE" w:eastAsia="zh-CN"/>
              </w:rPr>
              <w:t xml:space="preserv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30</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R.27</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Õiguskaitse- ja uurimisasutuste kohustused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31</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R.28</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Õiguskaitse- ja uurimisasutuste volitused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32</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SRIX</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Sularahakullerid *</w:t>
            </w:r>
          </w:p>
        </w:tc>
      </w:tr>
      <w:tr w:rsidR="00D032BE" w:rsidRPr="00D032BE">
        <w:tc>
          <w:tcPr>
            <w:tcW w:w="1034" w:type="dxa"/>
          </w:tcPr>
          <w:p w:rsidR="00D032BE" w:rsidRPr="00D032BE" w:rsidRDefault="00D032BE" w:rsidP="006B35DC">
            <w:pPr>
              <w:keepNext/>
              <w:spacing w:line="240" w:lineRule="auto"/>
              <w:rPr>
                <w:b/>
                <w:sz w:val="24"/>
                <w:szCs w:val="24"/>
                <w:lang w:val="et-EE" w:eastAsia="zh-CN"/>
              </w:rPr>
            </w:pPr>
          </w:p>
        </w:tc>
        <w:tc>
          <w:tcPr>
            <w:tcW w:w="1626" w:type="dxa"/>
          </w:tcPr>
          <w:p w:rsidR="00D032BE" w:rsidRPr="00D032BE" w:rsidRDefault="00D032BE" w:rsidP="006B35DC">
            <w:pPr>
              <w:keepNext/>
              <w:spacing w:line="240" w:lineRule="auto"/>
              <w:rPr>
                <w:sz w:val="24"/>
                <w:szCs w:val="24"/>
                <w:lang w:val="et-EE" w:eastAsia="zh-CN"/>
              </w:rPr>
            </w:pPr>
          </w:p>
        </w:tc>
        <w:tc>
          <w:tcPr>
            <w:tcW w:w="6593" w:type="dxa"/>
          </w:tcPr>
          <w:p w:rsidR="00D032BE" w:rsidRPr="0040255A" w:rsidRDefault="00D032BE" w:rsidP="006B35DC">
            <w:pPr>
              <w:keepNext/>
              <w:spacing w:line="240" w:lineRule="auto"/>
              <w:rPr>
                <w:b/>
                <w:i/>
                <w:color w:val="348093"/>
                <w:sz w:val="24"/>
                <w:szCs w:val="24"/>
                <w:lang w:val="et-EE" w:eastAsia="zh-CN"/>
              </w:rPr>
            </w:pPr>
            <w:r w:rsidRPr="0040255A">
              <w:rPr>
                <w:b/>
                <w:i/>
                <w:color w:val="348093"/>
                <w:sz w:val="24"/>
                <w:szCs w:val="24"/>
                <w:lang w:val="et-EE" w:eastAsia="zh-CN"/>
              </w:rPr>
              <w:t>Üldnõuded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33</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R.32</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Statistika</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34</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R.25</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Suunised ja tagasiside</w:t>
            </w:r>
          </w:p>
        </w:tc>
      </w:tr>
      <w:tr w:rsidR="00D032BE" w:rsidRPr="00D032BE">
        <w:tc>
          <w:tcPr>
            <w:tcW w:w="1034" w:type="dxa"/>
          </w:tcPr>
          <w:p w:rsidR="00D032BE" w:rsidRPr="00D032BE" w:rsidRDefault="00D032BE" w:rsidP="006B35DC">
            <w:pPr>
              <w:spacing w:line="240" w:lineRule="auto"/>
              <w:rPr>
                <w:b/>
                <w:sz w:val="24"/>
                <w:szCs w:val="24"/>
                <w:lang w:val="et-EE" w:eastAsia="zh-CN"/>
              </w:rPr>
            </w:pPr>
          </w:p>
        </w:tc>
        <w:tc>
          <w:tcPr>
            <w:tcW w:w="1626" w:type="dxa"/>
          </w:tcPr>
          <w:p w:rsidR="00D032BE" w:rsidRPr="00D032BE" w:rsidRDefault="00D032BE" w:rsidP="006B35DC">
            <w:pPr>
              <w:spacing w:line="240" w:lineRule="auto"/>
              <w:rPr>
                <w:sz w:val="24"/>
                <w:szCs w:val="24"/>
                <w:lang w:val="et-EE" w:eastAsia="zh-CN"/>
              </w:rPr>
            </w:pPr>
          </w:p>
        </w:tc>
        <w:tc>
          <w:tcPr>
            <w:tcW w:w="6593" w:type="dxa"/>
          </w:tcPr>
          <w:p w:rsidR="00D032BE" w:rsidRPr="0040255A" w:rsidRDefault="00D032BE" w:rsidP="006B35DC">
            <w:pPr>
              <w:spacing w:line="240" w:lineRule="auto"/>
              <w:rPr>
                <w:b/>
                <w:i/>
                <w:color w:val="348093"/>
                <w:sz w:val="24"/>
                <w:szCs w:val="24"/>
                <w:lang w:val="et-EE" w:eastAsia="zh-CN"/>
              </w:rPr>
            </w:pPr>
            <w:r w:rsidRPr="0040255A">
              <w:rPr>
                <w:b/>
                <w:i/>
                <w:color w:val="348093"/>
                <w:sz w:val="24"/>
                <w:szCs w:val="24"/>
                <w:lang w:val="et-EE" w:eastAsia="zh-CN"/>
              </w:rPr>
              <w:t>Karistused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35</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R.17</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Karistused</w:t>
            </w:r>
          </w:p>
        </w:tc>
      </w:tr>
      <w:tr w:rsidR="00D032BE" w:rsidRPr="00D032BE">
        <w:tc>
          <w:tcPr>
            <w:tcW w:w="1034" w:type="dxa"/>
            <w:shd w:val="clear" w:color="auto" w:fill="C6D9F1"/>
          </w:tcPr>
          <w:p w:rsidR="00D032BE" w:rsidRPr="00D032BE" w:rsidRDefault="00D032BE" w:rsidP="006B35DC">
            <w:pPr>
              <w:spacing w:line="240" w:lineRule="auto"/>
              <w:rPr>
                <w:b/>
                <w:sz w:val="24"/>
                <w:szCs w:val="24"/>
                <w:lang w:val="et-EE" w:eastAsia="zh-CN"/>
              </w:rPr>
            </w:pPr>
          </w:p>
        </w:tc>
        <w:tc>
          <w:tcPr>
            <w:tcW w:w="1626" w:type="dxa"/>
            <w:shd w:val="clear" w:color="auto" w:fill="C6D9F1"/>
          </w:tcPr>
          <w:p w:rsidR="00D032BE" w:rsidRPr="00D032BE" w:rsidRDefault="00D032BE" w:rsidP="006B35DC">
            <w:pPr>
              <w:spacing w:line="240" w:lineRule="auto"/>
              <w:rPr>
                <w:sz w:val="24"/>
                <w:szCs w:val="24"/>
                <w:lang w:val="et-EE" w:eastAsia="zh-CN"/>
              </w:rPr>
            </w:pPr>
          </w:p>
        </w:tc>
        <w:tc>
          <w:tcPr>
            <w:tcW w:w="6593" w:type="dxa"/>
            <w:shd w:val="clear" w:color="auto" w:fill="C6D9F1"/>
          </w:tcPr>
          <w:p w:rsidR="00D032BE" w:rsidRPr="0040255A" w:rsidRDefault="00D032BE" w:rsidP="006B35DC">
            <w:pPr>
              <w:spacing w:line="240" w:lineRule="auto"/>
              <w:rPr>
                <w:sz w:val="24"/>
                <w:szCs w:val="24"/>
                <w:lang w:val="et-EE" w:eastAsia="zh-CN"/>
              </w:rPr>
            </w:pPr>
            <w:r w:rsidRPr="0040255A">
              <w:rPr>
                <w:b/>
                <w:sz w:val="24"/>
                <w:szCs w:val="24"/>
                <w:lang w:val="et-EE" w:eastAsia="zh-CN"/>
              </w:rPr>
              <w:t>G – RAHVUSVAHELINE KOOSTÖÖ</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36</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R.35 &amp; SRI</w:t>
            </w:r>
          </w:p>
        </w:tc>
        <w:tc>
          <w:tcPr>
            <w:tcW w:w="6593" w:type="dxa"/>
          </w:tcPr>
          <w:p w:rsidR="00D032BE" w:rsidRPr="0040255A" w:rsidRDefault="00D032BE" w:rsidP="0040255A">
            <w:pPr>
              <w:spacing w:line="240" w:lineRule="auto"/>
              <w:rPr>
                <w:sz w:val="24"/>
                <w:szCs w:val="24"/>
                <w:lang w:val="et-EE" w:eastAsia="zh-CN"/>
              </w:rPr>
            </w:pPr>
            <w:r w:rsidRPr="0040255A">
              <w:rPr>
                <w:sz w:val="24"/>
                <w:szCs w:val="24"/>
                <w:lang w:val="et-EE" w:eastAsia="zh-CN"/>
              </w:rPr>
              <w:t xml:space="preserve">Rahvusvahelised </w:t>
            </w:r>
            <w:r w:rsidR="0040255A" w:rsidRPr="0040255A">
              <w:rPr>
                <w:sz w:val="24"/>
                <w:szCs w:val="24"/>
                <w:lang w:val="et-EE" w:eastAsia="zh-CN"/>
              </w:rPr>
              <w:t>konventsioonid</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37</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R.36 &amp; SRV</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Vastastikune õigusabi</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38</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R.38</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Vastastikune õigusabi: blokeerimine ja konfiskeerimine *</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39</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R.39</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Väljaandmine</w:t>
            </w:r>
          </w:p>
        </w:tc>
      </w:tr>
      <w:tr w:rsidR="00D032BE" w:rsidRPr="00D032BE">
        <w:tc>
          <w:tcPr>
            <w:tcW w:w="1034" w:type="dxa"/>
          </w:tcPr>
          <w:p w:rsidR="00D032BE" w:rsidRPr="00D032BE" w:rsidRDefault="00D032BE" w:rsidP="006B35DC">
            <w:pPr>
              <w:spacing w:line="240" w:lineRule="auto"/>
              <w:rPr>
                <w:b/>
                <w:sz w:val="24"/>
                <w:szCs w:val="24"/>
                <w:lang w:val="et-EE" w:eastAsia="zh-CN"/>
              </w:rPr>
            </w:pPr>
            <w:r w:rsidRPr="00D032BE">
              <w:rPr>
                <w:b/>
                <w:sz w:val="24"/>
                <w:szCs w:val="24"/>
                <w:lang w:val="et-EE" w:eastAsia="zh-CN"/>
              </w:rPr>
              <w:t>40</w:t>
            </w:r>
          </w:p>
        </w:tc>
        <w:tc>
          <w:tcPr>
            <w:tcW w:w="1626" w:type="dxa"/>
          </w:tcPr>
          <w:p w:rsidR="00D032BE" w:rsidRPr="00D032BE" w:rsidRDefault="00D032BE" w:rsidP="006B35DC">
            <w:pPr>
              <w:spacing w:line="240" w:lineRule="auto"/>
              <w:rPr>
                <w:sz w:val="24"/>
                <w:szCs w:val="24"/>
                <w:lang w:val="et-EE" w:eastAsia="zh-CN"/>
              </w:rPr>
            </w:pPr>
            <w:r w:rsidRPr="00D032BE">
              <w:rPr>
                <w:sz w:val="24"/>
                <w:szCs w:val="24"/>
                <w:lang w:val="et-EE" w:eastAsia="zh-CN"/>
              </w:rPr>
              <w:t>R.40</w:t>
            </w:r>
          </w:p>
        </w:tc>
        <w:tc>
          <w:tcPr>
            <w:tcW w:w="6593" w:type="dxa"/>
          </w:tcPr>
          <w:p w:rsidR="00D032BE" w:rsidRPr="0040255A" w:rsidRDefault="00D032BE" w:rsidP="006B35DC">
            <w:pPr>
              <w:spacing w:line="240" w:lineRule="auto"/>
              <w:rPr>
                <w:sz w:val="24"/>
                <w:szCs w:val="24"/>
                <w:lang w:val="et-EE" w:eastAsia="zh-CN"/>
              </w:rPr>
            </w:pPr>
            <w:r w:rsidRPr="0040255A">
              <w:rPr>
                <w:sz w:val="24"/>
                <w:szCs w:val="24"/>
                <w:lang w:val="et-EE" w:eastAsia="zh-CN"/>
              </w:rPr>
              <w:t>Muud rahvusvahelise koostöö vormid *</w:t>
            </w:r>
          </w:p>
        </w:tc>
      </w:tr>
    </w:tbl>
    <w:p w:rsidR="00D032BE" w:rsidRPr="00D032BE" w:rsidRDefault="00D032BE" w:rsidP="00D032BE">
      <w:pPr>
        <w:rPr>
          <w:lang w:val="et-EE"/>
        </w:rPr>
      </w:pPr>
    </w:p>
    <w:p w:rsidR="00D032BE" w:rsidRPr="00D032BE" w:rsidRDefault="00D032BE" w:rsidP="00D032BE">
      <w:pPr>
        <w:rPr>
          <w:i/>
          <w:sz w:val="24"/>
          <w:szCs w:val="24"/>
          <w:lang w:val="et-EE"/>
        </w:rPr>
      </w:pPr>
      <w:r w:rsidRPr="00D032BE">
        <w:rPr>
          <w:i/>
          <w:sz w:val="24"/>
          <w:szCs w:val="24"/>
          <w:lang w:val="et-EE"/>
        </w:rPr>
        <w:t>Veerg „Endine number” viitab FATFi 2003. aasta soovituste asjaomastele osadele. Tärniga märgitud soovituste kohta on koostatud tõlgendavad märkused, mida tuleks lugeda koos soovitusega.</w:t>
      </w:r>
    </w:p>
    <w:p w:rsidR="00D032BE" w:rsidRPr="00D032BE" w:rsidRDefault="00D032BE" w:rsidP="00D032BE">
      <w:pPr>
        <w:rPr>
          <w:i/>
          <w:sz w:val="24"/>
          <w:szCs w:val="24"/>
          <w:lang w:val="et-EE"/>
        </w:rPr>
      </w:pPr>
      <w:r w:rsidRPr="00D032BE">
        <w:rPr>
          <w:i/>
          <w:sz w:val="24"/>
          <w:szCs w:val="24"/>
          <w:lang w:val="et-EE"/>
        </w:rPr>
        <w:t>Käesolev versioon vastu võetud 15. veebruaril 2012.</w:t>
      </w:r>
    </w:p>
    <w:p w:rsidR="00D032BE" w:rsidRPr="00D032BE" w:rsidRDefault="00D032BE" w:rsidP="00D032BE">
      <w:pPr>
        <w:rPr>
          <w:lang w:val="et-EE"/>
        </w:rPr>
      </w:pPr>
      <w:r w:rsidRPr="00D032BE">
        <w:rPr>
          <w:lang w:val="et-EE"/>
        </w:rPr>
        <w:br w:type="page"/>
      </w:r>
    </w:p>
    <w:p w:rsidR="00D032BE" w:rsidRPr="00D032BE" w:rsidRDefault="00D032BE" w:rsidP="00D032BE">
      <w:pPr>
        <w:pStyle w:val="Pealkiri1"/>
      </w:pPr>
      <w:bookmarkStart w:id="3" w:name="_Toc338857792"/>
      <w:bookmarkStart w:id="4" w:name="_Ref338857960"/>
      <w:r w:rsidRPr="00D032BE">
        <w:lastRenderedPageBreak/>
        <w:t>SISSEJUHATUS</w:t>
      </w:r>
      <w:bookmarkEnd w:id="3"/>
      <w:bookmarkEnd w:id="4"/>
    </w:p>
    <w:p w:rsidR="00D032BE" w:rsidRPr="00D032BE" w:rsidRDefault="00D032BE" w:rsidP="007A03CE">
      <w:pPr>
        <w:spacing w:after="120"/>
        <w:jc w:val="both"/>
        <w:rPr>
          <w:rFonts w:ascii="Cambria" w:hAnsi="Cambria"/>
          <w:sz w:val="24"/>
          <w:szCs w:val="24"/>
          <w:lang w:val="et-EE"/>
        </w:rPr>
      </w:pPr>
      <w:r w:rsidRPr="0015141A">
        <w:rPr>
          <w:rFonts w:ascii="Cambria" w:hAnsi="Cambria"/>
          <w:sz w:val="24"/>
          <w:szCs w:val="24"/>
          <w:lang w:val="et-EE"/>
        </w:rPr>
        <w:t xml:space="preserve">Rahapesuvastane </w:t>
      </w:r>
      <w:proofErr w:type="spellStart"/>
      <w:r w:rsidRPr="0015141A">
        <w:rPr>
          <w:rFonts w:ascii="Cambria" w:hAnsi="Cambria"/>
          <w:sz w:val="24"/>
          <w:szCs w:val="24"/>
          <w:lang w:val="et-EE"/>
        </w:rPr>
        <w:t>töökond</w:t>
      </w:r>
      <w:proofErr w:type="spellEnd"/>
      <w:r w:rsidRPr="0015141A">
        <w:rPr>
          <w:rFonts w:ascii="Cambria" w:hAnsi="Cambria"/>
          <w:sz w:val="24"/>
          <w:szCs w:val="24"/>
          <w:lang w:val="et-EE"/>
        </w:rPr>
        <w:t xml:space="preserve"> (edaspidi FATF) on valitsustevaheline organ, mille asutasid 1989. aastal </w:t>
      </w:r>
      <w:r w:rsidR="00B86CDE" w:rsidRPr="00E079EA">
        <w:rPr>
          <w:rFonts w:ascii="Cambria" w:hAnsi="Cambria"/>
          <w:sz w:val="24"/>
          <w:szCs w:val="24"/>
          <w:lang w:val="et-EE"/>
        </w:rPr>
        <w:t>selle liikme</w:t>
      </w:r>
      <w:r w:rsidR="00B86CDE" w:rsidRPr="0015141A">
        <w:rPr>
          <w:rFonts w:ascii="Cambria" w:hAnsi="Cambria"/>
          <w:sz w:val="24"/>
          <w:szCs w:val="24"/>
          <w:lang w:val="et-EE"/>
        </w:rPr>
        <w:t>ks oleva</w:t>
      </w:r>
      <w:r w:rsidR="00B86CDE" w:rsidRPr="00E079EA">
        <w:rPr>
          <w:rFonts w:ascii="Cambria" w:hAnsi="Cambria"/>
          <w:sz w:val="24"/>
          <w:szCs w:val="24"/>
          <w:lang w:val="et-EE"/>
        </w:rPr>
        <w:t>te jurisdiktsioonide ministrid</w:t>
      </w:r>
      <w:r w:rsidRPr="0015141A">
        <w:rPr>
          <w:rFonts w:ascii="Cambria" w:hAnsi="Cambria"/>
          <w:sz w:val="24"/>
          <w:szCs w:val="24"/>
          <w:lang w:val="et-EE"/>
        </w:rPr>
        <w:t xml:space="preserve">. FATFi ülesanne on kehtestada standardeid ja edendada õigus-, regulatiiv- </w:t>
      </w:r>
      <w:r w:rsidRPr="00E97911">
        <w:rPr>
          <w:rFonts w:ascii="Cambria" w:hAnsi="Cambria"/>
          <w:sz w:val="24"/>
          <w:szCs w:val="24"/>
          <w:lang w:val="et-EE"/>
        </w:rPr>
        <w:t>ja operatiivmeetmete tõhusat</w:t>
      </w:r>
      <w:r w:rsidRPr="0015141A">
        <w:rPr>
          <w:rFonts w:ascii="Cambria" w:hAnsi="Cambria"/>
          <w:sz w:val="24"/>
          <w:szCs w:val="24"/>
          <w:lang w:val="et-EE"/>
        </w:rPr>
        <w:t xml:space="preserve"> rakendamist võitluses rahapesu, terrorismi rahastamise ja massihävitusrelvade </w:t>
      </w:r>
      <w:r w:rsidR="00351064">
        <w:rPr>
          <w:rFonts w:ascii="Cambria" w:hAnsi="Cambria"/>
          <w:sz w:val="24"/>
          <w:szCs w:val="24"/>
          <w:lang w:val="et-EE"/>
        </w:rPr>
        <w:t>leviku</w:t>
      </w:r>
      <w:r w:rsidR="00E97911" w:rsidRPr="0015141A">
        <w:rPr>
          <w:rFonts w:ascii="Cambria" w:hAnsi="Cambria"/>
          <w:sz w:val="24"/>
          <w:szCs w:val="24"/>
          <w:lang w:val="et-EE"/>
        </w:rPr>
        <w:t xml:space="preserve"> </w:t>
      </w:r>
      <w:r w:rsidRPr="0015141A">
        <w:rPr>
          <w:rFonts w:ascii="Cambria" w:hAnsi="Cambria"/>
          <w:sz w:val="24"/>
          <w:szCs w:val="24"/>
          <w:lang w:val="et-EE"/>
        </w:rPr>
        <w:t xml:space="preserve">rahastamise ning muude sellega kaasnevate </w:t>
      </w:r>
      <w:r w:rsidR="00E97911">
        <w:rPr>
          <w:rFonts w:ascii="Cambria" w:hAnsi="Cambria"/>
          <w:sz w:val="24"/>
          <w:szCs w:val="24"/>
          <w:lang w:val="et-EE"/>
        </w:rPr>
        <w:t xml:space="preserve">ja </w:t>
      </w:r>
      <w:r w:rsidR="00E97911" w:rsidRPr="0015141A">
        <w:rPr>
          <w:rFonts w:ascii="Cambria" w:hAnsi="Cambria"/>
          <w:sz w:val="24"/>
          <w:szCs w:val="24"/>
          <w:lang w:val="et-EE"/>
        </w:rPr>
        <w:t xml:space="preserve">rahvusvahelise rahandussüsteemi terviklikkust </w:t>
      </w:r>
      <w:r w:rsidR="00E97911">
        <w:rPr>
          <w:rFonts w:ascii="Cambria" w:hAnsi="Cambria"/>
          <w:sz w:val="24"/>
          <w:szCs w:val="24"/>
          <w:lang w:val="et-EE"/>
        </w:rPr>
        <w:t xml:space="preserve">ohustavate </w:t>
      </w:r>
      <w:r w:rsidR="00351064">
        <w:rPr>
          <w:rFonts w:ascii="Cambria" w:hAnsi="Cambria"/>
          <w:sz w:val="24"/>
          <w:szCs w:val="24"/>
          <w:lang w:val="et-EE"/>
        </w:rPr>
        <w:t>tegurite</w:t>
      </w:r>
      <w:r w:rsidRPr="0015141A">
        <w:rPr>
          <w:rFonts w:ascii="Cambria" w:hAnsi="Cambria"/>
          <w:sz w:val="24"/>
          <w:szCs w:val="24"/>
          <w:lang w:val="et-EE"/>
        </w:rPr>
        <w:t xml:space="preserve"> vastu. Koostöös teiste rahvusvaheliste huvirühmadega tegeleb FATF ka riikide tasandil haavatavate kohtade väljaselgitamisega, et kaitsta rahvusvahelist finantssüsteemi väärkasutuse eest.</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 xml:space="preserve">FATFi soovitustes sätestatakse kõikehõlmav ja terviklik raamistik meetmetest, mida riigid peaksid rakendama võitluses rahapesu ja terrorismi rahastamise ning massihävitusrelvade </w:t>
      </w:r>
      <w:r w:rsidR="00351064">
        <w:rPr>
          <w:rFonts w:ascii="Cambria" w:hAnsi="Cambria"/>
          <w:sz w:val="24"/>
          <w:szCs w:val="24"/>
          <w:lang w:val="et-EE"/>
        </w:rPr>
        <w:t>leviku</w:t>
      </w:r>
      <w:r w:rsidR="00E97911" w:rsidRPr="00D032BE">
        <w:rPr>
          <w:rFonts w:ascii="Cambria" w:hAnsi="Cambria"/>
          <w:sz w:val="24"/>
          <w:szCs w:val="24"/>
          <w:lang w:val="et-EE"/>
        </w:rPr>
        <w:t xml:space="preserve"> </w:t>
      </w:r>
      <w:r w:rsidRPr="00D032BE">
        <w:rPr>
          <w:rFonts w:ascii="Cambria" w:hAnsi="Cambria"/>
          <w:sz w:val="24"/>
          <w:szCs w:val="24"/>
          <w:lang w:val="et-EE"/>
        </w:rPr>
        <w:t xml:space="preserve">rahastamise vastu. Riikide õigus-, haldus- ja operatiivraamistikud ning rahandussüsteemid on erinevad ning seetõttu ei saa kõik riigid võtta nende ohtude vastu võitlemisel ühesuguseid meetmeid. FATFi soovitustega nähakse seepärast ette rahvusvahelised standardid, mida riigid peaksid rakendama konkreetselt nende kohalikele tingimustele vastavaks kohandatud meetmete abil. FATFi soovitustes pannakse paika põhimeetmed, mida riigid peaksid </w:t>
      </w:r>
      <w:r w:rsidR="002222DE">
        <w:rPr>
          <w:rFonts w:ascii="Cambria" w:hAnsi="Cambria"/>
          <w:sz w:val="24"/>
          <w:szCs w:val="24"/>
          <w:lang w:val="et-EE"/>
        </w:rPr>
        <w:t>rakendama</w:t>
      </w:r>
      <w:r w:rsidRPr="00D032BE">
        <w:rPr>
          <w:rFonts w:ascii="Cambria" w:hAnsi="Cambria"/>
          <w:sz w:val="24"/>
          <w:szCs w:val="24"/>
          <w:lang w:val="et-EE"/>
        </w:rPr>
        <w:t>, et</w:t>
      </w:r>
    </w:p>
    <w:p w:rsidR="00D032BE" w:rsidRPr="00D032BE" w:rsidRDefault="00D032BE" w:rsidP="007A03CE">
      <w:pPr>
        <w:pStyle w:val="Sinineloend"/>
        <w:contextualSpacing w:val="0"/>
      </w:pPr>
      <w:r w:rsidRPr="00D032BE">
        <w:t>selgitada välja riskid, töötada välja poliitika ja tagada siseriiklik koordineerimine;</w:t>
      </w:r>
    </w:p>
    <w:p w:rsidR="00D032BE" w:rsidRPr="00D032BE" w:rsidRDefault="00D032BE" w:rsidP="007A03CE">
      <w:pPr>
        <w:pStyle w:val="Sinineloend"/>
        <w:contextualSpacing w:val="0"/>
      </w:pPr>
      <w:r w:rsidRPr="00D032BE">
        <w:t xml:space="preserve">uurida rahapesu, terrorismi rahastamist ja massihävitusrelvade </w:t>
      </w:r>
      <w:r w:rsidR="00351064">
        <w:t>leviku</w:t>
      </w:r>
      <w:r w:rsidR="00E97911" w:rsidRPr="00D032BE">
        <w:t xml:space="preserve"> </w:t>
      </w:r>
      <w:r w:rsidRPr="00D032BE">
        <w:t>rahastamist;</w:t>
      </w:r>
    </w:p>
    <w:p w:rsidR="00D032BE" w:rsidRPr="00D032BE" w:rsidRDefault="00D032BE" w:rsidP="007A03CE">
      <w:pPr>
        <w:pStyle w:val="Sinineloend"/>
        <w:contextualSpacing w:val="0"/>
      </w:pPr>
      <w:r w:rsidRPr="00D032BE">
        <w:t>rakendada ennetavaid meetmeid rahandussektoris ja teistes ettenähtud sektorites;</w:t>
      </w:r>
    </w:p>
    <w:p w:rsidR="00D032BE" w:rsidRPr="00D032BE" w:rsidRDefault="00D032BE" w:rsidP="007A03CE">
      <w:pPr>
        <w:pStyle w:val="Sinineloend"/>
        <w:contextualSpacing w:val="0"/>
      </w:pPr>
      <w:r w:rsidRPr="00D032BE">
        <w:t xml:space="preserve">sätestada pädevate asutuste (nt </w:t>
      </w:r>
      <w:r w:rsidR="00B86CDE" w:rsidRPr="00E079EA">
        <w:t>uurimis</w:t>
      </w:r>
      <w:r w:rsidRPr="00D032BE">
        <w:t>-, õiguskaitse- ja järelevalveasutuste) volitused ja kohustused ning muud institutsionaalsed meetmed;</w:t>
      </w:r>
    </w:p>
    <w:p w:rsidR="00D032BE" w:rsidRPr="00D032BE" w:rsidRDefault="00D032BE" w:rsidP="00E844EA">
      <w:pPr>
        <w:pStyle w:val="Sinineloend"/>
      </w:pPr>
      <w:r w:rsidRPr="00D032BE">
        <w:t xml:space="preserve">suurendada juriidiliste isikute ja </w:t>
      </w:r>
      <w:r w:rsidR="005A3486">
        <w:t xml:space="preserve">teise lepinguliste õiguslike üksustega </w:t>
      </w:r>
      <w:r w:rsidR="00E844EA">
        <w:t>(edaspidi üksus</w:t>
      </w:r>
      <w:r w:rsidR="00E844EA" w:rsidRPr="00E844EA">
        <w:t>)</w:t>
      </w:r>
      <w:r w:rsidRPr="00D032BE">
        <w:t xml:space="preserve"> seotud tegelikku kasusaajat puudutava teabe läbipaistvust ja kättesaadavust ning</w:t>
      </w:r>
    </w:p>
    <w:p w:rsidR="00D032BE" w:rsidRPr="00D032BE" w:rsidRDefault="00D032BE" w:rsidP="007A03CE">
      <w:pPr>
        <w:pStyle w:val="Sinineloend"/>
        <w:contextualSpacing w:val="0"/>
      </w:pPr>
      <w:r w:rsidRPr="00D032BE">
        <w:t>aidata kaasa rahvusvahelisele koostööle.</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 xml:space="preserve">FATFi esialgsed nelikümmend soovitust koostati 1990. aastal võitlemaks selle vastu, et rahandussüsteeme ei kuritarvitaks isikud, kes pesid uimastiärist saadud raha. 1996. aastal vaadati soovitused esmakordselt läbi, et kajastada rahapesu arengusuundi ja tehnikaid ning laiendada soovituste ulatust uimastiärist saadud raha pesust kaugemale. </w:t>
      </w:r>
      <w:r w:rsidR="007A03CE" w:rsidRPr="00D032BE">
        <w:rPr>
          <w:rFonts w:ascii="Cambria" w:hAnsi="Cambria"/>
          <w:sz w:val="24"/>
          <w:szCs w:val="24"/>
          <w:lang w:val="et-EE"/>
        </w:rPr>
        <w:t>20</w:t>
      </w:r>
      <w:r w:rsidR="007A03CE">
        <w:rPr>
          <w:rFonts w:ascii="Cambria" w:hAnsi="Cambria"/>
          <w:sz w:val="24"/>
          <w:szCs w:val="24"/>
          <w:lang w:val="et-EE"/>
        </w:rPr>
        <w:t>0</w:t>
      </w:r>
      <w:r w:rsidR="007A03CE" w:rsidRPr="00D032BE">
        <w:rPr>
          <w:rFonts w:ascii="Cambria" w:hAnsi="Cambria"/>
          <w:sz w:val="24"/>
          <w:szCs w:val="24"/>
          <w:lang w:val="et-EE"/>
        </w:rPr>
        <w:t>1</w:t>
      </w:r>
      <w:r w:rsidRPr="00D032BE">
        <w:rPr>
          <w:rFonts w:ascii="Cambria" w:hAnsi="Cambria"/>
          <w:sz w:val="24"/>
          <w:szCs w:val="24"/>
          <w:lang w:val="et-EE"/>
        </w:rPr>
        <w:t xml:space="preserve">. aasta oktoobris laiendas FATF oma volitusi, et tegeleda terrorismiaktide ja terroristlike organisatsioonide rahastamise </w:t>
      </w:r>
      <w:r w:rsidR="005B2F87">
        <w:rPr>
          <w:rFonts w:ascii="Cambria" w:hAnsi="Cambria"/>
          <w:sz w:val="24"/>
          <w:szCs w:val="24"/>
          <w:lang w:val="et-EE"/>
        </w:rPr>
        <w:t>temaatikaga</w:t>
      </w:r>
      <w:r w:rsidRPr="00D032BE">
        <w:rPr>
          <w:rFonts w:ascii="Cambria" w:hAnsi="Cambria"/>
          <w:sz w:val="24"/>
          <w:szCs w:val="24"/>
          <w:lang w:val="et-EE"/>
        </w:rPr>
        <w:t xml:space="preserve">, ja astus olulise sammu, töötades välja kaheksa erisoovitust terrorismi rahastamise kohta (hiljem lisati neile üheksas soovitus). 2003. aastal vaadati FATFi soovitused teist korda läbi ning need on </w:t>
      </w:r>
      <w:r w:rsidRPr="00D032BE">
        <w:rPr>
          <w:rFonts w:ascii="Cambria" w:hAnsi="Cambria"/>
          <w:sz w:val="24"/>
          <w:szCs w:val="24"/>
          <w:lang w:val="et-EE"/>
        </w:rPr>
        <w:lastRenderedPageBreak/>
        <w:t xml:space="preserve">koos erisoovitustega heaks kiidetud rohkem kui 180 riigis ning neid tunnustatakse rahvusvaheliste rahapesu ja terrorismi rahastamise </w:t>
      </w:r>
      <w:r w:rsidR="00A35E9F">
        <w:rPr>
          <w:rFonts w:ascii="Cambria" w:hAnsi="Cambria"/>
          <w:sz w:val="24"/>
          <w:szCs w:val="24"/>
          <w:lang w:val="et-EE"/>
        </w:rPr>
        <w:t>tõkestamise</w:t>
      </w:r>
      <w:r w:rsidRPr="00D032BE">
        <w:rPr>
          <w:rFonts w:ascii="Cambria" w:hAnsi="Cambria"/>
          <w:sz w:val="24"/>
          <w:szCs w:val="24"/>
          <w:lang w:val="et-EE"/>
        </w:rPr>
        <w:t xml:space="preserve"> standarditena.</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Pärast oma liikmete vastastikuste hindamiste kolmanda vooru lõppu on FATF soovitused läbi vaadanud ja neid täiendanud tihedas koostöös FATFi-laadsete piirkondlike organite ja vaatlejaorganisatsioonidega, mille hulka kuuluvad Rahvusvaheline Valuutafond (IMF), Maailmapank ja Ühinenud Rahvaste Organisatsioon. Muudatustes käsitletakse uusi ja esilekerkivaid ohte, selgitatakse ja jõustatakse tõhusamalt paljusid olemasolevaid kohustusi, säilitades samas soovitustes vajaliku stabiilsuse ja ranguse.</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 xml:space="preserve">FATFi standardite läbivaatamise eesmärk oli ka tõhustada nõudeid kõrgema </w:t>
      </w:r>
      <w:r w:rsidR="000D0108" w:rsidRPr="00D032BE">
        <w:rPr>
          <w:rFonts w:ascii="Cambria" w:hAnsi="Cambria"/>
          <w:sz w:val="24"/>
          <w:szCs w:val="24"/>
          <w:lang w:val="et-EE"/>
        </w:rPr>
        <w:t>riski</w:t>
      </w:r>
      <w:r w:rsidR="000D0108">
        <w:rPr>
          <w:rFonts w:ascii="Cambria" w:hAnsi="Cambria"/>
          <w:sz w:val="24"/>
          <w:szCs w:val="24"/>
          <w:lang w:val="et-EE"/>
        </w:rPr>
        <w:t>astmega</w:t>
      </w:r>
      <w:r w:rsidR="000D0108" w:rsidRPr="00D032BE">
        <w:rPr>
          <w:rFonts w:ascii="Cambria" w:hAnsi="Cambria"/>
          <w:sz w:val="24"/>
          <w:szCs w:val="24"/>
          <w:lang w:val="et-EE"/>
        </w:rPr>
        <w:t xml:space="preserve"> </w:t>
      </w:r>
      <w:r w:rsidRPr="00D032BE">
        <w:rPr>
          <w:rFonts w:ascii="Cambria" w:hAnsi="Cambria"/>
          <w:sz w:val="24"/>
          <w:szCs w:val="24"/>
          <w:lang w:val="et-EE"/>
        </w:rPr>
        <w:t xml:space="preserve">olukordadele ja võimaldada riikidel keskenduda rohkem valdkondadele, kus riskid on endiselt suured või kus rakendamist saab tõhustada. Riigid peaksid esmalt </w:t>
      </w:r>
      <w:r w:rsidR="001241A6">
        <w:rPr>
          <w:rFonts w:ascii="Cambria" w:hAnsi="Cambria"/>
          <w:sz w:val="24"/>
          <w:szCs w:val="24"/>
          <w:lang w:val="et-EE"/>
        </w:rPr>
        <w:t>identifitseerima</w:t>
      </w:r>
      <w:r w:rsidRPr="00D032BE">
        <w:rPr>
          <w:rFonts w:ascii="Cambria" w:hAnsi="Cambria"/>
          <w:sz w:val="24"/>
          <w:szCs w:val="24"/>
          <w:lang w:val="et-EE"/>
        </w:rPr>
        <w:t xml:space="preserve"> </w:t>
      </w:r>
      <w:r w:rsidR="001241A6">
        <w:rPr>
          <w:rFonts w:ascii="Cambria" w:hAnsi="Cambria"/>
          <w:sz w:val="24"/>
          <w:szCs w:val="24"/>
          <w:lang w:val="et-EE"/>
        </w:rPr>
        <w:t>oma</w:t>
      </w:r>
      <w:r w:rsidRPr="00D032BE">
        <w:rPr>
          <w:rFonts w:ascii="Cambria" w:hAnsi="Cambria"/>
          <w:sz w:val="24"/>
          <w:szCs w:val="24"/>
          <w:lang w:val="et-EE"/>
        </w:rPr>
        <w:t xml:space="preserve"> rahapesu ja terrorismi rahastamise riskid, neid hindama ja nendest aru saama ning seejärel võtma asjakohaseid meetmeid riskide vähendamiseks. Riskipõhine lähenemine võimaldab riikidel võtta FATFi nõuete raames paindlikumaid meetmeid, et suunata oma ressursse tõhusamalt ja rakendada riskide olemusele vastavaid ennetavaid meetmeid ning seeläbi oma tegevust kõige tulemuslikumalt kavandada.</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 xml:space="preserve">Terrorismi rahastamise vastane võitlus on väga oluline. Terrorismi rahastamise käsitlemisel on väga suur tähtsus tõhusal </w:t>
      </w:r>
      <w:r w:rsidR="002A32CF">
        <w:rPr>
          <w:rFonts w:ascii="Cambria" w:hAnsi="Cambria"/>
          <w:sz w:val="24"/>
          <w:szCs w:val="24"/>
          <w:lang w:val="et-EE"/>
        </w:rPr>
        <w:t>rahapesu</w:t>
      </w:r>
      <w:r w:rsidRPr="00D032BE">
        <w:rPr>
          <w:rFonts w:ascii="Cambria" w:hAnsi="Cambria"/>
          <w:sz w:val="24"/>
          <w:szCs w:val="24"/>
          <w:lang w:val="et-EE"/>
        </w:rPr>
        <w:t xml:space="preserve"> ja terrorismi rahastamise </w:t>
      </w:r>
      <w:r w:rsidR="00162FFB">
        <w:rPr>
          <w:rFonts w:ascii="Cambria" w:hAnsi="Cambria"/>
          <w:sz w:val="24"/>
          <w:szCs w:val="24"/>
          <w:lang w:val="et-EE"/>
        </w:rPr>
        <w:t>tõkestamise</w:t>
      </w:r>
      <w:r w:rsidRPr="00D032BE">
        <w:rPr>
          <w:rFonts w:ascii="Cambria" w:hAnsi="Cambria"/>
          <w:sz w:val="24"/>
          <w:szCs w:val="24"/>
          <w:lang w:val="et-EE"/>
        </w:rPr>
        <w:t xml:space="preserve"> süsteemil ning enamik varem konkreetselt terrorismi rahastamisele keskendunud meetmetest on nüüd integreeritud soovitustesse, kaotades vajaduse erisoovituste järele. Samas aga on mõned soovitused, milles käsitletakse üksnes terrorismi rahastamist, </w:t>
      </w:r>
      <w:r w:rsidR="005B2F87">
        <w:rPr>
          <w:rFonts w:ascii="Cambria" w:hAnsi="Cambria"/>
          <w:sz w:val="24"/>
          <w:szCs w:val="24"/>
          <w:lang w:val="et-EE"/>
        </w:rPr>
        <w:t>kusjuures</w:t>
      </w:r>
      <w:r w:rsidR="005B2F87" w:rsidRPr="00D032BE">
        <w:rPr>
          <w:rFonts w:ascii="Cambria" w:hAnsi="Cambria"/>
          <w:sz w:val="24"/>
          <w:szCs w:val="24"/>
          <w:lang w:val="et-EE"/>
        </w:rPr>
        <w:t xml:space="preserve"> </w:t>
      </w:r>
      <w:r w:rsidRPr="00D032BE">
        <w:rPr>
          <w:rFonts w:ascii="Cambria" w:hAnsi="Cambria"/>
          <w:sz w:val="24"/>
          <w:szCs w:val="24"/>
          <w:lang w:val="et-EE"/>
        </w:rPr>
        <w:t xml:space="preserve">need on esitatud FATFi soovituste punktis C. </w:t>
      </w:r>
      <w:r w:rsidR="005B2F87" w:rsidRPr="00D032BE">
        <w:rPr>
          <w:rFonts w:ascii="Cambria" w:hAnsi="Cambria"/>
          <w:sz w:val="24"/>
          <w:szCs w:val="24"/>
          <w:lang w:val="et-EE"/>
        </w:rPr>
        <w:t>Ne</w:t>
      </w:r>
      <w:r w:rsidR="005B2F87">
        <w:rPr>
          <w:rFonts w:ascii="Cambria" w:hAnsi="Cambria"/>
          <w:sz w:val="24"/>
          <w:szCs w:val="24"/>
          <w:lang w:val="et-EE"/>
        </w:rPr>
        <w:t>ndeks</w:t>
      </w:r>
      <w:r w:rsidR="005B2F87" w:rsidRPr="00D032BE">
        <w:rPr>
          <w:rFonts w:ascii="Cambria" w:hAnsi="Cambria"/>
          <w:sz w:val="24"/>
          <w:szCs w:val="24"/>
          <w:lang w:val="et-EE"/>
        </w:rPr>
        <w:t xml:space="preserve"> </w:t>
      </w:r>
      <w:r w:rsidRPr="00D032BE">
        <w:rPr>
          <w:rFonts w:ascii="Cambria" w:hAnsi="Cambria"/>
          <w:sz w:val="24"/>
          <w:szCs w:val="24"/>
          <w:lang w:val="et-EE"/>
        </w:rPr>
        <w:t>on: soovitus 5 (terrorismi rahastamise eest kriminaalvastutuse sätestamine); soovitus</w:t>
      </w:r>
      <w:r w:rsidR="00847867">
        <w:rPr>
          <w:rFonts w:ascii="Cambria" w:hAnsi="Cambria"/>
          <w:sz w:val="24"/>
          <w:szCs w:val="24"/>
          <w:lang w:val="et-EE"/>
        </w:rPr>
        <w:t xml:space="preserve"> </w:t>
      </w:r>
      <w:r w:rsidRPr="00D032BE">
        <w:rPr>
          <w:rFonts w:ascii="Cambria" w:hAnsi="Cambria"/>
          <w:sz w:val="24"/>
          <w:szCs w:val="24"/>
          <w:lang w:val="et-EE"/>
        </w:rPr>
        <w:t>6 (terrorismi ja terrorismi rahastamisega seotud sihtotstarbelised finantskaristused); ja soovitus</w:t>
      </w:r>
      <w:r w:rsidR="00847867">
        <w:rPr>
          <w:rFonts w:ascii="Cambria" w:hAnsi="Cambria"/>
          <w:sz w:val="24"/>
          <w:szCs w:val="24"/>
          <w:lang w:val="et-EE"/>
        </w:rPr>
        <w:t xml:space="preserve"> </w:t>
      </w:r>
      <w:r w:rsidRPr="00D032BE">
        <w:rPr>
          <w:rFonts w:ascii="Cambria" w:hAnsi="Cambria"/>
          <w:sz w:val="24"/>
          <w:szCs w:val="24"/>
          <w:lang w:val="et-EE"/>
        </w:rPr>
        <w:t>8 (meetmed mittetulundusühingute kuritarvitamise ennetamiseks). Oluline turvalisusprobleem on ka massihävitusrelvade levik</w:t>
      </w:r>
      <w:r w:rsidR="00D63059">
        <w:rPr>
          <w:rFonts w:ascii="Cambria" w:hAnsi="Cambria"/>
          <w:sz w:val="24"/>
          <w:szCs w:val="24"/>
          <w:lang w:val="et-EE"/>
        </w:rPr>
        <w:t>, mistõttu laiendati</w:t>
      </w:r>
      <w:r w:rsidRPr="00D032BE">
        <w:rPr>
          <w:rFonts w:ascii="Cambria" w:hAnsi="Cambria"/>
          <w:sz w:val="24"/>
          <w:szCs w:val="24"/>
          <w:lang w:val="et-EE"/>
        </w:rPr>
        <w:t xml:space="preserve"> 2008. aastal FATFi volitusi ka massihävitusrelvade leviku rahastamise</w:t>
      </w:r>
      <w:r w:rsidR="00D63059">
        <w:rPr>
          <w:rFonts w:ascii="Cambria" w:hAnsi="Cambria"/>
          <w:sz w:val="24"/>
          <w:szCs w:val="24"/>
          <w:lang w:val="et-EE"/>
        </w:rPr>
        <w:t xml:space="preserve"> tõkestamiseks</w:t>
      </w:r>
      <w:r w:rsidRPr="00D032BE">
        <w:rPr>
          <w:rFonts w:ascii="Cambria" w:hAnsi="Cambria"/>
          <w:sz w:val="24"/>
          <w:szCs w:val="24"/>
          <w:lang w:val="et-EE"/>
        </w:rPr>
        <w:t>. Selle ohu vastu võitlemiseks on FATF vastu võtnud uue soovituse (soovitus</w:t>
      </w:r>
      <w:r w:rsidR="00847867">
        <w:rPr>
          <w:rFonts w:ascii="Cambria" w:hAnsi="Cambria"/>
          <w:sz w:val="24"/>
          <w:szCs w:val="24"/>
          <w:lang w:val="et-EE"/>
        </w:rPr>
        <w:t xml:space="preserve"> </w:t>
      </w:r>
      <w:r w:rsidRPr="00D032BE">
        <w:rPr>
          <w:rFonts w:ascii="Cambria" w:hAnsi="Cambria"/>
          <w:sz w:val="24"/>
          <w:szCs w:val="24"/>
          <w:lang w:val="et-EE"/>
        </w:rPr>
        <w:t>7), mille eesmärk on tagada ÜRO Julgeolekunõukogu kehtestatavate sihtotstarbeliste finantskaristuste järjepidev ja tõhus rakendamine.</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FATFi standardid koosnevad soovitustest ja nende tõlgendavatest märkustest</w:t>
      </w:r>
      <w:r w:rsidR="002D0793">
        <w:rPr>
          <w:rFonts w:ascii="Cambria" w:hAnsi="Cambria"/>
          <w:sz w:val="24"/>
          <w:szCs w:val="24"/>
          <w:lang w:val="et-EE"/>
        </w:rPr>
        <w:t xml:space="preserve"> ning lisaks</w:t>
      </w:r>
      <w:r w:rsidRPr="00D032BE">
        <w:rPr>
          <w:rFonts w:ascii="Cambria" w:hAnsi="Cambria"/>
          <w:sz w:val="24"/>
          <w:szCs w:val="24"/>
          <w:lang w:val="et-EE"/>
        </w:rPr>
        <w:t xml:space="preserve"> </w:t>
      </w:r>
      <w:r w:rsidR="002D0793">
        <w:rPr>
          <w:rFonts w:ascii="Cambria" w:hAnsi="Cambria"/>
          <w:sz w:val="24"/>
          <w:szCs w:val="24"/>
          <w:lang w:val="et-EE"/>
        </w:rPr>
        <w:t xml:space="preserve">sõnaseletuste loendit koos </w:t>
      </w:r>
      <w:r w:rsidRPr="00D032BE">
        <w:rPr>
          <w:rFonts w:ascii="Cambria" w:hAnsi="Cambria"/>
          <w:sz w:val="24"/>
          <w:szCs w:val="24"/>
          <w:lang w:val="et-EE"/>
        </w:rPr>
        <w:t>asjakohaste mõistete</w:t>
      </w:r>
      <w:r w:rsidR="002D0793" w:rsidRPr="002D0793">
        <w:rPr>
          <w:rFonts w:ascii="Cambria" w:hAnsi="Cambria"/>
          <w:sz w:val="24"/>
          <w:szCs w:val="24"/>
          <w:lang w:val="et-EE"/>
        </w:rPr>
        <w:t xml:space="preserve"> </w:t>
      </w:r>
      <w:r w:rsidR="002D0793" w:rsidRPr="00D032BE">
        <w:rPr>
          <w:rFonts w:ascii="Cambria" w:hAnsi="Cambria"/>
          <w:sz w:val="24"/>
          <w:szCs w:val="24"/>
          <w:lang w:val="et-EE"/>
        </w:rPr>
        <w:t>seletus</w:t>
      </w:r>
      <w:r w:rsidR="002D0793">
        <w:rPr>
          <w:rFonts w:ascii="Cambria" w:hAnsi="Cambria"/>
          <w:sz w:val="24"/>
          <w:szCs w:val="24"/>
          <w:lang w:val="et-EE"/>
        </w:rPr>
        <w:t>tega</w:t>
      </w:r>
      <w:r w:rsidRPr="00D032BE">
        <w:rPr>
          <w:rFonts w:ascii="Cambria" w:hAnsi="Cambria"/>
          <w:sz w:val="24"/>
          <w:szCs w:val="24"/>
          <w:lang w:val="et-EE"/>
        </w:rPr>
        <w:t xml:space="preserve">. FATFi standardites sätestatud meetmeid peaksid rakendama kõik FATFi ja FATFi-laadsete piirkondlike organite liikmed ning nende rakendamist hinnatakse rangelt vastastikuste hindamiste ning IMFi ja Maailmapanga hindamiste kaudu, kasutades FATFi ühtset hindamismetoodikat. Mõned tõlgendavad märkused ja </w:t>
      </w:r>
      <w:r w:rsidR="002D0793">
        <w:rPr>
          <w:rFonts w:ascii="Cambria" w:hAnsi="Cambria"/>
          <w:sz w:val="24"/>
          <w:szCs w:val="24"/>
          <w:lang w:val="et-EE"/>
        </w:rPr>
        <w:t xml:space="preserve">sõnaseletuste loendi </w:t>
      </w:r>
      <w:r w:rsidR="002D0793" w:rsidRPr="00D032BE">
        <w:rPr>
          <w:rFonts w:ascii="Cambria" w:hAnsi="Cambria"/>
          <w:sz w:val="24"/>
          <w:szCs w:val="24"/>
          <w:lang w:val="et-EE"/>
        </w:rPr>
        <w:t>mõiste</w:t>
      </w:r>
      <w:r w:rsidR="002D0793">
        <w:rPr>
          <w:rFonts w:ascii="Cambria" w:hAnsi="Cambria"/>
          <w:sz w:val="24"/>
          <w:szCs w:val="24"/>
          <w:lang w:val="et-EE"/>
        </w:rPr>
        <w:t>te</w:t>
      </w:r>
      <w:r w:rsidR="002D0793" w:rsidRPr="00D032BE">
        <w:rPr>
          <w:rFonts w:ascii="Cambria" w:hAnsi="Cambria"/>
          <w:sz w:val="24"/>
          <w:szCs w:val="24"/>
          <w:lang w:val="et-EE"/>
        </w:rPr>
        <w:t xml:space="preserve"> </w:t>
      </w:r>
      <w:r w:rsidR="002D0793">
        <w:rPr>
          <w:rFonts w:ascii="Cambria" w:hAnsi="Cambria"/>
          <w:sz w:val="24"/>
          <w:szCs w:val="24"/>
          <w:lang w:val="et-EE"/>
        </w:rPr>
        <w:t>s</w:t>
      </w:r>
      <w:r w:rsidR="002D0793" w:rsidRPr="00D032BE">
        <w:rPr>
          <w:rFonts w:ascii="Cambria" w:hAnsi="Cambria"/>
          <w:sz w:val="24"/>
          <w:szCs w:val="24"/>
          <w:lang w:val="et-EE"/>
        </w:rPr>
        <w:t>eletuse</w:t>
      </w:r>
      <w:r w:rsidR="002D0793">
        <w:rPr>
          <w:rFonts w:ascii="Cambria" w:hAnsi="Cambria"/>
          <w:sz w:val="24"/>
          <w:szCs w:val="24"/>
          <w:lang w:val="et-EE"/>
        </w:rPr>
        <w:t>d</w:t>
      </w:r>
      <w:r w:rsidR="002D0793" w:rsidRPr="00D032BE">
        <w:rPr>
          <w:rFonts w:ascii="Cambria" w:hAnsi="Cambria"/>
          <w:sz w:val="24"/>
          <w:szCs w:val="24"/>
          <w:lang w:val="et-EE"/>
        </w:rPr>
        <w:t xml:space="preserve"> </w:t>
      </w:r>
      <w:r w:rsidRPr="00D032BE">
        <w:rPr>
          <w:rFonts w:ascii="Cambria" w:hAnsi="Cambria"/>
          <w:sz w:val="24"/>
          <w:szCs w:val="24"/>
          <w:lang w:val="et-EE"/>
        </w:rPr>
        <w:t xml:space="preserve">sisaldavad näiteid selle kohta, kuidas nõudeid rakendada. Need näited ei ole FATFi standardite kohustuslik osa, vaid esitatud üksnes suunisena. Samuti ei ole need </w:t>
      </w:r>
      <w:r w:rsidRPr="00D032BE">
        <w:rPr>
          <w:rFonts w:ascii="Cambria" w:hAnsi="Cambria"/>
          <w:sz w:val="24"/>
          <w:szCs w:val="24"/>
          <w:lang w:val="et-EE"/>
        </w:rPr>
        <w:lastRenderedPageBreak/>
        <w:t>näited kõikehõlmavad ja kuigi neid käsitletakse kasulike viidetena, ei pruugi need olla kõikides tingimustes asjakohased.</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FATF koostab ka suuniseid, parima tava dokumente ja muid nõuandeid, et abistada riike FATFi standardite rakendamisel. Need dokumendid ei ole standardite järgimise hindamisel kohustuslikud, ent riikidel võib olla nendest kasu FATFi standardite rakendamiseks parimate mooduste valimisel. Loetelu FATFi suunistest ja parima tava dokumentidest, mis on kättesaadaval FATFi veebisaidil, on esitatud ka soovituste lisas.</w:t>
      </w:r>
    </w:p>
    <w:p w:rsidR="00D032BE" w:rsidRPr="00D032BE" w:rsidRDefault="00D032BE" w:rsidP="007A03CE">
      <w:pPr>
        <w:spacing w:after="120"/>
        <w:jc w:val="both"/>
        <w:rPr>
          <w:rFonts w:ascii="Cambria" w:hAnsi="Cambria"/>
          <w:sz w:val="24"/>
          <w:szCs w:val="24"/>
          <w:lang w:val="et-EE"/>
        </w:rPr>
      </w:pPr>
      <w:r w:rsidRPr="00D032BE">
        <w:rPr>
          <w:rFonts w:ascii="Cambria" w:hAnsi="Cambria"/>
          <w:sz w:val="24"/>
          <w:szCs w:val="24"/>
          <w:lang w:val="et-EE"/>
        </w:rPr>
        <w:t xml:space="preserve">FATF on võtnud endale kohustuseks pidada tihedat ja konstruktiivset dialoogi erasektori, tsiviilühiskonna ja teiste huvitatud isikutega, kes on tähtsad partnerid rahandussüsteemi terviklikkuse tagamisel. Soovituste läbivaatamisel on nende huvirühmadega põhjalikult konsulteeritud ning nende kommentaare ja ettepanekuid arvesse võetud. Ka tulevikus kaalub FATF </w:t>
      </w:r>
      <w:r w:rsidR="007A03CE">
        <w:rPr>
          <w:rFonts w:ascii="Cambria" w:hAnsi="Cambria"/>
          <w:sz w:val="24"/>
          <w:szCs w:val="24"/>
          <w:lang w:val="et-EE"/>
        </w:rPr>
        <w:t xml:space="preserve">oma volituste piires </w:t>
      </w:r>
      <w:r w:rsidRPr="00D032BE">
        <w:rPr>
          <w:rFonts w:ascii="Cambria" w:hAnsi="Cambria"/>
          <w:sz w:val="24"/>
          <w:szCs w:val="24"/>
          <w:lang w:val="et-EE"/>
        </w:rPr>
        <w:t>standarditesse asjakohaste muudatuste tegemist</w:t>
      </w:r>
      <w:r w:rsidR="007A03CE">
        <w:rPr>
          <w:rFonts w:ascii="Cambria" w:hAnsi="Cambria"/>
          <w:sz w:val="24"/>
          <w:szCs w:val="24"/>
          <w:lang w:val="et-EE"/>
        </w:rPr>
        <w:t>,</w:t>
      </w:r>
      <w:r w:rsidRPr="00D032BE">
        <w:rPr>
          <w:rFonts w:ascii="Cambria" w:hAnsi="Cambria"/>
          <w:sz w:val="24"/>
          <w:szCs w:val="24"/>
          <w:lang w:val="et-EE"/>
        </w:rPr>
        <w:t xml:space="preserve"> vastavalt uuele teabele esilekerkivate ohtude ja üleilmse rahandussüsteemi haavatavate aspektide kohta.</w:t>
      </w:r>
    </w:p>
    <w:p w:rsidR="00D032BE" w:rsidRPr="00D032BE" w:rsidRDefault="00D032BE" w:rsidP="007A03CE">
      <w:pPr>
        <w:spacing w:after="120"/>
        <w:jc w:val="both"/>
        <w:rPr>
          <w:rFonts w:ascii="Cambria" w:hAnsi="Cambria"/>
          <w:lang w:val="et-EE"/>
        </w:rPr>
      </w:pPr>
      <w:r w:rsidRPr="00D032BE">
        <w:rPr>
          <w:rFonts w:ascii="Cambria" w:hAnsi="Cambria"/>
          <w:sz w:val="24"/>
          <w:szCs w:val="24"/>
          <w:lang w:val="et-EE"/>
        </w:rPr>
        <w:t xml:space="preserve">FATF kutsub riike üles võtma vajalikke meetmeid, et viia oma siseriiklikud </w:t>
      </w:r>
      <w:r w:rsidR="002A32CF">
        <w:rPr>
          <w:rFonts w:ascii="Cambria" w:hAnsi="Cambria"/>
          <w:sz w:val="24"/>
          <w:szCs w:val="24"/>
          <w:lang w:val="et-EE"/>
        </w:rPr>
        <w:t>rahapesu</w:t>
      </w:r>
      <w:r w:rsidRPr="00D032BE">
        <w:rPr>
          <w:rFonts w:ascii="Cambria" w:hAnsi="Cambria"/>
          <w:sz w:val="24"/>
          <w:szCs w:val="24"/>
          <w:lang w:val="et-EE"/>
        </w:rPr>
        <w:t xml:space="preserve">, terrorismi rahastamise ja massihävitusrelvade leviku rahastamise </w:t>
      </w:r>
      <w:r w:rsidR="00162FFB">
        <w:rPr>
          <w:rFonts w:ascii="Cambria" w:hAnsi="Cambria"/>
          <w:sz w:val="24"/>
          <w:szCs w:val="24"/>
          <w:lang w:val="et-EE"/>
        </w:rPr>
        <w:t>tõkestamise</w:t>
      </w:r>
      <w:r w:rsidRPr="00D032BE">
        <w:rPr>
          <w:rFonts w:ascii="Cambria" w:hAnsi="Cambria"/>
          <w:sz w:val="24"/>
          <w:szCs w:val="24"/>
          <w:lang w:val="et-EE"/>
        </w:rPr>
        <w:t xml:space="preserve"> süsteemid vastavusse FATFi uute soovitustega.</w:t>
      </w:r>
      <w:r w:rsidRPr="00D032BE">
        <w:rPr>
          <w:rFonts w:ascii="Cambria" w:hAnsi="Cambria"/>
          <w:lang w:val="et-EE"/>
        </w:rPr>
        <w:br w:type="page"/>
      </w:r>
    </w:p>
    <w:p w:rsidR="00D032BE" w:rsidRPr="00D032BE" w:rsidRDefault="00D032BE" w:rsidP="00D032BE">
      <w:pPr>
        <w:pStyle w:val="Pealkiri1"/>
      </w:pPr>
      <w:bookmarkStart w:id="5" w:name="_Toc338857793"/>
      <w:bookmarkStart w:id="6" w:name="_Ref338857926"/>
      <w:bookmarkStart w:id="7" w:name="_Ref338857931"/>
      <w:bookmarkStart w:id="8" w:name="_Ref338857965"/>
      <w:r w:rsidRPr="00D032BE">
        <w:lastRenderedPageBreak/>
        <w:t>FATFi SOOVITUSED</w:t>
      </w:r>
      <w:bookmarkEnd w:id="5"/>
      <w:bookmarkEnd w:id="6"/>
      <w:bookmarkEnd w:id="7"/>
      <w:bookmarkEnd w:id="8"/>
    </w:p>
    <w:p w:rsidR="00D032BE" w:rsidRPr="00D032BE" w:rsidRDefault="00D032BE" w:rsidP="00D032BE">
      <w:pPr>
        <w:pStyle w:val="A-pealkiri"/>
      </w:pPr>
      <w:r w:rsidRPr="00D032BE">
        <w:t>A.</w:t>
      </w:r>
      <w:r w:rsidRPr="00D032BE">
        <w:tab/>
      </w:r>
      <w:r w:rsidR="002A32CF">
        <w:t>RAHAPESU</w:t>
      </w:r>
      <w:r w:rsidRPr="00D032BE">
        <w:t xml:space="preserve"> JA TERRORISMI RAHASTAMISE </w:t>
      </w:r>
      <w:r w:rsidR="00162FFB">
        <w:t>TÕKESTAMISE</w:t>
      </w:r>
      <w:r w:rsidRPr="00D032BE">
        <w:t xml:space="preserve"> PÕHIMÕTTED JA KOORDINEERIMINE</w:t>
      </w:r>
    </w:p>
    <w:p w:rsidR="00D032BE" w:rsidRPr="00D032BE" w:rsidRDefault="00D032BE" w:rsidP="00D032BE">
      <w:pPr>
        <w:pStyle w:val="A-pealkiri"/>
      </w:pPr>
      <w:r w:rsidRPr="00D032BE">
        <w:t>1.</w:t>
      </w:r>
      <w:r w:rsidRPr="00D032BE">
        <w:tab/>
        <w:t>Riskide hindamine ja riskipõhise lähenemise rakendamine *</w:t>
      </w:r>
    </w:p>
    <w:p w:rsidR="00D032BE" w:rsidRPr="00D032BE" w:rsidRDefault="00D032BE" w:rsidP="00D032BE">
      <w:pPr>
        <w:pStyle w:val="kehatekst"/>
      </w:pPr>
      <w:r w:rsidRPr="00D032BE">
        <w:t xml:space="preserve">Riigid peaksid </w:t>
      </w:r>
      <w:r w:rsidR="001241A6">
        <w:t>oma</w:t>
      </w:r>
      <w:r w:rsidR="008E3072" w:rsidRPr="00D032BE">
        <w:t xml:space="preserve"> </w:t>
      </w:r>
      <w:r w:rsidR="002A32CF">
        <w:t>rahapesu</w:t>
      </w:r>
      <w:r w:rsidRPr="00D032BE">
        <w:t xml:space="preserve"> ja terrorismi rahastamise riskid </w:t>
      </w:r>
      <w:r w:rsidR="001241A6">
        <w:t>identifitseerima</w:t>
      </w:r>
      <w:r w:rsidRPr="00D032BE">
        <w:t xml:space="preserve">, neid hindama ja nendest aru saama ning võtma meetmed (sh riskihindamistegevusi koordineeriva asutuse või mehhanismi määramine) ja </w:t>
      </w:r>
      <w:r w:rsidR="001241A6">
        <w:t>rakendama</w:t>
      </w:r>
      <w:r w:rsidR="001241A6" w:rsidRPr="00D032BE">
        <w:t xml:space="preserve"> </w:t>
      </w:r>
      <w:r w:rsidRPr="00D032BE">
        <w:t>vahend</w:t>
      </w:r>
      <w:r w:rsidR="001241A6">
        <w:t>e</w:t>
      </w:r>
      <w:r w:rsidRPr="00D032BE">
        <w:t xml:space="preserve">id nende riskide tulemuslikuks </w:t>
      </w:r>
      <w:r w:rsidR="001241A6">
        <w:t>maandamiseks</w:t>
      </w:r>
      <w:r w:rsidRPr="00D032BE">
        <w:t xml:space="preserve">. </w:t>
      </w:r>
      <w:r w:rsidR="001241A6" w:rsidRPr="00D032BE">
        <w:t>Riskihin</w:t>
      </w:r>
      <w:r w:rsidR="001241A6">
        <w:t>nangutest lähtudes</w:t>
      </w:r>
      <w:r w:rsidRPr="00D032BE">
        <w:t xml:space="preserve"> peaksid riigid rakendama riskipõhist lähenemist</w:t>
      </w:r>
      <w:r w:rsidR="001241A6">
        <w:t>,</w:t>
      </w:r>
      <w:r w:rsidRPr="00D032BE">
        <w:t xml:space="preserve"> tagamaks, et rahapesu ja terrorismi rahastamist ennetavad või </w:t>
      </w:r>
      <w:r w:rsidR="001241A6">
        <w:t>maandavad</w:t>
      </w:r>
      <w:r w:rsidR="001241A6" w:rsidRPr="00D032BE">
        <w:t xml:space="preserve"> </w:t>
      </w:r>
      <w:r w:rsidRPr="00D032BE">
        <w:t xml:space="preserve">meetmed vastavad oma ulatuselt </w:t>
      </w:r>
      <w:r w:rsidR="001241A6">
        <w:t>tuvastatud</w:t>
      </w:r>
      <w:r w:rsidR="001241A6" w:rsidRPr="00D032BE">
        <w:t xml:space="preserve"> </w:t>
      </w:r>
      <w:r w:rsidRPr="00D032BE">
        <w:t xml:space="preserve">riskidele. See lähenemine peaks olema põhialuseks ressursside tõhusale eraldamisele kogu </w:t>
      </w:r>
      <w:r w:rsidR="002A32CF">
        <w:t>rahapesu</w:t>
      </w:r>
      <w:r w:rsidRPr="00D032BE">
        <w:t xml:space="preserve"> ja terrorismi rahastamise </w:t>
      </w:r>
      <w:r w:rsidR="00162FFB">
        <w:t>tõkestamise</w:t>
      </w:r>
      <w:r w:rsidRPr="00D032BE">
        <w:t xml:space="preserve"> tegevuses ning riskipõhiste meetmete rakendamisele FATFi soovituste raames. </w:t>
      </w:r>
      <w:r w:rsidR="00D63059">
        <w:t>Nendes valdkondades</w:t>
      </w:r>
      <w:r w:rsidR="001241A6">
        <w:t xml:space="preserve">, kus tuvastatud on </w:t>
      </w:r>
      <w:r w:rsidR="00D63059">
        <w:t>kõrgemad</w:t>
      </w:r>
      <w:r w:rsidRPr="00D032BE">
        <w:t xml:space="preserve"> riskid</w:t>
      </w:r>
      <w:r w:rsidR="00786E8E">
        <w:t>,</w:t>
      </w:r>
      <w:r w:rsidRPr="00D032BE">
        <w:t xml:space="preserve"> peaksid riigid tagama, et nende </w:t>
      </w:r>
      <w:r w:rsidR="002A32CF">
        <w:t>rahapesu</w:t>
      </w:r>
      <w:r w:rsidRPr="00D032BE">
        <w:t xml:space="preserve"> ja terrorismi rahastamise </w:t>
      </w:r>
      <w:r w:rsidR="00786E8E">
        <w:t xml:space="preserve">tõkestamise </w:t>
      </w:r>
      <w:r w:rsidR="00D63059">
        <w:t>meetmed</w:t>
      </w:r>
      <w:r w:rsidRPr="00D032BE">
        <w:t xml:space="preserve"> </w:t>
      </w:r>
      <w:r w:rsidR="00D63059">
        <w:t>on adekvaatse</w:t>
      </w:r>
      <w:r w:rsidR="007F486E">
        <w:t>lt suunatud riskide maandamiseks</w:t>
      </w:r>
      <w:r w:rsidRPr="00D032BE">
        <w:t xml:space="preserve">. </w:t>
      </w:r>
      <w:r w:rsidR="00786E8E">
        <w:t>Madala riski korral</w:t>
      </w:r>
      <w:r w:rsidRPr="00D032BE">
        <w:t xml:space="preserve"> võivad riigid </w:t>
      </w:r>
      <w:r w:rsidR="00786E8E">
        <w:t>lubada kindlaksmääratud tingimustel teatud FATFi soovituste osas kohaldada lihtsustatud hoolsusmeetmeid.</w:t>
      </w:r>
      <w:r w:rsidRPr="00D032BE">
        <w:t>.</w:t>
      </w:r>
    </w:p>
    <w:p w:rsidR="00D032BE" w:rsidRPr="00D032BE" w:rsidRDefault="00D032BE" w:rsidP="00D032BE">
      <w:pPr>
        <w:pStyle w:val="kehatekst"/>
      </w:pPr>
      <w:r w:rsidRPr="00D032BE">
        <w:t xml:space="preserve">Riigid peaksid nõudma </w:t>
      </w:r>
      <w:r w:rsidR="006043CB">
        <w:t>finantsasutus</w:t>
      </w:r>
      <w:r w:rsidRPr="00D032BE">
        <w:t xml:space="preserve">telt ja mittefinantsteenuseid pakkuvatelt ettevõtjatelt ja kutsetöötajatelt, et need selgitaksid välja oma rahapesu ja terrorismi rahastamisega seotud riskid ja hindaksid neid ning rakendaksid tõhusaid meetmeid nende riskide </w:t>
      </w:r>
      <w:r w:rsidR="00786E8E">
        <w:t>maandamiseks</w:t>
      </w:r>
      <w:r w:rsidRPr="00D032BE">
        <w:t>.</w:t>
      </w:r>
    </w:p>
    <w:p w:rsidR="00D032BE" w:rsidRPr="00D032BE" w:rsidRDefault="00D032BE" w:rsidP="00D032BE">
      <w:pPr>
        <w:pStyle w:val="A-pealkiri"/>
      </w:pPr>
      <w:r w:rsidRPr="00D032BE">
        <w:t>2.</w:t>
      </w:r>
      <w:r w:rsidRPr="00D032BE">
        <w:tab/>
        <w:t>Siseriiklik koostöö ja koordineerimine</w:t>
      </w:r>
    </w:p>
    <w:p w:rsidR="00D032BE" w:rsidRPr="00D032BE" w:rsidRDefault="00D032BE" w:rsidP="00D032BE">
      <w:pPr>
        <w:pStyle w:val="kehatekst"/>
      </w:pPr>
      <w:r w:rsidRPr="00D032BE">
        <w:t xml:space="preserve">Riigid peaksid kehtestama </w:t>
      </w:r>
      <w:r w:rsidR="00786E8E">
        <w:t>tuvastatud</w:t>
      </w:r>
      <w:r w:rsidR="00786E8E" w:rsidRPr="00D032BE">
        <w:t xml:space="preserve"> </w:t>
      </w:r>
      <w:r w:rsidRPr="00D032BE">
        <w:t xml:space="preserve">riskidel põhinevad siseriiklikud </w:t>
      </w:r>
      <w:r w:rsidR="002A32CF">
        <w:t>rahapesu</w:t>
      </w:r>
      <w:r w:rsidRPr="00D032BE">
        <w:t xml:space="preserve"> ja terrorismi rahastamise </w:t>
      </w:r>
      <w:r w:rsidR="00786E8E">
        <w:t>tõkestamise</w:t>
      </w:r>
      <w:r w:rsidRPr="00D032BE">
        <w:t xml:space="preserve"> põhimõtted, mis tuleks regulaarselt läbi vaadata, ning määrama asutuse või omama koordineerimis- või muu</w:t>
      </w:r>
      <w:r w:rsidR="00786E8E">
        <w:t>d</w:t>
      </w:r>
      <w:r w:rsidRPr="00D032BE">
        <w:t xml:space="preserve"> mehhanismi, mis vastutab nende põhimõtete rakendamise eest.</w:t>
      </w:r>
    </w:p>
    <w:p w:rsidR="00D032BE" w:rsidRPr="00D032BE" w:rsidRDefault="00D032BE" w:rsidP="00786E8E">
      <w:pPr>
        <w:pStyle w:val="kehatekst"/>
      </w:pPr>
      <w:r w:rsidRPr="00D032BE">
        <w:t xml:space="preserve">Riigid peaksid tagama, et poliitikakujundajad, </w:t>
      </w:r>
      <w:r w:rsidR="00D86A5F">
        <w:t>Rahapesu andmebüroo</w:t>
      </w:r>
      <w:r w:rsidRPr="00D032BE">
        <w:t xml:space="preserve">, õiguskaitseorganid, järelevalve- ja muud asjaomased pädevad asutused on võtnud nii poliitikakujundamise kui ka operatiivtasandil kasutusele toimivad mehhanismid, mis võimaldavad neil teha koostööd ja vajaduse korral riigisiseselt koordineerida </w:t>
      </w:r>
      <w:r w:rsidR="002A32CF">
        <w:t>rahapesu</w:t>
      </w:r>
      <w:r w:rsidRPr="00D032BE">
        <w:t xml:space="preserve">, terrorismi rahastamise ja massihävitusrelvade leviku rahastamise </w:t>
      </w:r>
      <w:r w:rsidR="00A35E9F">
        <w:t>tõkestamise</w:t>
      </w:r>
      <w:r w:rsidRPr="00D032BE">
        <w:t xml:space="preserve"> põhimõtete ja tegevuse väljatöötamist ja rakendamist.</w:t>
      </w:r>
      <w:r w:rsidRPr="00D032BE">
        <w:br w:type="page"/>
      </w:r>
    </w:p>
    <w:p w:rsidR="00D032BE" w:rsidRPr="00D032BE" w:rsidRDefault="00D032BE" w:rsidP="00786E8E">
      <w:pPr>
        <w:pStyle w:val="A-pealkiri"/>
      </w:pPr>
      <w:r w:rsidRPr="00D032BE">
        <w:lastRenderedPageBreak/>
        <w:t xml:space="preserve">B. </w:t>
      </w:r>
      <w:r w:rsidRPr="00D032BE">
        <w:tab/>
        <w:t>RAHAPESU JA KONFISKEERIMINE</w:t>
      </w:r>
    </w:p>
    <w:p w:rsidR="00D032BE" w:rsidRPr="00D032BE" w:rsidRDefault="00D032BE" w:rsidP="00D032BE">
      <w:pPr>
        <w:pStyle w:val="A-pealkiri"/>
      </w:pPr>
      <w:r w:rsidRPr="00D032BE">
        <w:t xml:space="preserve">3. </w:t>
      </w:r>
      <w:r w:rsidRPr="00D032BE">
        <w:tab/>
        <w:t>Rahapesu kuritegu *</w:t>
      </w:r>
    </w:p>
    <w:p w:rsidR="00D032BE" w:rsidRPr="00D032BE" w:rsidRDefault="00D032BE" w:rsidP="00D032BE">
      <w:pPr>
        <w:pStyle w:val="kehatekst"/>
      </w:pPr>
      <w:r w:rsidRPr="00D032BE">
        <w:t xml:space="preserve">Riigid peaksid sätestama kriminaalvastutuse rahapesu </w:t>
      </w:r>
      <w:r w:rsidR="000324F9">
        <w:t xml:space="preserve">kuriteo toimepanemise </w:t>
      </w:r>
      <w:r w:rsidRPr="00D032BE">
        <w:t xml:space="preserve">eest Viini ja </w:t>
      </w:r>
      <w:proofErr w:type="spellStart"/>
      <w:r w:rsidRPr="00D032BE">
        <w:t>Palermo</w:t>
      </w:r>
      <w:proofErr w:type="spellEnd"/>
      <w:r w:rsidRPr="00D032BE">
        <w:t xml:space="preserve"> konventsiooni alusel. Riigid peaksid </w:t>
      </w:r>
      <w:r w:rsidR="007F486E">
        <w:t>sisustama</w:t>
      </w:r>
      <w:r w:rsidR="000324F9">
        <w:t xml:space="preserve"> </w:t>
      </w:r>
      <w:r w:rsidR="007F486E">
        <w:t xml:space="preserve">eelkuriteo kui </w:t>
      </w:r>
      <w:r w:rsidR="000324F9">
        <w:t>rahapesu kuriteo ühe obligatoorse tunnuse võimalikult laialt, et see kataks kõik olulised õigusrikkumised.</w:t>
      </w:r>
    </w:p>
    <w:p w:rsidR="00D032BE" w:rsidRPr="00D032BE" w:rsidRDefault="00D032BE" w:rsidP="00D032BE">
      <w:pPr>
        <w:pStyle w:val="A-pealkiri"/>
      </w:pPr>
      <w:r w:rsidRPr="00D032BE">
        <w:t xml:space="preserve">4. </w:t>
      </w:r>
      <w:r w:rsidRPr="00D032BE">
        <w:tab/>
        <w:t>Konfiskeerimine ja ajutised meetmed *</w:t>
      </w:r>
    </w:p>
    <w:p w:rsidR="00D032BE" w:rsidRPr="00D032BE" w:rsidRDefault="00D032BE" w:rsidP="00D032BE">
      <w:pPr>
        <w:pStyle w:val="kehatekst"/>
      </w:pPr>
      <w:r w:rsidRPr="00D032BE">
        <w:t xml:space="preserve">Riigid peaksid </w:t>
      </w:r>
      <w:r w:rsidR="008E3072">
        <w:t>rakendama</w:t>
      </w:r>
      <w:r w:rsidR="008E3072" w:rsidRPr="00D032BE">
        <w:t xml:space="preserve"> </w:t>
      </w:r>
      <w:r w:rsidRPr="00D032BE">
        <w:t xml:space="preserve">Viini, </w:t>
      </w:r>
      <w:proofErr w:type="spellStart"/>
      <w:r w:rsidRPr="00D032BE">
        <w:t>Palermo</w:t>
      </w:r>
      <w:proofErr w:type="spellEnd"/>
      <w:r w:rsidRPr="00D032BE">
        <w:t xml:space="preserve"> ja terrorismi rahastamise tõkestamise konventsiooniga sätestatutele sarnaseid meetmeid, sh seadusandlikke meetmeid, et võimaldada oma pädevatel asutustel blokeerida või arestida ja konfiskeerida a) rahapesu </w:t>
      </w:r>
      <w:r w:rsidR="007A3C45">
        <w:t>objektiks olnud</w:t>
      </w:r>
      <w:r w:rsidRPr="00D032BE">
        <w:t xml:space="preserve"> vara, b) rahapesust või eelkuritegudest saadud tulu ja selliste õigusrikkumiste toimepanekuks kasutatud või kavandatud abivahendeid, c) terrorismi, terroristlike aktide või terroristlike organisatsioonide rahastamisest saadud tulu või nende rahastamiseks kasutatud või kavandatud või eraldatud vara või d) vastava väärtusega vara, ilma et see piiraks heausksete kolmandate isikute õigusi.</w:t>
      </w:r>
    </w:p>
    <w:p w:rsidR="00D032BE" w:rsidRPr="00D032BE" w:rsidRDefault="00D032BE" w:rsidP="00D032BE">
      <w:pPr>
        <w:pStyle w:val="kehatekst"/>
      </w:pPr>
      <w:r w:rsidRPr="00D032BE">
        <w:t xml:space="preserve">Sellised meetmed peaksid sisaldama volitusi, mille alusel on võimalik: a) teha kindlaks, jälgida ja hinnata konfiskeerimisele kuuluvat vara; b) </w:t>
      </w:r>
      <w:r w:rsidR="008E3072">
        <w:t>rakendada</w:t>
      </w:r>
      <w:r w:rsidR="008E3072" w:rsidRPr="00D032BE">
        <w:t xml:space="preserve"> </w:t>
      </w:r>
      <w:r w:rsidRPr="00D032BE">
        <w:t>ajutisi meetmeid, nagu blokeerimist ja arestimist, et tõkestada sellise varaga kauplemist, selle võõrandamist või käsutamist; c) astuda samme selliste toimingute takistamiseks või tühistamiseks, mis piiravad riigi võimet blokeerida, arestida või sisse nõuda konfiskeerimisele kuuluvat vara; ja d) rakendada mis tahes asjakohaseid uurimismeetmeid.</w:t>
      </w:r>
    </w:p>
    <w:p w:rsidR="00D032BE" w:rsidRPr="00D032BE" w:rsidRDefault="00D032BE" w:rsidP="00D032BE">
      <w:pPr>
        <w:pStyle w:val="kehatekst"/>
      </w:pPr>
      <w:r w:rsidRPr="00D032BE">
        <w:t>Riigid peaksid kaaluma selliste meetmete rakendamist, mis võimaldavad nimetatud tulu või abivahendeid konfiskeerida ilma süüdimõistva kohtuotsuseta või mis nõuavad, et teo toimepanija tõestaks väidetavalt konfiskeerimisele kuuluva vara seaduslikku päritolu, niivõrd kui selline nõue on kooskõlas siseriikliku õiguse põhimõtetega.</w:t>
      </w:r>
    </w:p>
    <w:p w:rsidR="00D032BE" w:rsidRPr="00D032BE" w:rsidRDefault="00D032BE" w:rsidP="00D032BE">
      <w:pPr>
        <w:ind w:left="709"/>
        <w:rPr>
          <w:rFonts w:ascii="Cambria" w:hAnsi="Cambria"/>
          <w:lang w:val="et-EE"/>
        </w:rPr>
      </w:pPr>
      <w:r w:rsidRPr="00D032BE">
        <w:rPr>
          <w:rFonts w:ascii="Cambria" w:hAnsi="Cambria"/>
          <w:lang w:val="et-EE"/>
        </w:rPr>
        <w:br w:type="page"/>
      </w:r>
    </w:p>
    <w:p w:rsidR="00D032BE" w:rsidRPr="00D032BE" w:rsidRDefault="00D032BE" w:rsidP="00D032BE">
      <w:pPr>
        <w:pStyle w:val="A-pealkiri"/>
      </w:pPr>
      <w:r w:rsidRPr="00D032BE">
        <w:lastRenderedPageBreak/>
        <w:t xml:space="preserve">C. </w:t>
      </w:r>
      <w:r w:rsidRPr="00D032BE">
        <w:tab/>
        <w:t>TERRORISMI RAHASTAMI</w:t>
      </w:r>
      <w:r w:rsidR="0040255A">
        <w:t>S</w:t>
      </w:r>
      <w:r w:rsidRPr="00D032BE">
        <w:t xml:space="preserve">E JA MASSIHÄVITUSRELVADE LEVIKU </w:t>
      </w:r>
      <w:r w:rsidR="0040255A">
        <w:t>TÕKESTAMINE</w:t>
      </w:r>
    </w:p>
    <w:p w:rsidR="00D032BE" w:rsidRPr="00D032BE" w:rsidRDefault="00D032BE" w:rsidP="00D032BE">
      <w:pPr>
        <w:pStyle w:val="A-pealkiri"/>
      </w:pPr>
      <w:r w:rsidRPr="00D032BE">
        <w:t xml:space="preserve">5. </w:t>
      </w:r>
      <w:r w:rsidRPr="00D032BE">
        <w:tab/>
        <w:t>Terrorismi rahastamise kuritegu *</w:t>
      </w:r>
    </w:p>
    <w:p w:rsidR="00D032BE" w:rsidRPr="00D032BE" w:rsidRDefault="00D032BE" w:rsidP="00D032BE">
      <w:pPr>
        <w:pStyle w:val="kehatekst"/>
      </w:pPr>
      <w:r w:rsidRPr="00D032BE">
        <w:t>Riigid peaksid terrorismi rahastamise tõkestamise konventsiooni alusel sätestama kriminaalvastutuse terrorismi rahastamise eest ning sealjuures mitte ainult terrorikuritegude rahastamise, vaid ka terroristlike organisatsioonide ja üksikute terroristide rahastamise eest isegi siis, kui puudub seos konkreetse terrorikuriteo või -kuritegudega. Riigid peaksid tagama, et sellised õigusrikkumised määratletaks rahapesu eelkuritegudena.</w:t>
      </w:r>
    </w:p>
    <w:p w:rsidR="00D032BE" w:rsidRPr="00D032BE" w:rsidRDefault="00D032BE" w:rsidP="00D032BE">
      <w:pPr>
        <w:pStyle w:val="A-pealkiri"/>
      </w:pPr>
      <w:r w:rsidRPr="00D032BE">
        <w:rPr>
          <w:szCs w:val="26"/>
        </w:rPr>
        <w:t xml:space="preserve">6. </w:t>
      </w:r>
      <w:r w:rsidRPr="00D032BE">
        <w:rPr>
          <w:szCs w:val="26"/>
        </w:rPr>
        <w:tab/>
        <w:t xml:space="preserve">Terrorismi ja terrorismi rahastamisega seotud </w:t>
      </w:r>
      <w:r w:rsidR="0040255A">
        <w:rPr>
          <w:szCs w:val="26"/>
        </w:rPr>
        <w:t>sanktsioonid</w:t>
      </w:r>
      <w:r w:rsidRPr="00D032BE">
        <w:t xml:space="preserve"> *</w:t>
      </w:r>
    </w:p>
    <w:p w:rsidR="00D032BE" w:rsidRPr="00D032BE" w:rsidRDefault="00D032BE" w:rsidP="00D032BE">
      <w:pPr>
        <w:pStyle w:val="kehatekst"/>
      </w:pPr>
      <w:r w:rsidRPr="00D032BE">
        <w:t xml:space="preserve">Terrorismi ja terrorismi rahastamise ennetamist ja tõkestamist käsitlevate ÜRO Julgeolekunõukogu resolutsioonide järgimiseks peaksid riigid rakendama sihtotstarbelisi finantskaristusi. Resolutsioonide kohaselt peavad riigid viivitamatult blokeerima rahalised vahendid või muu vara, mis kuulub mõnele isikule või </w:t>
      </w:r>
      <w:r w:rsidR="00E844EA">
        <w:t xml:space="preserve">üksusele, </w:t>
      </w:r>
      <w:r w:rsidRPr="00D032BE">
        <w:t xml:space="preserve">kes on kas i) määratud ÜRO Julgeolekunõukogu poolt või volitusel vastavalt ÜRO põhikirja VII peatükile, sh vastavalt resolutsioonile 1267 (1999) ja sellele järgnevatele resolutsioonidele, või </w:t>
      </w:r>
      <w:proofErr w:type="spellStart"/>
      <w:r w:rsidRPr="00D032BE">
        <w:t>ii</w:t>
      </w:r>
      <w:proofErr w:type="spellEnd"/>
      <w:r w:rsidRPr="00D032BE">
        <w:t>) määratud asjaomase riigi poolt vastavalt resolutsioonile 1373 (2001), ning tagama, et rahalisi vahendeid ega muud vara ei tehta otseselt või kaudselt kättesaadavaks ühelegi sellisele isikule või üksusele või ühegi sellise isiku või üksuse kasuks.</w:t>
      </w:r>
    </w:p>
    <w:p w:rsidR="00D032BE" w:rsidRPr="00D032BE" w:rsidRDefault="00D032BE" w:rsidP="00D032BE">
      <w:pPr>
        <w:pStyle w:val="A-pealkiri"/>
      </w:pPr>
      <w:r w:rsidRPr="00D032BE">
        <w:t xml:space="preserve">7. </w:t>
      </w:r>
      <w:r w:rsidRPr="00D032BE">
        <w:tab/>
        <w:t xml:space="preserve">Massihävitusrelvade levikuga seotud </w:t>
      </w:r>
      <w:r w:rsidR="0040255A">
        <w:t>sanktsioonid</w:t>
      </w:r>
      <w:r w:rsidRPr="00D032BE">
        <w:t xml:space="preserve"> *</w:t>
      </w:r>
    </w:p>
    <w:p w:rsidR="00D032BE" w:rsidRPr="00D032BE" w:rsidRDefault="00D032BE" w:rsidP="00D032BE">
      <w:pPr>
        <w:pStyle w:val="kehatekst"/>
      </w:pPr>
      <w:r w:rsidRPr="00D032BE">
        <w:t xml:space="preserve">Massihävitusrelvade leviku ja selle rahastamise ennetamist, tõkestamist ja </w:t>
      </w:r>
      <w:r w:rsidR="007F486E">
        <w:t xml:space="preserve">peatamist </w:t>
      </w:r>
      <w:r w:rsidRPr="00D032BE">
        <w:t xml:space="preserve">käsitlevate ÜRO Julgeolekunõukogu resolutsioonide järgimiseks peaksid riigid rakendama sihtotstarbelisi </w:t>
      </w:r>
      <w:r w:rsidR="00C9650D" w:rsidRPr="00D032BE">
        <w:t>finants</w:t>
      </w:r>
      <w:r w:rsidR="00C9650D">
        <w:t>sanktsioone</w:t>
      </w:r>
      <w:r w:rsidRPr="00D032BE">
        <w:t xml:space="preserve">. Nende resolutsioonide kohaselt peavad riigid viivitamatult blokeerima rahalised vahendid ja muu vara, mis kuulub mõnele isikule või üksusele, kes on määratletud ÜRO Julgeolekunõukogu poolt või volitusel vastavalt ÜRO põhikirja VII peatükile, ning </w:t>
      </w:r>
      <w:r w:rsidR="00C9650D">
        <w:t xml:space="preserve">samuti </w:t>
      </w:r>
      <w:r w:rsidRPr="00D032BE">
        <w:t>tagama, et rahalisi vahendeid ega muud vara ei tehta otseselt või kaudselt kättesaadavaks ühelegi sellisele isikule või üksusele</w:t>
      </w:r>
      <w:r w:rsidR="00C9650D">
        <w:t>.</w:t>
      </w:r>
    </w:p>
    <w:p w:rsidR="00D032BE" w:rsidRPr="00D032BE" w:rsidRDefault="00D032BE" w:rsidP="00D032BE">
      <w:pPr>
        <w:pStyle w:val="A-pealkiri"/>
      </w:pPr>
      <w:r w:rsidRPr="00D032BE">
        <w:t xml:space="preserve">8. </w:t>
      </w:r>
      <w:r w:rsidRPr="00D032BE">
        <w:tab/>
        <w:t>Mittetulundusühingud *</w:t>
      </w:r>
    </w:p>
    <w:p w:rsidR="00D032BE" w:rsidRPr="00D032BE" w:rsidRDefault="00D032BE" w:rsidP="00D032BE">
      <w:pPr>
        <w:pStyle w:val="kehatekst"/>
      </w:pPr>
      <w:r w:rsidRPr="00D032BE">
        <w:t xml:space="preserve">Riigid peaksid kontrollima selliste seaduste ja määruste piisavust, mis on seotud </w:t>
      </w:r>
      <w:r w:rsidR="00711902">
        <w:t>ühinguga</w:t>
      </w:r>
      <w:r w:rsidRPr="00D032BE">
        <w:t xml:space="preserve">, mida võidakse terrorismi rahastamiseks kuritarvitada. Mittetulundusühingud on eriti haavatavad, mistõttu riigid peaksid tagama, et neid ei saaks </w:t>
      </w:r>
      <w:r w:rsidR="00C9650D">
        <w:t>kuritarvitada</w:t>
      </w:r>
      <w:r w:rsidR="006359F7">
        <w:t>:</w:t>
      </w:r>
    </w:p>
    <w:p w:rsidR="00D032BE" w:rsidRPr="00D032BE" w:rsidRDefault="00D032BE" w:rsidP="00D032BE">
      <w:pPr>
        <w:pStyle w:val="a-thtloend"/>
      </w:pPr>
      <w:r w:rsidRPr="00D032BE">
        <w:t xml:space="preserve">a) </w:t>
      </w:r>
      <w:r w:rsidRPr="00D032BE">
        <w:tab/>
        <w:t>terroristlikud organisatsioonid</w:t>
      </w:r>
      <w:r w:rsidR="00C9650D">
        <w:t xml:space="preserve">, kes </w:t>
      </w:r>
      <w:r w:rsidR="006359F7">
        <w:t>soovivad näida</w:t>
      </w:r>
      <w:r w:rsidR="00C9650D">
        <w:t xml:space="preserve"> </w:t>
      </w:r>
      <w:r w:rsidR="006359F7">
        <w:t>õiguspäraste</w:t>
      </w:r>
      <w:r w:rsidR="00C9650D">
        <w:t xml:space="preserve"> (legaalsete) </w:t>
      </w:r>
      <w:r w:rsidR="005860B5">
        <w:t xml:space="preserve">ja seadusekuulekate </w:t>
      </w:r>
      <w:r w:rsidR="00C9650D">
        <w:t>ettevõtete</w:t>
      </w:r>
      <w:r w:rsidR="006359F7">
        <w:t>na</w:t>
      </w:r>
      <w:r w:rsidRPr="00D032BE">
        <w:t>;</w:t>
      </w:r>
    </w:p>
    <w:p w:rsidR="00D032BE" w:rsidRPr="00D032BE" w:rsidRDefault="00D032BE" w:rsidP="00D032BE">
      <w:pPr>
        <w:pStyle w:val="a-thtloend"/>
      </w:pPr>
      <w:r w:rsidRPr="00D032BE">
        <w:lastRenderedPageBreak/>
        <w:t xml:space="preserve">b) </w:t>
      </w:r>
      <w:r w:rsidRPr="00D032BE">
        <w:tab/>
        <w:t xml:space="preserve">õiguspäraste organisatsioonide kasutamiseks terrorismi rahastamise kanalitena, </w:t>
      </w:r>
      <w:r w:rsidR="00847867">
        <w:t>sh</w:t>
      </w:r>
      <w:r w:rsidRPr="00D032BE">
        <w:t xml:space="preserve"> vara blokeerimise meetmete rakendamisest kõrvalehoidmiseks; ja</w:t>
      </w:r>
    </w:p>
    <w:p w:rsidR="00D032BE" w:rsidRPr="00D032BE" w:rsidRDefault="00D032BE" w:rsidP="00D032BE">
      <w:pPr>
        <w:pStyle w:val="a-thtloend"/>
      </w:pPr>
      <w:r w:rsidRPr="00D032BE">
        <w:t xml:space="preserve">c) </w:t>
      </w:r>
      <w:r w:rsidRPr="00D032BE">
        <w:tab/>
      </w:r>
      <w:r w:rsidR="00E107F3">
        <w:t>pealtnäha legaalse</w:t>
      </w:r>
      <w:r w:rsidR="006359F7">
        <w:t>l</w:t>
      </w:r>
      <w:r w:rsidR="00E107F3">
        <w:t xml:space="preserve"> eesmärgil kasutatavate vahendite tegeliku </w:t>
      </w:r>
      <w:r w:rsidR="006359F7">
        <w:t xml:space="preserve">kasutamise </w:t>
      </w:r>
      <w:r w:rsidR="00E107F3">
        <w:t xml:space="preserve">eesmärgi varjamiseks või hägustamiseks ning tegelikkuses nende vahendite </w:t>
      </w:r>
      <w:r w:rsidR="006359F7">
        <w:t xml:space="preserve">edastamiseks </w:t>
      </w:r>
      <w:r w:rsidR="00E107F3">
        <w:t xml:space="preserve">terroristlikele </w:t>
      </w:r>
      <w:r w:rsidR="006359F7">
        <w:t>organisatsioonidele</w:t>
      </w:r>
      <w:r w:rsidRPr="00D032BE">
        <w:t>.</w:t>
      </w:r>
      <w:r w:rsidRPr="00D032BE">
        <w:br w:type="page"/>
      </w:r>
    </w:p>
    <w:p w:rsidR="00D032BE" w:rsidRPr="00D032BE" w:rsidRDefault="00D032BE" w:rsidP="00D032BE">
      <w:pPr>
        <w:pStyle w:val="A-pealkiri"/>
      </w:pPr>
      <w:r w:rsidRPr="00D032BE">
        <w:lastRenderedPageBreak/>
        <w:t xml:space="preserve">D. </w:t>
      </w:r>
      <w:r w:rsidRPr="00D032BE">
        <w:tab/>
      </w:r>
      <w:r w:rsidR="004060D7">
        <w:t xml:space="preserve">KLIENTIDE SUHTES RAKENDATAVAD </w:t>
      </w:r>
      <w:r w:rsidR="0040255A">
        <w:t>HOOLSUS</w:t>
      </w:r>
      <w:r w:rsidRPr="00D032BE">
        <w:t>MEETMED</w:t>
      </w:r>
    </w:p>
    <w:p w:rsidR="00D032BE" w:rsidRPr="00D032BE" w:rsidRDefault="00D032BE" w:rsidP="00D032BE">
      <w:pPr>
        <w:pStyle w:val="A-pealkiri"/>
      </w:pPr>
      <w:r w:rsidRPr="00D032BE">
        <w:t xml:space="preserve">9. </w:t>
      </w:r>
      <w:r w:rsidRPr="00D032BE">
        <w:tab/>
      </w:r>
      <w:r w:rsidR="006043CB">
        <w:t>Finantsasutus</w:t>
      </w:r>
      <w:r w:rsidRPr="00D032BE">
        <w:t xml:space="preserve">te </w:t>
      </w:r>
      <w:r w:rsidR="00E107F3">
        <w:t xml:space="preserve">käsutuses olevate andmete </w:t>
      </w:r>
      <w:r w:rsidRPr="00D032BE">
        <w:t>konfidentsiaalsust reguleerivad seadused</w:t>
      </w:r>
    </w:p>
    <w:p w:rsidR="00D032BE" w:rsidRPr="00D032BE" w:rsidRDefault="00D032BE" w:rsidP="00D032BE">
      <w:pPr>
        <w:pStyle w:val="kehatekst"/>
      </w:pPr>
      <w:r w:rsidRPr="00D032BE">
        <w:t xml:space="preserve">Riigid peaksid tagama, et </w:t>
      </w:r>
      <w:r w:rsidR="006043CB">
        <w:t>finantsasutus</w:t>
      </w:r>
      <w:r w:rsidRPr="00D032BE">
        <w:t xml:space="preserve">te </w:t>
      </w:r>
      <w:r w:rsidR="00E107F3">
        <w:t xml:space="preserve">käsutuses olevate andmete </w:t>
      </w:r>
      <w:r w:rsidRPr="00D032BE">
        <w:t xml:space="preserve">konfidentsiaalsust </w:t>
      </w:r>
      <w:r w:rsidR="00E107F3">
        <w:t xml:space="preserve">(pangasaladust) </w:t>
      </w:r>
      <w:r w:rsidRPr="00D032BE">
        <w:t xml:space="preserve">reguleerivad seadused ei </w:t>
      </w:r>
      <w:r w:rsidR="00E107F3">
        <w:t>pärsiks</w:t>
      </w:r>
      <w:r w:rsidR="00E107F3" w:rsidRPr="00D032BE">
        <w:t xml:space="preserve"> </w:t>
      </w:r>
      <w:r w:rsidRPr="00D032BE">
        <w:t>FATFi soovituste rakendamist.</w:t>
      </w:r>
    </w:p>
    <w:p w:rsidR="00D032BE" w:rsidRPr="00D032BE" w:rsidRDefault="00D032BE" w:rsidP="00D032BE">
      <w:pPr>
        <w:pStyle w:val="A-pealkiri"/>
      </w:pPr>
      <w:r w:rsidRPr="00D032BE">
        <w:t>HOOLSUSMEETMED JA ANDMETE SÄILITAMINE</w:t>
      </w:r>
    </w:p>
    <w:p w:rsidR="00D032BE" w:rsidRPr="00D032BE" w:rsidRDefault="00D032BE" w:rsidP="00D032BE">
      <w:pPr>
        <w:pStyle w:val="A-pealkiri"/>
      </w:pPr>
      <w:r w:rsidRPr="00D032BE">
        <w:t xml:space="preserve">10. </w:t>
      </w:r>
      <w:r w:rsidRPr="00D032BE">
        <w:tab/>
      </w:r>
      <w:r w:rsidR="00E107F3">
        <w:t>H</w:t>
      </w:r>
      <w:r w:rsidRPr="00D032BE">
        <w:t>oolsusmeetmed *</w:t>
      </w:r>
    </w:p>
    <w:p w:rsidR="00D032BE" w:rsidRPr="00D032BE" w:rsidRDefault="006043CB" w:rsidP="00D032BE">
      <w:pPr>
        <w:pStyle w:val="kehatekst"/>
      </w:pPr>
      <w:r>
        <w:t>Finantsasutus</w:t>
      </w:r>
      <w:r w:rsidR="00D032BE" w:rsidRPr="00D032BE">
        <w:t xml:space="preserve">tel peaks olema keelatud </w:t>
      </w:r>
      <w:r w:rsidR="00E107F3">
        <w:t xml:space="preserve">klientidele </w:t>
      </w:r>
      <w:r w:rsidR="00D032BE" w:rsidRPr="00D032BE">
        <w:t>anonüümsete või ilmselgelt fiktiivsete nimedega kontode kasutamine.</w:t>
      </w:r>
    </w:p>
    <w:p w:rsidR="00D032BE" w:rsidRPr="00D032BE" w:rsidRDefault="006043CB" w:rsidP="00D032BE">
      <w:pPr>
        <w:pStyle w:val="kehatekst"/>
      </w:pPr>
      <w:r>
        <w:t>Finantsasutus</w:t>
      </w:r>
      <w:r w:rsidR="00D032BE" w:rsidRPr="00D032BE">
        <w:t>tel peaks olema kohustus rakendada klientide suhtes hoolsusmeetmeid järgmistel juhtudel:</w:t>
      </w:r>
    </w:p>
    <w:p w:rsidR="00D032BE" w:rsidRPr="00D032BE" w:rsidRDefault="00D032BE" w:rsidP="00D032BE">
      <w:pPr>
        <w:pStyle w:val="a-thtloend"/>
      </w:pPr>
      <w:r w:rsidRPr="00D032BE">
        <w:t xml:space="preserve">i) </w:t>
      </w:r>
      <w:r w:rsidRPr="00D032BE">
        <w:tab/>
        <w:t>ärisuhte loomisel;</w:t>
      </w:r>
    </w:p>
    <w:p w:rsidR="00D032BE" w:rsidRPr="00D032BE" w:rsidRDefault="00D032BE" w:rsidP="00D032BE">
      <w:pPr>
        <w:pStyle w:val="a-thtloend"/>
      </w:pPr>
      <w:proofErr w:type="spellStart"/>
      <w:r w:rsidRPr="00D032BE">
        <w:t>ii</w:t>
      </w:r>
      <w:proofErr w:type="spellEnd"/>
      <w:r w:rsidRPr="00D032BE">
        <w:t xml:space="preserve">) </w:t>
      </w:r>
      <w:r w:rsidRPr="00D032BE">
        <w:tab/>
        <w:t xml:space="preserve">juhuslike tehingute sooritamisel, mis i) ületavad kindlaksmääratud ülempiiri (15 000 dollarit/eurot) või </w:t>
      </w:r>
      <w:proofErr w:type="spellStart"/>
      <w:r w:rsidRPr="00D032BE">
        <w:t>ii</w:t>
      </w:r>
      <w:proofErr w:type="spellEnd"/>
      <w:r w:rsidRPr="00D032BE">
        <w:t>) tehakse ülekande teel soovituse</w:t>
      </w:r>
      <w:r w:rsidR="00847867">
        <w:t xml:space="preserve"> </w:t>
      </w:r>
      <w:r w:rsidRPr="00D032BE">
        <w:t>16 tõlgendavas märkuses kirjeldatud asjaoludel;</w:t>
      </w:r>
    </w:p>
    <w:p w:rsidR="00D032BE" w:rsidRPr="00D032BE" w:rsidRDefault="00D032BE" w:rsidP="00D032BE">
      <w:pPr>
        <w:pStyle w:val="a-thtloend"/>
      </w:pPr>
      <w:proofErr w:type="spellStart"/>
      <w:r w:rsidRPr="00D032BE">
        <w:t>iii</w:t>
      </w:r>
      <w:proofErr w:type="spellEnd"/>
      <w:r w:rsidRPr="00D032BE">
        <w:t>)</w:t>
      </w:r>
      <w:r w:rsidRPr="00D032BE">
        <w:tab/>
      </w:r>
      <w:r w:rsidR="002A32CF">
        <w:t>rahapesu</w:t>
      </w:r>
      <w:r w:rsidRPr="00D032BE">
        <w:t xml:space="preserve"> või terrorismi rahastamise kahtluse korral; või</w:t>
      </w:r>
    </w:p>
    <w:p w:rsidR="00D032BE" w:rsidRPr="00D032BE" w:rsidRDefault="00D032BE" w:rsidP="00D032BE">
      <w:pPr>
        <w:pStyle w:val="a-thtloend"/>
      </w:pPr>
      <w:proofErr w:type="spellStart"/>
      <w:r w:rsidRPr="00D032BE">
        <w:t>iv</w:t>
      </w:r>
      <w:proofErr w:type="spellEnd"/>
      <w:r w:rsidRPr="00D032BE">
        <w:t>)</w:t>
      </w:r>
      <w:r w:rsidRPr="00D032BE">
        <w:tab/>
        <w:t xml:space="preserve">kui </w:t>
      </w:r>
      <w:r w:rsidR="006043CB">
        <w:t>finantsasutus</w:t>
      </w:r>
      <w:r w:rsidRPr="00D032BE">
        <w:t xml:space="preserve"> kahtleb varem saadud kliendi isikut tõendavate andmete tõesuses või </w:t>
      </w:r>
      <w:r w:rsidR="00CA24A1">
        <w:t>piisavuses</w:t>
      </w:r>
      <w:r w:rsidRPr="00D032BE">
        <w:t>.</w:t>
      </w:r>
    </w:p>
    <w:p w:rsidR="00D032BE" w:rsidRPr="00D032BE" w:rsidRDefault="00D032BE" w:rsidP="00D032BE">
      <w:pPr>
        <w:pStyle w:val="kehatekst"/>
      </w:pPr>
      <w:r w:rsidRPr="00D032BE">
        <w:t xml:space="preserve">Põhimõte, et </w:t>
      </w:r>
      <w:r w:rsidR="006043CB">
        <w:t>finantsasutus</w:t>
      </w:r>
      <w:r w:rsidRPr="00D032BE">
        <w:t xml:space="preserve">ed peaksid rakendama klientide suhtes hoolsusmeetmeid, tuleks sätestada seaduses. Iga riik võib otsustada, kas kehtestada klientide suhtes rakendatavad </w:t>
      </w:r>
      <w:r w:rsidR="00FA4E54" w:rsidRPr="00D032BE">
        <w:t xml:space="preserve">konkreetsed </w:t>
      </w:r>
      <w:r w:rsidRPr="00D032BE">
        <w:t xml:space="preserve">hoolsusmeetmed seadusega või muude </w:t>
      </w:r>
      <w:r w:rsidR="00FA4E54">
        <w:t>õigusaktidega.</w:t>
      </w:r>
    </w:p>
    <w:p w:rsidR="00D032BE" w:rsidRPr="00D032BE" w:rsidRDefault="00D032BE" w:rsidP="00D032BE">
      <w:pPr>
        <w:pStyle w:val="kehatekst"/>
      </w:pPr>
      <w:r w:rsidRPr="00D032BE">
        <w:t>Rakendada tuleb järgmisi hoolsusmeetmeid:</w:t>
      </w:r>
    </w:p>
    <w:p w:rsidR="00D032BE" w:rsidRPr="00D032BE" w:rsidRDefault="00D032BE" w:rsidP="00D032BE">
      <w:pPr>
        <w:pStyle w:val="a-thtloend"/>
      </w:pPr>
      <w:r w:rsidRPr="00D032BE">
        <w:t xml:space="preserve">a) </w:t>
      </w:r>
      <w:r w:rsidRPr="00D032BE">
        <w:tab/>
        <w:t>kliendi isiku tuvastamine ja tema isikusamasuse kontroll usaldusväärsete, sõltumatute</w:t>
      </w:r>
      <w:r w:rsidR="00CA24A1">
        <w:t>st allikatest saadud</w:t>
      </w:r>
      <w:r w:rsidRPr="00D032BE">
        <w:t xml:space="preserve"> dokumentide, andmete või teabe abil;</w:t>
      </w:r>
    </w:p>
    <w:p w:rsidR="00D032BE" w:rsidRPr="00D032BE" w:rsidRDefault="00D032BE" w:rsidP="00D032BE">
      <w:pPr>
        <w:pStyle w:val="a-thtloend"/>
      </w:pPr>
      <w:r w:rsidRPr="0015141A">
        <w:t xml:space="preserve">b) </w:t>
      </w:r>
      <w:r w:rsidRPr="0015141A">
        <w:tab/>
        <w:t xml:space="preserve">tegeliku kasusaaja tuvastamine ja mõistlike meetmete võtmine tegeliku kasusaaja </w:t>
      </w:r>
      <w:r w:rsidR="00CA24A1" w:rsidRPr="0015141A">
        <w:t>i</w:t>
      </w:r>
      <w:r w:rsidR="00CA24A1">
        <w:t>siku</w:t>
      </w:r>
      <w:r w:rsidR="00CA24A1" w:rsidRPr="0015141A">
        <w:t xml:space="preserve"> </w:t>
      </w:r>
      <w:r w:rsidRPr="0015141A">
        <w:t xml:space="preserve">kontrollimiseks sellises ulatuses, et </w:t>
      </w:r>
      <w:r w:rsidR="006043CB" w:rsidRPr="0015141A">
        <w:t>finantsasutus</w:t>
      </w:r>
      <w:r w:rsidRPr="0015141A">
        <w:t xml:space="preserve"> oleks veendunud, et teab, kes on tegelik kasusaaja. </w:t>
      </w:r>
      <w:r w:rsidR="00B86CDE" w:rsidRPr="00E079EA">
        <w:t xml:space="preserve">Juriidiliste isikute ja </w:t>
      </w:r>
      <w:r w:rsidR="00FA4E54">
        <w:t xml:space="preserve">lepinguliste õiguslike </w:t>
      </w:r>
      <w:r w:rsidR="00B86CDE" w:rsidRPr="00E079EA">
        <w:t>üksuste</w:t>
      </w:r>
      <w:r w:rsidRPr="0015141A">
        <w:t xml:space="preserve"> puhul peaks see tähendama ka seda, et </w:t>
      </w:r>
      <w:r w:rsidR="006043CB" w:rsidRPr="0015141A">
        <w:t>finantsasutus</w:t>
      </w:r>
      <w:r w:rsidRPr="0015141A">
        <w:t xml:space="preserve"> saab aru kliendi omandi- ja juhtimisstruktuurist;</w:t>
      </w:r>
    </w:p>
    <w:p w:rsidR="00D032BE" w:rsidRPr="00D032BE" w:rsidRDefault="00D032BE" w:rsidP="00D032BE">
      <w:pPr>
        <w:pStyle w:val="a-thtloend"/>
      </w:pPr>
      <w:r w:rsidRPr="00D032BE">
        <w:t xml:space="preserve">c) </w:t>
      </w:r>
      <w:r w:rsidRPr="00D032BE">
        <w:tab/>
        <w:t xml:space="preserve">ärisuhte </w:t>
      </w:r>
      <w:r w:rsidR="00CA24A1">
        <w:t xml:space="preserve">mõistmine ning seal, kus asjakohane ärisuhte </w:t>
      </w:r>
      <w:r w:rsidRPr="00D032BE">
        <w:t>eesmärgi ja olemuse kohta teabe hankimine;</w:t>
      </w:r>
    </w:p>
    <w:p w:rsidR="00D032BE" w:rsidRPr="00D032BE" w:rsidRDefault="00D032BE" w:rsidP="00D032BE">
      <w:pPr>
        <w:pStyle w:val="a-thtloend"/>
      </w:pPr>
      <w:r w:rsidRPr="00D032BE">
        <w:t xml:space="preserve">d) </w:t>
      </w:r>
      <w:r w:rsidRPr="00D032BE">
        <w:tab/>
        <w:t xml:space="preserve">ärisuhte ja selle jooksul tehtud tehingute </w:t>
      </w:r>
      <w:r w:rsidR="00985CBE">
        <w:t>pidev</w:t>
      </w:r>
      <w:r w:rsidR="00CA24A1" w:rsidRPr="00D032BE">
        <w:t xml:space="preserve"> </w:t>
      </w:r>
      <w:r w:rsidRPr="00D032BE">
        <w:t>kontroll</w:t>
      </w:r>
      <w:r w:rsidR="00CA24A1">
        <w:t>,</w:t>
      </w:r>
      <w:r w:rsidRPr="00D032BE">
        <w:t xml:space="preserve"> tagamaks, et teostatud tehingud on kooskõlas </w:t>
      </w:r>
      <w:r w:rsidR="00F750C8">
        <w:t xml:space="preserve">kliendi, </w:t>
      </w:r>
      <w:proofErr w:type="spellStart"/>
      <w:r w:rsidR="00F750C8">
        <w:t>kliendi</w:t>
      </w:r>
      <w:proofErr w:type="spellEnd"/>
      <w:r w:rsidR="00F750C8">
        <w:t xml:space="preserve"> äritegevuse ja </w:t>
      </w:r>
      <w:r w:rsidR="00F750C8">
        <w:lastRenderedPageBreak/>
        <w:t>riskiprofiili kohta teada oleva informatsiooniga</w:t>
      </w:r>
      <w:r w:rsidRPr="00D032BE">
        <w:t xml:space="preserve"> ning vajaduse korral </w:t>
      </w:r>
      <w:r w:rsidR="00F750C8">
        <w:t xml:space="preserve">kooskõlas </w:t>
      </w:r>
      <w:r w:rsidRPr="00D032BE">
        <w:t xml:space="preserve">ka </w:t>
      </w:r>
      <w:r w:rsidR="00F750C8">
        <w:t xml:space="preserve">informatsiooniga </w:t>
      </w:r>
      <w:r w:rsidRPr="00D032BE">
        <w:t xml:space="preserve">rahaliste vahendite </w:t>
      </w:r>
      <w:r w:rsidR="00CA24A1">
        <w:t>päritolust</w:t>
      </w:r>
      <w:r w:rsidRPr="00D032BE">
        <w:t>.</w:t>
      </w:r>
    </w:p>
    <w:p w:rsidR="00D032BE" w:rsidRPr="00D032BE" w:rsidRDefault="006043CB" w:rsidP="00D032BE">
      <w:pPr>
        <w:pStyle w:val="kehatekst"/>
      </w:pPr>
      <w:r>
        <w:t>Finantsasutus</w:t>
      </w:r>
      <w:r w:rsidR="00D032BE" w:rsidRPr="00D032BE">
        <w:t xml:space="preserve">ed peaksid olema kohustatud rakendama kõiki eespool punktides a–d loetletud hoolsusmeetmeid, ent peaksid nende meetmete </w:t>
      </w:r>
      <w:r w:rsidR="00F750C8">
        <w:t xml:space="preserve">kohaldamise </w:t>
      </w:r>
      <w:r w:rsidR="00D032BE" w:rsidRPr="00D032BE">
        <w:t>ulatuse määratlemisel kasutama riskipõhist lähenemist vastavalt käesoleva</w:t>
      </w:r>
      <w:r w:rsidR="00F750C8">
        <w:t>le</w:t>
      </w:r>
      <w:r w:rsidR="00D032BE" w:rsidRPr="00D032BE">
        <w:t xml:space="preserve"> soovituse</w:t>
      </w:r>
      <w:r w:rsidR="00F750C8">
        <w:t>le</w:t>
      </w:r>
      <w:r w:rsidR="00D032BE" w:rsidRPr="00D032BE">
        <w:t xml:space="preserve"> ja soovituse</w:t>
      </w:r>
      <w:r w:rsidR="00847867">
        <w:t xml:space="preserve"> </w:t>
      </w:r>
      <w:r w:rsidR="00D032BE" w:rsidRPr="00D032BE">
        <w:t>1 tõlgendava</w:t>
      </w:r>
      <w:r w:rsidR="00F750C8">
        <w:t>le</w:t>
      </w:r>
      <w:r w:rsidR="00D032BE" w:rsidRPr="00D032BE">
        <w:t xml:space="preserve"> märkuste</w:t>
      </w:r>
      <w:r w:rsidR="00F750C8">
        <w:t>le</w:t>
      </w:r>
      <w:r w:rsidR="00D032BE" w:rsidRPr="00D032BE">
        <w:t xml:space="preserve">. </w:t>
      </w:r>
      <w:r>
        <w:t>Finantsasutus</w:t>
      </w:r>
      <w:r w:rsidR="00D032BE" w:rsidRPr="00D032BE">
        <w:t xml:space="preserve">i tuleks kohustada kontrollima kliendi ja tegeliku kasusaaja </w:t>
      </w:r>
      <w:r w:rsidR="00F750C8">
        <w:t>isikut</w:t>
      </w:r>
      <w:r w:rsidR="00F750C8" w:rsidRPr="00D032BE">
        <w:t xml:space="preserve"> </w:t>
      </w:r>
      <w:r w:rsidR="00D032BE" w:rsidRPr="00D032BE">
        <w:t xml:space="preserve">enne ärisuhte alustamist või juhuklientide puhul enne tehingute tegemist või selle ajal. Riigid võivad lubada </w:t>
      </w:r>
      <w:r>
        <w:t>finantsasutus</w:t>
      </w:r>
      <w:r w:rsidR="00D032BE" w:rsidRPr="00D032BE">
        <w:t xml:space="preserve">tel viia kontroll lõpule mõistlikku aja jooksul pärast ärisuhte loomist, kui </w:t>
      </w:r>
      <w:r w:rsidR="002A32CF">
        <w:t>rahapesu</w:t>
      </w:r>
      <w:r w:rsidR="00D032BE" w:rsidRPr="00D032BE">
        <w:t xml:space="preserve"> ja terrorismi rahastamise risk</w:t>
      </w:r>
      <w:r w:rsidR="00B74437">
        <w:t xml:space="preserve"> on efektiivselt </w:t>
      </w:r>
      <w:r w:rsidR="00985CBE">
        <w:t>hallatud</w:t>
      </w:r>
      <w:r w:rsidR="00D032BE" w:rsidRPr="00D032BE">
        <w:t xml:space="preserve"> </w:t>
      </w:r>
      <w:r w:rsidR="00B74437">
        <w:t xml:space="preserve">ning tavapärasesse äritegevusse mittesekkumine on </w:t>
      </w:r>
      <w:r w:rsidR="00985CBE">
        <w:t>põhjendatav</w:t>
      </w:r>
      <w:r w:rsidR="00D032BE" w:rsidRPr="00D032BE">
        <w:t>.</w:t>
      </w:r>
    </w:p>
    <w:p w:rsidR="00D032BE" w:rsidRPr="00D032BE" w:rsidRDefault="00985CBE" w:rsidP="00D032BE">
      <w:pPr>
        <w:pStyle w:val="kehatekst"/>
      </w:pPr>
      <w:r>
        <w:t>K</w:t>
      </w:r>
      <w:r w:rsidR="00D032BE" w:rsidRPr="00D032BE">
        <w:t xml:space="preserve">ui </w:t>
      </w:r>
      <w:r w:rsidR="006043CB">
        <w:t>finantsasutus</w:t>
      </w:r>
      <w:r w:rsidR="00B74437">
        <w:t>el ei ole võimalik</w:t>
      </w:r>
      <w:r w:rsidR="00D032BE" w:rsidRPr="00D032BE">
        <w:t xml:space="preserve"> järgida eespool punktides a–d sätestatud kehtivaid nõudeid (</w:t>
      </w:r>
      <w:r w:rsidR="00B74437">
        <w:t>võttes meetmete kohaldamisel arvesse</w:t>
      </w:r>
      <w:r w:rsidR="00D032BE" w:rsidRPr="00D032BE">
        <w:t xml:space="preserve"> riskipõhis</w:t>
      </w:r>
      <w:r w:rsidR="00B74437">
        <w:t>t</w:t>
      </w:r>
      <w:r w:rsidR="00D032BE" w:rsidRPr="00D032BE">
        <w:t xml:space="preserve"> lähenemis</w:t>
      </w:r>
      <w:r w:rsidR="00B74437">
        <w:t>t</w:t>
      </w:r>
      <w:r w:rsidR="00D032BE" w:rsidRPr="00D032BE">
        <w:t xml:space="preserve">), ei tohiks </w:t>
      </w:r>
      <w:r w:rsidR="006043CB">
        <w:t>finantsasutus</w:t>
      </w:r>
      <w:r w:rsidR="00D032BE" w:rsidRPr="00D032BE">
        <w:t xml:space="preserve"> kontot avada, ärisuhet </w:t>
      </w:r>
      <w:r w:rsidR="00B74437">
        <w:t>luua</w:t>
      </w:r>
      <w:r w:rsidR="00B74437" w:rsidRPr="00D032BE">
        <w:t xml:space="preserve"> </w:t>
      </w:r>
      <w:r w:rsidR="00D032BE" w:rsidRPr="00D032BE">
        <w:t>või tehingut t</w:t>
      </w:r>
      <w:r w:rsidR="00B74437">
        <w:t>eha</w:t>
      </w:r>
      <w:r w:rsidR="00D032BE" w:rsidRPr="00D032BE">
        <w:t xml:space="preserve"> või peaks olema kohustatud ärisuhte lõpetama ning kaaluma kliendi kahtlastest tehingutest teatamist.</w:t>
      </w:r>
    </w:p>
    <w:p w:rsidR="00D032BE" w:rsidRPr="00D032BE" w:rsidRDefault="00D032BE" w:rsidP="00D032BE">
      <w:pPr>
        <w:pStyle w:val="kehatekst"/>
      </w:pPr>
      <w:r w:rsidRPr="00D032BE">
        <w:t xml:space="preserve">Need nõuded peaksid kehtima kõikidele uutele klientidele, ehkki </w:t>
      </w:r>
      <w:r w:rsidR="006043CB">
        <w:t>finantsasutus</w:t>
      </w:r>
      <w:r w:rsidRPr="00D032BE">
        <w:t xml:space="preserve">ed peaksid rakendama käesolevat soovitust olulisusest ja </w:t>
      </w:r>
      <w:r w:rsidR="000D0108" w:rsidRPr="00D032BE">
        <w:t>riski</w:t>
      </w:r>
      <w:r w:rsidR="000D0108">
        <w:t>astmest</w:t>
      </w:r>
      <w:r w:rsidR="000D0108" w:rsidRPr="00D032BE">
        <w:t xml:space="preserve"> </w:t>
      </w:r>
      <w:r w:rsidRPr="00D032BE">
        <w:t xml:space="preserve">sõltuvalt ka olemasolevate klientide suhtes ning </w:t>
      </w:r>
      <w:r w:rsidR="00B74437">
        <w:t>seal, kus asjakohane</w:t>
      </w:r>
      <w:r w:rsidRPr="00D032BE">
        <w:t xml:space="preserve"> rakendama hoolsusmeetmeid olemasolevatele ärisuhetele.</w:t>
      </w:r>
    </w:p>
    <w:p w:rsidR="00D032BE" w:rsidRPr="00D032BE" w:rsidRDefault="00D032BE" w:rsidP="00D032BE">
      <w:pPr>
        <w:pStyle w:val="A-pealkiri"/>
      </w:pPr>
      <w:r w:rsidRPr="00D032BE">
        <w:t xml:space="preserve">11. </w:t>
      </w:r>
      <w:r w:rsidRPr="00D032BE">
        <w:tab/>
        <w:t>Andmete säilitamine</w:t>
      </w:r>
    </w:p>
    <w:p w:rsidR="00D032BE" w:rsidRPr="00D032BE" w:rsidRDefault="006043CB" w:rsidP="00D032BE">
      <w:pPr>
        <w:pStyle w:val="kehatekst"/>
      </w:pPr>
      <w:r>
        <w:t>Finantsasutus</w:t>
      </w:r>
      <w:r w:rsidR="00D032BE" w:rsidRPr="00D032BE">
        <w:t xml:space="preserve">ed peaksid olema kohustatud säilitama kõiki vajalikke andmeid nii kodumaiste kui ka rahvusvaheliste tehingute kohta vähemalt viis aastat, et olla suuteline operatiivselt täitma pädevate asutuste teabenõudeid. Andmed peavad olema piisavad üksikute tehingute kontrollimiseks (sh nendega seotud summade ja valuutade kindlakstegemiseks), </w:t>
      </w:r>
      <w:r w:rsidR="008228E0">
        <w:t>võimaldamaks vajadusel kasutada neid andmeid tõenditena kriminaalmenetluses</w:t>
      </w:r>
      <w:r w:rsidR="00D032BE" w:rsidRPr="00D032BE">
        <w:t>.</w:t>
      </w:r>
    </w:p>
    <w:p w:rsidR="00D032BE" w:rsidRPr="00D032BE" w:rsidRDefault="006043CB" w:rsidP="00D032BE">
      <w:pPr>
        <w:pStyle w:val="kehatekst"/>
      </w:pPr>
      <w:r>
        <w:t>Finantsasutus</w:t>
      </w:r>
      <w:r w:rsidR="00D032BE" w:rsidRPr="00D032BE">
        <w:t>i tuleks kohustada säilitama kõiki klientide</w:t>
      </w:r>
      <w:r w:rsidR="008228E0">
        <w:t xml:space="preserve"> kohta</w:t>
      </w:r>
      <w:r w:rsidR="00D032BE" w:rsidRPr="00D032BE">
        <w:t xml:space="preserve"> </w:t>
      </w:r>
      <w:r w:rsidR="008228E0">
        <w:t>hoolsusmeetmete kohaldamisel</w:t>
      </w:r>
      <w:r w:rsidR="00D032BE" w:rsidRPr="00D032BE">
        <w:t xml:space="preserve"> kogutud andmeid (nt selliste ametlike isikut tõendavate dokumentide nagu passide, isikutunnistuste, juhilubade jms dokumentide koopiad või salvestatud andmed), kontoinfot ja kirjavahetust, kaasa arvatud teostatud analüüside tulemusi (nt järelepärimised keerukate ja ebatavaliselt suuremahuliste tehingute tausta selgitamiseks) vähemalt viis aastat pärast ärisuhte lõpetamist või pärast </w:t>
      </w:r>
      <w:r w:rsidR="008228E0" w:rsidRPr="00D032BE">
        <w:t>juhu</w:t>
      </w:r>
      <w:r w:rsidR="008228E0">
        <w:t>ti tehtud tehingu teostamist</w:t>
      </w:r>
      <w:r w:rsidR="00D032BE" w:rsidRPr="00D032BE">
        <w:t>.</w:t>
      </w:r>
    </w:p>
    <w:p w:rsidR="00D032BE" w:rsidRPr="00D032BE" w:rsidRDefault="006043CB" w:rsidP="00D032BE">
      <w:pPr>
        <w:pStyle w:val="kehatekst"/>
      </w:pPr>
      <w:r>
        <w:t>Finantsasutus</w:t>
      </w:r>
      <w:r w:rsidR="00D032BE" w:rsidRPr="00D032BE">
        <w:t xml:space="preserve">ed peaksid olema seadusega kohustatud säilitama tehinguandmeid ja </w:t>
      </w:r>
      <w:r w:rsidR="008228E0">
        <w:t>hoolsusmeetmete kohaldamise käigus</w:t>
      </w:r>
      <w:r w:rsidR="00D032BE" w:rsidRPr="00D032BE">
        <w:t xml:space="preserve"> kogutud teavet.</w:t>
      </w:r>
    </w:p>
    <w:p w:rsidR="00D032BE" w:rsidRPr="00D032BE" w:rsidRDefault="00D032BE" w:rsidP="00D032BE">
      <w:pPr>
        <w:pStyle w:val="kehatekst"/>
      </w:pPr>
      <w:r w:rsidRPr="00D032BE">
        <w:t xml:space="preserve">Klientidele </w:t>
      </w:r>
      <w:r w:rsidR="00CF6A65">
        <w:t>rakendatavate</w:t>
      </w:r>
      <w:r w:rsidR="00CF6A65" w:rsidRPr="00D032BE">
        <w:t xml:space="preserve"> </w:t>
      </w:r>
      <w:r w:rsidRPr="00D032BE">
        <w:t>hoolsusmeetmete abil kogutud teave ja tehingute andmed peaksid olema asjakohaste volituste olemasolu korral kättesaadavad siseriiklikele pädevatele asutustele.</w:t>
      </w:r>
    </w:p>
    <w:p w:rsidR="00D032BE" w:rsidRPr="00D032BE" w:rsidRDefault="0040255A" w:rsidP="00D032BE">
      <w:pPr>
        <w:pStyle w:val="Pealkiri3"/>
      </w:pPr>
      <w:r>
        <w:lastRenderedPageBreak/>
        <w:t>TÄIENDAVAD HOOLSUSMEETMED</w:t>
      </w:r>
      <w:r w:rsidR="00D032BE" w:rsidRPr="00D032BE">
        <w:t xml:space="preserve"> SEOSES KONKREETSETE KLIENTIDE JA TOIMINGUTEGA</w:t>
      </w:r>
    </w:p>
    <w:p w:rsidR="00D032BE" w:rsidRPr="00D032BE" w:rsidRDefault="00D032BE" w:rsidP="00D032BE">
      <w:pPr>
        <w:pStyle w:val="A-pealkiri"/>
      </w:pPr>
      <w:r w:rsidRPr="00D032BE">
        <w:t xml:space="preserve">12. </w:t>
      </w:r>
      <w:r w:rsidRPr="00D032BE">
        <w:tab/>
        <w:t>Riikliku taustaga isikud *</w:t>
      </w:r>
    </w:p>
    <w:p w:rsidR="00D032BE" w:rsidRPr="00D032BE" w:rsidRDefault="006043CB" w:rsidP="00D032BE">
      <w:pPr>
        <w:pStyle w:val="kehatekst"/>
      </w:pPr>
      <w:r>
        <w:t>Finantsasutus</w:t>
      </w:r>
      <w:r w:rsidR="00D032BE" w:rsidRPr="00D032BE">
        <w:t>ed peaksid välismaiste riikliku taustaga isikute puhul (kas kliendi või tegeliku kasusaajana) olema kohustatud rakendama lisaks tavapärastele hoolsusmeetmetele ka järgmisi abinõusid:</w:t>
      </w:r>
    </w:p>
    <w:p w:rsidR="00D032BE" w:rsidRPr="00D032BE" w:rsidRDefault="00D032BE" w:rsidP="00D032BE">
      <w:pPr>
        <w:pStyle w:val="a-thtloend"/>
      </w:pPr>
      <w:r w:rsidRPr="00D032BE">
        <w:t xml:space="preserve">a) </w:t>
      </w:r>
      <w:r w:rsidRPr="00D032BE">
        <w:tab/>
        <w:t>kasutama asjakohaseid riskijuhtimissüsteeme otsustamaks, kas klient või tegelik kasusaaja on riikliku taustaga isik;</w:t>
      </w:r>
    </w:p>
    <w:p w:rsidR="00D032BE" w:rsidRPr="00D032BE" w:rsidRDefault="00D032BE" w:rsidP="00D032BE">
      <w:pPr>
        <w:pStyle w:val="a-thtloend"/>
      </w:pPr>
      <w:r w:rsidRPr="00D032BE">
        <w:t xml:space="preserve">b) </w:t>
      </w:r>
      <w:r w:rsidRPr="00D032BE">
        <w:tab/>
        <w:t>saama selliste klientidega ärisuhete loomiseks (või olemasolevate klientide puhul ärisuhte jä</w:t>
      </w:r>
      <w:r w:rsidR="009F1D5C">
        <w:t xml:space="preserve">tkamiseks) nõusoleku </w:t>
      </w:r>
      <w:r w:rsidRPr="00D032BE">
        <w:t>juhtkonnalt</w:t>
      </w:r>
      <w:r w:rsidR="009F1D5C">
        <w:t xml:space="preserve"> (</w:t>
      </w:r>
      <w:proofErr w:type="spellStart"/>
      <w:r w:rsidR="009F1D5C">
        <w:t>S</w:t>
      </w:r>
      <w:r w:rsidR="009F1D5C">
        <w:rPr>
          <w:i/>
        </w:rPr>
        <w:t>enior</w:t>
      </w:r>
      <w:proofErr w:type="spellEnd"/>
      <w:r w:rsidR="009F1D5C">
        <w:rPr>
          <w:i/>
        </w:rPr>
        <w:t xml:space="preserve"> </w:t>
      </w:r>
      <w:proofErr w:type="spellStart"/>
      <w:r w:rsidR="009F1D5C">
        <w:rPr>
          <w:i/>
        </w:rPr>
        <w:t>m</w:t>
      </w:r>
      <w:r w:rsidR="009F1D5C" w:rsidRPr="009F1D5C">
        <w:rPr>
          <w:i/>
        </w:rPr>
        <w:t>anagement</w:t>
      </w:r>
      <w:proofErr w:type="spellEnd"/>
      <w:r w:rsidR="009F1D5C">
        <w:t>)</w:t>
      </w:r>
      <w:r w:rsidRPr="00D032BE">
        <w:t>;</w:t>
      </w:r>
    </w:p>
    <w:p w:rsidR="00D032BE" w:rsidRPr="00D032BE" w:rsidRDefault="00D032BE" w:rsidP="00D032BE">
      <w:pPr>
        <w:pStyle w:val="a-thtloend"/>
      </w:pPr>
      <w:r w:rsidRPr="00D032BE">
        <w:t xml:space="preserve">c) </w:t>
      </w:r>
      <w:r w:rsidRPr="00D032BE">
        <w:tab/>
        <w:t xml:space="preserve">võtma mõistlikke meetmeid ärisuhte või tehingu raames kasutatava vara ja rahaliste vahendite </w:t>
      </w:r>
      <w:r w:rsidR="008228E0">
        <w:t>päritolu</w:t>
      </w:r>
      <w:r w:rsidR="008228E0" w:rsidRPr="00D032BE">
        <w:t xml:space="preserve"> </w:t>
      </w:r>
      <w:r w:rsidRPr="00D032BE">
        <w:t>kindlakstegemiseks; ja</w:t>
      </w:r>
    </w:p>
    <w:p w:rsidR="00D032BE" w:rsidRPr="00D032BE" w:rsidRDefault="00D032BE" w:rsidP="00D032BE">
      <w:pPr>
        <w:pStyle w:val="a-thtloend"/>
      </w:pPr>
      <w:r w:rsidRPr="00D032BE">
        <w:t xml:space="preserve">d) </w:t>
      </w:r>
      <w:r w:rsidRPr="00D032BE">
        <w:tab/>
        <w:t>teostama ärisuhte suhtes pidevat tugevdatud järelevalvet.</w:t>
      </w:r>
    </w:p>
    <w:p w:rsidR="00D032BE" w:rsidRPr="00D032BE" w:rsidRDefault="006043CB" w:rsidP="00D032BE">
      <w:pPr>
        <w:pStyle w:val="kehatekst"/>
      </w:pPr>
      <w:r>
        <w:t>Finantsasutus</w:t>
      </w:r>
      <w:r w:rsidR="00D032BE" w:rsidRPr="00D032BE">
        <w:t xml:space="preserve">ed peaksid olema kohustatud võtma mõistlikke meetmeid otsustamaks, kas klient või tegelik kasusaaja on kodumaine riikliku taustaga isik või isik, kes on </w:t>
      </w:r>
      <w:r w:rsidR="00C93584">
        <w:t xml:space="preserve">või on </w:t>
      </w:r>
      <w:r w:rsidR="008228E0">
        <w:t xml:space="preserve">olnud </w:t>
      </w:r>
      <w:r w:rsidR="00D032BE" w:rsidRPr="00D032BE">
        <w:t>rahvusvahelises organisatsioonis olulisel positsioonil</w:t>
      </w:r>
      <w:r w:rsidR="00C93584">
        <w:t xml:space="preserve"> ning täitnud </w:t>
      </w:r>
      <w:r w:rsidR="008228E0">
        <w:t>prominentseid</w:t>
      </w:r>
      <w:r w:rsidR="008228E0" w:rsidRPr="00D032BE">
        <w:t xml:space="preserve"> </w:t>
      </w:r>
      <w:r w:rsidR="00D032BE" w:rsidRPr="00D032BE">
        <w:t xml:space="preserve">ülesandeid. </w:t>
      </w:r>
      <w:r w:rsidR="00C93584">
        <w:t>Finantsasutus</w:t>
      </w:r>
      <w:r w:rsidR="00C93584" w:rsidRPr="00D032BE">
        <w:t xml:space="preserve">ed </w:t>
      </w:r>
      <w:r w:rsidR="00C93584">
        <w:t xml:space="preserve">peaksid </w:t>
      </w:r>
      <w:r w:rsidR="00C93584" w:rsidRPr="00D032BE">
        <w:t>võtma punktides b, c ja d kirjeldatud meetmed</w:t>
      </w:r>
      <w:r w:rsidR="00C93584">
        <w:t>,</w:t>
      </w:r>
      <w:r w:rsidR="00C93584" w:rsidRPr="00D032BE">
        <w:t xml:space="preserve"> </w:t>
      </w:r>
      <w:r w:rsidR="00C93584">
        <w:t>k</w:t>
      </w:r>
      <w:r w:rsidR="00D032BE" w:rsidRPr="00D032BE">
        <w:t xml:space="preserve">ui </w:t>
      </w:r>
      <w:r w:rsidR="00C93584">
        <w:t>riikliku taustaga</w:t>
      </w:r>
      <w:r w:rsidR="00D032BE" w:rsidRPr="00D032BE">
        <w:t xml:space="preserve"> isikutega on </w:t>
      </w:r>
      <w:r w:rsidR="00976146">
        <w:t xml:space="preserve">loodud </w:t>
      </w:r>
      <w:r w:rsidR="00C93584">
        <w:t>ärisuhe, mida tuleb pidada kõrge</w:t>
      </w:r>
      <w:r w:rsidR="004E6984">
        <w:t>ma</w:t>
      </w:r>
      <w:r w:rsidR="00D032BE" w:rsidRPr="00D032BE">
        <w:t xml:space="preserve"> </w:t>
      </w:r>
      <w:r w:rsidR="00976146" w:rsidRPr="00D032BE">
        <w:t>riski</w:t>
      </w:r>
      <w:r w:rsidR="00976146">
        <w:t>ast</w:t>
      </w:r>
      <w:r w:rsidR="00C93584">
        <w:t>mega ärisuhteks</w:t>
      </w:r>
      <w:r w:rsidR="00D032BE" w:rsidRPr="00D032BE">
        <w:t>.</w:t>
      </w:r>
    </w:p>
    <w:p w:rsidR="00D032BE" w:rsidRPr="00D032BE" w:rsidRDefault="00D032BE" w:rsidP="00D032BE">
      <w:pPr>
        <w:pStyle w:val="kehatekst"/>
      </w:pPr>
      <w:r w:rsidRPr="00D032BE">
        <w:t>Igat liiki riikliku taustaga isikutele kehtestatud nõuded peaksid kehtima ka nende riikliku taustaga isikute pereliikmete või lähedaste kaastöötajate suhtes.</w:t>
      </w:r>
    </w:p>
    <w:p w:rsidR="00D032BE" w:rsidRPr="00D032BE" w:rsidRDefault="00D032BE" w:rsidP="00D032BE">
      <w:pPr>
        <w:pStyle w:val="A-pealkiri"/>
      </w:pPr>
      <w:r w:rsidRPr="00D032BE">
        <w:t xml:space="preserve">13. </w:t>
      </w:r>
      <w:r w:rsidRPr="00D032BE">
        <w:tab/>
        <w:t>Korrespondentpangandus *</w:t>
      </w:r>
    </w:p>
    <w:p w:rsidR="00D032BE" w:rsidRPr="00D032BE" w:rsidRDefault="00D032BE" w:rsidP="00D032BE">
      <w:pPr>
        <w:pStyle w:val="kehatekst"/>
      </w:pPr>
      <w:r w:rsidRPr="00D032BE">
        <w:t xml:space="preserve">Piiriülese korrespondentpanganduse ja muude sarnaste suhete korral peaksid </w:t>
      </w:r>
      <w:r w:rsidR="006043CB">
        <w:t>finantsasutus</w:t>
      </w:r>
      <w:r w:rsidRPr="00D032BE">
        <w:t>ed olema kohustatud rakendama lisaks tavapärastele hoolsusmeetmetele ka järgmisi meetmeid:</w:t>
      </w:r>
    </w:p>
    <w:p w:rsidR="00D032BE" w:rsidRPr="00D032BE" w:rsidRDefault="00D032BE" w:rsidP="00D032BE">
      <w:pPr>
        <w:pStyle w:val="a-thtloend"/>
      </w:pPr>
      <w:r w:rsidRPr="00D032BE">
        <w:t xml:space="preserve">a) </w:t>
      </w:r>
      <w:r w:rsidRPr="00D032BE">
        <w:tab/>
      </w:r>
      <w:r w:rsidRPr="00D032BE">
        <w:rPr>
          <w:szCs w:val="24"/>
        </w:rPr>
        <w:t xml:space="preserve">koguma piisavalt teavet korrespondentasutuse kohta, et </w:t>
      </w:r>
      <w:r w:rsidR="00690CB1">
        <w:rPr>
          <w:szCs w:val="24"/>
        </w:rPr>
        <w:t>täielikult mõista</w:t>
      </w:r>
      <w:r w:rsidRPr="00D032BE">
        <w:rPr>
          <w:szCs w:val="24"/>
        </w:rPr>
        <w:t xml:space="preserve"> korrespondentasutuse tegevuse </w:t>
      </w:r>
      <w:r w:rsidR="00690CB1" w:rsidRPr="00D032BE">
        <w:rPr>
          <w:szCs w:val="24"/>
        </w:rPr>
        <w:t>olemus</w:t>
      </w:r>
      <w:r w:rsidR="00690CB1">
        <w:rPr>
          <w:szCs w:val="24"/>
        </w:rPr>
        <w:t>t</w:t>
      </w:r>
      <w:r w:rsidR="00690CB1" w:rsidRPr="00D032BE">
        <w:rPr>
          <w:szCs w:val="24"/>
        </w:rPr>
        <w:t xml:space="preserve"> </w:t>
      </w:r>
      <w:r w:rsidR="00C93584">
        <w:rPr>
          <w:szCs w:val="24"/>
        </w:rPr>
        <w:t>ning</w:t>
      </w:r>
      <w:r w:rsidR="00690CB1" w:rsidRPr="00D032BE">
        <w:rPr>
          <w:szCs w:val="24"/>
        </w:rPr>
        <w:t xml:space="preserve"> </w:t>
      </w:r>
      <w:r w:rsidRPr="00D032BE">
        <w:rPr>
          <w:szCs w:val="24"/>
        </w:rPr>
        <w:t xml:space="preserve">langetada avalikult kättesaadava teabe põhjal otsus asjaomase asutuse maine ja tema üle teostatava järelevalve kvaliteedi üle, sh selle üle, kas tema puhul on tehtud </w:t>
      </w:r>
      <w:r w:rsidR="00690CB1">
        <w:rPr>
          <w:szCs w:val="24"/>
        </w:rPr>
        <w:t xml:space="preserve">järelevalvelisi toiminguid </w:t>
      </w:r>
      <w:r w:rsidRPr="00D032BE">
        <w:rPr>
          <w:szCs w:val="24"/>
        </w:rPr>
        <w:t>või rakendatud regul</w:t>
      </w:r>
      <w:r w:rsidR="00B6399D">
        <w:rPr>
          <w:szCs w:val="24"/>
        </w:rPr>
        <w:t>atiivseid</w:t>
      </w:r>
      <w:r w:rsidRPr="00D032BE">
        <w:rPr>
          <w:szCs w:val="24"/>
        </w:rPr>
        <w:t xml:space="preserve"> meetmeid seoses rahapesu või terrorismi rahastamisega</w:t>
      </w:r>
      <w:r w:rsidRPr="00D032BE">
        <w:t>;</w:t>
      </w:r>
    </w:p>
    <w:p w:rsidR="00D032BE" w:rsidRPr="00D032BE" w:rsidRDefault="00D032BE" w:rsidP="00D032BE">
      <w:pPr>
        <w:pStyle w:val="a-thtloend"/>
      </w:pPr>
      <w:r w:rsidRPr="0015141A">
        <w:t xml:space="preserve">b) </w:t>
      </w:r>
      <w:r w:rsidRPr="0015141A">
        <w:tab/>
      </w:r>
      <w:r w:rsidRPr="0015141A">
        <w:rPr>
          <w:szCs w:val="24"/>
        </w:rPr>
        <w:t xml:space="preserve">hindama korrespondentasutuses rakendatavaid </w:t>
      </w:r>
      <w:r w:rsidR="002A32CF">
        <w:rPr>
          <w:szCs w:val="24"/>
        </w:rPr>
        <w:t>rahapesu</w:t>
      </w:r>
      <w:r w:rsidR="00B86CDE" w:rsidRPr="00E079EA">
        <w:rPr>
          <w:szCs w:val="24"/>
        </w:rPr>
        <w:t xml:space="preserve"> ja terrorismi rahastamise </w:t>
      </w:r>
      <w:r w:rsidR="00690CB1">
        <w:rPr>
          <w:szCs w:val="24"/>
        </w:rPr>
        <w:t>alaseid</w:t>
      </w:r>
      <w:r w:rsidR="00690CB1" w:rsidRPr="0015141A">
        <w:rPr>
          <w:szCs w:val="24"/>
        </w:rPr>
        <w:t xml:space="preserve"> </w:t>
      </w:r>
      <w:r w:rsidRPr="0015141A">
        <w:rPr>
          <w:szCs w:val="24"/>
        </w:rPr>
        <w:t>kontrolli</w:t>
      </w:r>
      <w:r w:rsidR="00690CB1">
        <w:rPr>
          <w:szCs w:val="24"/>
        </w:rPr>
        <w:t>mehhanisme</w:t>
      </w:r>
      <w:r w:rsidRPr="0015141A">
        <w:t>;</w:t>
      </w:r>
    </w:p>
    <w:p w:rsidR="00D032BE" w:rsidRPr="00D032BE" w:rsidRDefault="00D032BE" w:rsidP="00D032BE">
      <w:pPr>
        <w:pStyle w:val="a-thtloend"/>
      </w:pPr>
      <w:r w:rsidRPr="00D032BE">
        <w:t xml:space="preserve">c) </w:t>
      </w:r>
      <w:r w:rsidRPr="00D032BE">
        <w:tab/>
      </w:r>
      <w:r w:rsidRPr="00D032BE">
        <w:rPr>
          <w:szCs w:val="24"/>
        </w:rPr>
        <w:t xml:space="preserve">saama </w:t>
      </w:r>
      <w:r w:rsidR="00690CB1">
        <w:rPr>
          <w:szCs w:val="24"/>
        </w:rPr>
        <w:t xml:space="preserve">enne ärisuhte loomist </w:t>
      </w:r>
      <w:r w:rsidRPr="00D032BE">
        <w:rPr>
          <w:szCs w:val="24"/>
        </w:rPr>
        <w:t>juhtkonnalt nõusoleku uue korrespondentsuhte loomiseks</w:t>
      </w:r>
      <w:r w:rsidRPr="00D032BE">
        <w:t>;</w:t>
      </w:r>
    </w:p>
    <w:p w:rsidR="00D032BE" w:rsidRPr="00D032BE" w:rsidRDefault="00D032BE" w:rsidP="00D032BE">
      <w:pPr>
        <w:pStyle w:val="a-thtloend"/>
      </w:pPr>
      <w:r w:rsidRPr="00D032BE">
        <w:lastRenderedPageBreak/>
        <w:t xml:space="preserve">d) </w:t>
      </w:r>
      <w:r w:rsidRPr="00D032BE">
        <w:tab/>
      </w:r>
      <w:r w:rsidR="00690CB1">
        <w:t>mõistma iga</w:t>
      </w:r>
      <w:r w:rsidRPr="00D032BE">
        <w:t xml:space="preserve"> asutuse asjaomas</w:t>
      </w:r>
      <w:r w:rsidR="00690CB1">
        <w:t>eid</w:t>
      </w:r>
      <w:r w:rsidRPr="00D032BE">
        <w:t xml:space="preserve"> kohustus</w:t>
      </w:r>
      <w:r w:rsidR="00690CB1">
        <w:t>i</w:t>
      </w:r>
      <w:r w:rsidRPr="00D032BE">
        <w:t>; ja</w:t>
      </w:r>
    </w:p>
    <w:p w:rsidR="00D032BE" w:rsidRPr="00D032BE" w:rsidRDefault="00D032BE" w:rsidP="00D032BE">
      <w:pPr>
        <w:pStyle w:val="a-thtloend"/>
      </w:pPr>
      <w:r w:rsidRPr="00D032BE">
        <w:t xml:space="preserve">e) </w:t>
      </w:r>
      <w:r w:rsidRPr="00D032BE">
        <w:tab/>
        <w:t xml:space="preserve">veenduma </w:t>
      </w:r>
      <w:r w:rsidR="00BF1067" w:rsidRPr="00BF1067">
        <w:t>laiendatud kasutusõigusega konto</w:t>
      </w:r>
      <w:r w:rsidRPr="00D032BE">
        <w:t xml:space="preserve"> puhul, et </w:t>
      </w:r>
      <w:r w:rsidR="00CC7227">
        <w:t>respondentpank</w:t>
      </w:r>
      <w:r w:rsidRPr="00D032BE">
        <w:t xml:space="preserve"> </w:t>
      </w:r>
      <w:r w:rsidR="00690CB1">
        <w:t>on rakendanud</w:t>
      </w:r>
      <w:r w:rsidRPr="00D032BE">
        <w:t xml:space="preserve"> korrespondentpanga kontodele otsest juurdepääsu omavate klientide suhtes pidevaid hoolsusmeetmeid ja </w:t>
      </w:r>
      <w:r w:rsidR="00690CB1">
        <w:t xml:space="preserve">et </w:t>
      </w:r>
      <w:r w:rsidR="00CC7227">
        <w:t>respondentpank</w:t>
      </w:r>
      <w:r w:rsidR="00690CB1">
        <w:t xml:space="preserve"> </w:t>
      </w:r>
      <w:r w:rsidRPr="00D032BE">
        <w:t xml:space="preserve">on suuteline päringu korral esitama hoolsusmeetmete rakendamise käigus kogutud asjakohased andmed. </w:t>
      </w:r>
    </w:p>
    <w:p w:rsidR="00D032BE" w:rsidRPr="00D032BE" w:rsidRDefault="006043CB" w:rsidP="00D032BE">
      <w:pPr>
        <w:pStyle w:val="kehatekst"/>
      </w:pPr>
      <w:r>
        <w:t>Finantsasutus</w:t>
      </w:r>
      <w:r w:rsidR="00D032BE" w:rsidRPr="00D032BE">
        <w:t xml:space="preserve">tel peaks olema keelatud luua või jätkata korrespondentpangandussuhteid varipankadega. </w:t>
      </w:r>
      <w:r>
        <w:t>Finantsasutus</w:t>
      </w:r>
      <w:r w:rsidR="00D032BE" w:rsidRPr="00D032BE">
        <w:t xml:space="preserve">ed peaksid veenduma, et </w:t>
      </w:r>
      <w:r w:rsidR="00CC7227">
        <w:t>respondent-institutsioon</w:t>
      </w:r>
      <w:r w:rsidR="00D032BE" w:rsidRPr="00D032BE">
        <w:t xml:space="preserve"> ei luba varipankadel oma kontosid kasutada.</w:t>
      </w:r>
    </w:p>
    <w:p w:rsidR="00D032BE" w:rsidRPr="00D032BE" w:rsidRDefault="00D032BE" w:rsidP="00D032BE">
      <w:pPr>
        <w:pStyle w:val="A-pealkiri"/>
      </w:pPr>
      <w:r w:rsidRPr="00D032BE">
        <w:t xml:space="preserve">14. </w:t>
      </w:r>
      <w:r w:rsidRPr="00D032BE">
        <w:tab/>
        <w:t xml:space="preserve">Raha või </w:t>
      </w:r>
      <w:r w:rsidR="001F15BE">
        <w:t>alternatiivse</w:t>
      </w:r>
      <w:r w:rsidR="00847867">
        <w:t xml:space="preserve"> </w:t>
      </w:r>
      <w:r w:rsidR="001F15BE">
        <w:t>makse</w:t>
      </w:r>
      <w:r w:rsidR="006221DB">
        <w:t>vahendi</w:t>
      </w:r>
      <w:r w:rsidR="006221DB" w:rsidRPr="00D032BE">
        <w:t xml:space="preserve"> </w:t>
      </w:r>
      <w:r w:rsidRPr="00D032BE">
        <w:t>ülekandeteenused *</w:t>
      </w:r>
    </w:p>
    <w:p w:rsidR="00D032BE" w:rsidRPr="00D032BE" w:rsidRDefault="00D032BE" w:rsidP="00D032BE">
      <w:pPr>
        <w:pStyle w:val="kehatekst"/>
      </w:pPr>
      <w:r w:rsidRPr="00D032BE">
        <w:t>Riigid peaksid võtma meetmed</w:t>
      </w:r>
      <w:r w:rsidR="00F54D1C">
        <w:t>,</w:t>
      </w:r>
      <w:r w:rsidRPr="00D032BE">
        <w:t xml:space="preserve"> tagamaks, et raha või </w:t>
      </w:r>
      <w:r w:rsidR="001F15BE">
        <w:t>alternatiivse makse</w:t>
      </w:r>
      <w:r w:rsidR="006221DB">
        <w:t>vahendi</w:t>
      </w:r>
      <w:r w:rsidR="006221DB" w:rsidRPr="00D032BE">
        <w:t xml:space="preserve"> </w:t>
      </w:r>
      <w:r w:rsidRPr="00D032BE">
        <w:t xml:space="preserve">ülekandeteenuseid osutavad füüsilised või juriidilised isikud on litsentseeritud või registreeritud ning nende kontrollimiseks ja FATFi soovitustes sätestatud asjaomaste meetmete järgimise tagamiseks on kehtestatud tõhusad mehhanismid. Riigid peaksid astuma samme ilma litsentsita või registreerimiseta raha või </w:t>
      </w:r>
      <w:r w:rsidR="001F15BE">
        <w:t>alternatiivse makse</w:t>
      </w:r>
      <w:r w:rsidR="006221DB">
        <w:t>vahendi</w:t>
      </w:r>
      <w:r w:rsidR="006221DB" w:rsidRPr="00D032BE">
        <w:t xml:space="preserve"> </w:t>
      </w:r>
      <w:r w:rsidRPr="00D032BE">
        <w:t>ülekandeteenuseid osutavate füüsiliste või juriidiliste isikute tuvastamiseks ning rakendama asjakohaseid karistusi.</w:t>
      </w:r>
    </w:p>
    <w:p w:rsidR="00D032BE" w:rsidRPr="00D032BE" w:rsidRDefault="00D032BE" w:rsidP="00D032BE">
      <w:pPr>
        <w:pStyle w:val="kehatekst"/>
      </w:pPr>
      <w:r w:rsidRPr="00D032BE">
        <w:t xml:space="preserve">Iga füüsilisest või juriidilisest isikust </w:t>
      </w:r>
      <w:r w:rsidR="006221DB">
        <w:t xml:space="preserve">esindav </w:t>
      </w:r>
      <w:r w:rsidR="00F54D1C" w:rsidRPr="00D032BE">
        <w:t>agen</w:t>
      </w:r>
      <w:r w:rsidR="00F54D1C">
        <w:t>t</w:t>
      </w:r>
      <w:r w:rsidR="00F54D1C" w:rsidRPr="00D032BE">
        <w:t xml:space="preserve"> </w:t>
      </w:r>
      <w:r w:rsidRPr="00D032BE">
        <w:t xml:space="preserve">peaks ka olema </w:t>
      </w:r>
      <w:r w:rsidR="006221DB" w:rsidRPr="00D032BE">
        <w:t>litsentseeri</w:t>
      </w:r>
      <w:r w:rsidR="006221DB">
        <w:t>t</w:t>
      </w:r>
      <w:r w:rsidR="006221DB" w:rsidRPr="00D032BE">
        <w:t xml:space="preserve">ud </w:t>
      </w:r>
      <w:r w:rsidRPr="00D032BE">
        <w:t>või registreeri</w:t>
      </w:r>
      <w:r w:rsidR="006221DB">
        <w:t>t</w:t>
      </w:r>
      <w:r w:rsidRPr="00D032BE">
        <w:t>ud pädev asutus</w:t>
      </w:r>
      <w:r w:rsidR="006221DB">
        <w:t>e poolt</w:t>
      </w:r>
      <w:r w:rsidR="00F54D1C">
        <w:t>. Alternatiivina</w:t>
      </w:r>
      <w:r w:rsidRPr="00D032BE">
        <w:t xml:space="preserve"> peaks raha või </w:t>
      </w:r>
      <w:r w:rsidR="001F15BE">
        <w:t>alternatiivse</w:t>
      </w:r>
      <w:r w:rsidR="006221DB">
        <w:t xml:space="preserve"> </w:t>
      </w:r>
      <w:r w:rsidR="001F15BE">
        <w:t>makse</w:t>
      </w:r>
      <w:r w:rsidR="006221DB">
        <w:t>vahendi</w:t>
      </w:r>
      <w:r w:rsidR="006221DB" w:rsidRPr="00D032BE">
        <w:t xml:space="preserve"> </w:t>
      </w:r>
      <w:r w:rsidRPr="00D032BE">
        <w:t>ülekandeteenuste pakkuja pidama oma agenti</w:t>
      </w:r>
      <w:r w:rsidR="001F15BE">
        <w:t>d</w:t>
      </w:r>
      <w:r w:rsidRPr="00D032BE">
        <w:t>e</w:t>
      </w:r>
      <w:r w:rsidR="00F54D1C">
        <w:t xml:space="preserve"> kohta</w:t>
      </w:r>
      <w:r w:rsidRPr="00D032BE">
        <w:t xml:space="preserve"> jooksvat nimekirja, mis on kättesaadav nende riikide pädevatele asutustele, kus raha või </w:t>
      </w:r>
      <w:r w:rsidR="001F15BE">
        <w:t>alternatiivse</w:t>
      </w:r>
      <w:r w:rsidR="006221DB">
        <w:t xml:space="preserve"> </w:t>
      </w:r>
      <w:r w:rsidR="001F15BE">
        <w:t>makse</w:t>
      </w:r>
      <w:r w:rsidR="006221DB">
        <w:t>vahendi</w:t>
      </w:r>
      <w:r w:rsidR="006221DB" w:rsidRPr="00D032BE">
        <w:t xml:space="preserve"> </w:t>
      </w:r>
      <w:r w:rsidRPr="00D032BE">
        <w:t xml:space="preserve">ülekandeteenuste pakkuja ja tema agendid tegutsevad. Riigid </w:t>
      </w:r>
      <w:r w:rsidR="001F15BE">
        <w:t>peaksid kohaldama</w:t>
      </w:r>
      <w:r w:rsidRPr="00D032BE">
        <w:t xml:space="preserve"> meetmed</w:t>
      </w:r>
      <w:r w:rsidR="00D10EB4">
        <w:t>,</w:t>
      </w:r>
      <w:r w:rsidRPr="00D032BE">
        <w:t xml:space="preserve"> tagamaks, et raha või </w:t>
      </w:r>
      <w:r w:rsidR="001F15BE">
        <w:t>alternatiivse</w:t>
      </w:r>
      <w:r w:rsidR="006221DB">
        <w:t xml:space="preserve"> </w:t>
      </w:r>
      <w:r w:rsidR="001F15BE">
        <w:t>makse</w:t>
      </w:r>
      <w:r w:rsidR="006221DB">
        <w:t>vahendi</w:t>
      </w:r>
      <w:r w:rsidR="006221DB" w:rsidRPr="00D032BE">
        <w:t xml:space="preserve"> </w:t>
      </w:r>
      <w:r w:rsidRPr="00D032BE">
        <w:t>ülekandeteenuste pakkuja agent</w:t>
      </w:r>
      <w:r w:rsidR="001F15BE">
        <w:t xml:space="preserve">idele kohaldatakse </w:t>
      </w:r>
      <w:r w:rsidR="002A32CF">
        <w:t>rahapesu</w:t>
      </w:r>
      <w:r w:rsidRPr="00D032BE">
        <w:t xml:space="preserve"> ja terrorismi rahastamise </w:t>
      </w:r>
      <w:r w:rsidR="001F15BE">
        <w:t>hoolsusmeetmeid vastavalt teenusepakkuja siseprotseduurides sätestatule ja agentide on allutatud vastavale järelevalvele.</w:t>
      </w:r>
    </w:p>
    <w:p w:rsidR="00D032BE" w:rsidRPr="00D032BE" w:rsidRDefault="00D032BE" w:rsidP="00D032BE">
      <w:pPr>
        <w:pStyle w:val="A-pealkiri"/>
      </w:pPr>
      <w:r w:rsidRPr="00D032BE">
        <w:t xml:space="preserve">15. </w:t>
      </w:r>
      <w:r w:rsidRPr="00D032BE">
        <w:tab/>
        <w:t>Uued tehnoloogiad</w:t>
      </w:r>
    </w:p>
    <w:p w:rsidR="00D032BE" w:rsidRPr="00D032BE" w:rsidRDefault="00D032BE" w:rsidP="00D032BE">
      <w:pPr>
        <w:pStyle w:val="kehatekst"/>
      </w:pPr>
      <w:r w:rsidRPr="00D032BE">
        <w:t xml:space="preserve">Riigid ja </w:t>
      </w:r>
      <w:r w:rsidR="006043CB">
        <w:t>finantsasutus</w:t>
      </w:r>
      <w:r w:rsidRPr="00D032BE">
        <w:t xml:space="preserve">ed peaksid välja selgitama ja hindama </w:t>
      </w:r>
      <w:r w:rsidR="002A32CF">
        <w:t>rahapesu</w:t>
      </w:r>
      <w:r w:rsidRPr="00D032BE">
        <w:t xml:space="preserve"> või terrorismi rahastamise ohte, mis võivad tekkida seoses a) uute toodete ja uute äritavade, sh uute tarnemehhanismide väljatöötamisega</w:t>
      </w:r>
      <w:r w:rsidR="00D10EB4">
        <w:t>;</w:t>
      </w:r>
      <w:r w:rsidRPr="00D032BE">
        <w:t xml:space="preserve"> ja b) uute või arenevate tehnoloogiate kasutamisega nii uute kui ka seniste toodete puhul. </w:t>
      </w:r>
      <w:r w:rsidR="006043CB">
        <w:t>Finantsasutus</w:t>
      </w:r>
      <w:r w:rsidRPr="00D032BE">
        <w:t xml:space="preserve">ed peaksid teostama sellise riskihindamise enne uute toodete või äritavade juurutamist või uute või arenevate tehnoloogiate kasutamist ning võtma asjakohased meetmed nende riskide juhtimiseks ja </w:t>
      </w:r>
      <w:r w:rsidR="00D10EB4">
        <w:t>maandamiseks</w:t>
      </w:r>
      <w:r w:rsidRPr="00D032BE">
        <w:t>.</w:t>
      </w:r>
    </w:p>
    <w:p w:rsidR="00D032BE" w:rsidRPr="00D032BE" w:rsidRDefault="00D032BE" w:rsidP="00D032BE">
      <w:pPr>
        <w:pStyle w:val="A-pealkiri"/>
      </w:pPr>
      <w:r w:rsidRPr="00D032BE">
        <w:lastRenderedPageBreak/>
        <w:t xml:space="preserve">16. </w:t>
      </w:r>
      <w:r w:rsidRPr="00D032BE">
        <w:tab/>
        <w:t>Elektroonilised ülekanded *</w:t>
      </w:r>
    </w:p>
    <w:p w:rsidR="00D032BE" w:rsidRPr="00D032BE" w:rsidRDefault="00D032BE" w:rsidP="00D032BE">
      <w:pPr>
        <w:pStyle w:val="kehatekst"/>
      </w:pPr>
      <w:r w:rsidRPr="00D032BE">
        <w:t xml:space="preserve">Riigid peaksid tagama, et </w:t>
      </w:r>
      <w:r w:rsidR="006043CB">
        <w:t>finantsasutus</w:t>
      </w:r>
      <w:r w:rsidRPr="00D032BE">
        <w:t>ed lisavad elektroonilistele ülekannetele ja nendega seotud teadetele nõutava ja täpse teabe ülekande algataja kohta ja nõutava teabe ülekande saaja kohta ning et see teave on ülekandele või sellega seotud teatele lisatud kogu makseahela jooksul.</w:t>
      </w:r>
    </w:p>
    <w:p w:rsidR="00D032BE" w:rsidRPr="00D032BE" w:rsidRDefault="00D032BE" w:rsidP="00D032BE">
      <w:pPr>
        <w:pStyle w:val="kehatekst"/>
      </w:pPr>
      <w:r w:rsidRPr="00D032BE">
        <w:t xml:space="preserve">Riigid peaksid tagama, et </w:t>
      </w:r>
      <w:r w:rsidR="006043CB">
        <w:t>finantsasutus</w:t>
      </w:r>
      <w:r w:rsidRPr="00D032BE">
        <w:t xml:space="preserve">ed jälgivad elektroonilisi ülekandeid eesmärgiga selgitada välja need, millel puuduvad nõutavad ülekande algataja ja/või saaja andmed, ning </w:t>
      </w:r>
      <w:r w:rsidR="00D10EB4" w:rsidRPr="00D032BE">
        <w:t>rakenda</w:t>
      </w:r>
      <w:r w:rsidR="00D10EB4">
        <w:t>vad</w:t>
      </w:r>
      <w:r w:rsidR="00D10EB4" w:rsidRPr="00D032BE">
        <w:t xml:space="preserve"> </w:t>
      </w:r>
      <w:r w:rsidRPr="00D032BE">
        <w:t>asjakohaseid meetmeid.</w:t>
      </w:r>
    </w:p>
    <w:p w:rsidR="00D032BE" w:rsidRPr="00D032BE" w:rsidRDefault="00D032BE" w:rsidP="00D032BE">
      <w:pPr>
        <w:pStyle w:val="kehatekst"/>
      </w:pPr>
      <w:r w:rsidRPr="00D032BE">
        <w:t xml:space="preserve">Elektrooniliste ülekannete töötluse kontekstis peaksid riigid tagama, et </w:t>
      </w:r>
      <w:r w:rsidR="006043CB">
        <w:t>finantsasutus</w:t>
      </w:r>
      <w:r w:rsidRPr="00D032BE">
        <w:t>ed blokeerivad meetmete rakendamise ja keelustavad tehingute teostamise määratud isikute ja üksustega vastavalt ÜRO Julgeolekunõukogu asjaomastele resolutsioonidele, nagu näiteks resolutsioon 1267 (1999) ja sellele järgnevad resolutsioonid ning resolutsioon 1373 (2001), mis käsitlevad terrorismi ja terrorismi rahastamise ennetamist ja tõkestamist.</w:t>
      </w:r>
    </w:p>
    <w:p w:rsidR="00D032BE" w:rsidRPr="00D032BE" w:rsidRDefault="00890E8A" w:rsidP="00D032BE">
      <w:pPr>
        <w:pStyle w:val="Pealkiri3"/>
      </w:pPr>
      <w:r>
        <w:t>KOLMANDALE ISIKULE TUGINEMINE HOOLSUSMEETMETE KOHALDAMISEL</w:t>
      </w:r>
    </w:p>
    <w:p w:rsidR="00D032BE" w:rsidRPr="00D032BE" w:rsidRDefault="007709ED" w:rsidP="00D032BE">
      <w:pPr>
        <w:pStyle w:val="A-pealkiri"/>
      </w:pPr>
      <w:r>
        <w:t xml:space="preserve">17. </w:t>
      </w:r>
      <w:r>
        <w:tab/>
        <w:t>Tuginemine kolmanda</w:t>
      </w:r>
      <w:r w:rsidR="00D032BE" w:rsidRPr="00D032BE">
        <w:t xml:space="preserve"> isiku</w:t>
      </w:r>
      <w:r>
        <w:t xml:space="preserve"> poolt hoolsusmeetmete käigus tuvastatud </w:t>
      </w:r>
      <w:r w:rsidR="0032602A">
        <w:t>teabele</w:t>
      </w:r>
      <w:r w:rsidR="00D032BE" w:rsidRPr="00D032BE">
        <w:t xml:space="preserve"> *</w:t>
      </w:r>
    </w:p>
    <w:p w:rsidR="00D032BE" w:rsidRPr="00D032BE" w:rsidRDefault="00D032BE" w:rsidP="00D032BE">
      <w:pPr>
        <w:pStyle w:val="kehatekst"/>
      </w:pPr>
      <w:r w:rsidRPr="00D032BE">
        <w:t xml:space="preserve">Riigid võivad lubada </w:t>
      </w:r>
      <w:r w:rsidR="006043CB">
        <w:t>finantsasutus</w:t>
      </w:r>
      <w:r w:rsidRPr="00D032BE">
        <w:t>tel tugineda soovituses</w:t>
      </w:r>
      <w:r w:rsidR="00D63059">
        <w:t xml:space="preserve"> </w:t>
      </w:r>
      <w:r w:rsidRPr="00D032BE">
        <w:t xml:space="preserve">10 sätestatud hoolsusmeetmete punktide a–c elluviimisel või ärisuhete loomisel kolmanda </w:t>
      </w:r>
      <w:r w:rsidR="007709ED" w:rsidRPr="00D032BE">
        <w:t>isiku</w:t>
      </w:r>
      <w:r w:rsidR="007709ED">
        <w:t xml:space="preserve"> poolt hoolsusmeetmete käigus tuvastatud </w:t>
      </w:r>
      <w:r w:rsidR="0032602A">
        <w:t>teabele</w:t>
      </w:r>
      <w:r w:rsidRPr="00D032BE">
        <w:t xml:space="preserve">, kui järgitakse allpool sätestatud kriteeriume. Kui selline </w:t>
      </w:r>
      <w:r w:rsidR="007709ED">
        <w:t>käitumine</w:t>
      </w:r>
      <w:r w:rsidR="007709ED" w:rsidRPr="00D032BE">
        <w:t xml:space="preserve"> </w:t>
      </w:r>
      <w:r w:rsidRPr="00D032BE">
        <w:t xml:space="preserve">on lubatud, </w:t>
      </w:r>
      <w:r w:rsidR="007709ED">
        <w:t>siis vastutab</w:t>
      </w:r>
      <w:r w:rsidRPr="00D032BE">
        <w:t xml:space="preserve"> hoolsusmeetmete </w:t>
      </w:r>
      <w:r w:rsidR="007709ED">
        <w:t xml:space="preserve">lõpliku </w:t>
      </w:r>
      <w:r w:rsidRPr="00D032BE">
        <w:t>rakendamise eest kolmandale isiku</w:t>
      </w:r>
      <w:r w:rsidR="007709ED">
        <w:t>le</w:t>
      </w:r>
      <w:r w:rsidRPr="00D032BE">
        <w:t xml:space="preserve"> tuginev </w:t>
      </w:r>
      <w:r w:rsidR="006043CB">
        <w:t>finantsasutus</w:t>
      </w:r>
      <w:r w:rsidRPr="00D032BE">
        <w:t>.</w:t>
      </w:r>
    </w:p>
    <w:p w:rsidR="00D032BE" w:rsidRPr="00D032BE" w:rsidRDefault="00D032BE" w:rsidP="00D032BE">
      <w:pPr>
        <w:pStyle w:val="kehatekst"/>
      </w:pPr>
      <w:r w:rsidRPr="00D032BE">
        <w:t>Järgida tuleb järgmisi kriteeriume:</w:t>
      </w:r>
    </w:p>
    <w:p w:rsidR="00D032BE" w:rsidRPr="00D032BE" w:rsidRDefault="00D032BE" w:rsidP="00D032BE">
      <w:pPr>
        <w:pStyle w:val="a-thtloend"/>
      </w:pPr>
      <w:r w:rsidRPr="00D032BE">
        <w:t xml:space="preserve">a) </w:t>
      </w:r>
      <w:r w:rsidRPr="00D032BE">
        <w:tab/>
        <w:t xml:space="preserve">kolmandale isikule tuginev </w:t>
      </w:r>
      <w:r w:rsidR="006043CB">
        <w:t>finantsasutus</w:t>
      </w:r>
      <w:r w:rsidRPr="00D032BE">
        <w:t xml:space="preserve"> peaks v</w:t>
      </w:r>
      <w:r w:rsidR="0032602A">
        <w:t>iivitamatult hankima soovituses</w:t>
      </w:r>
      <w:r w:rsidR="00D63059">
        <w:t xml:space="preserve"> </w:t>
      </w:r>
      <w:r w:rsidRPr="00D032BE">
        <w:t>10 sätes</w:t>
      </w:r>
      <w:r w:rsidR="0032602A">
        <w:t>tatud hoolsusmeetmete punktides</w:t>
      </w:r>
      <w:r w:rsidRPr="00D032BE">
        <w:t xml:space="preserve"> a–c </w:t>
      </w:r>
      <w:r w:rsidR="0032602A">
        <w:t>sätestatud</w:t>
      </w:r>
      <w:r w:rsidRPr="00D032BE">
        <w:t xml:space="preserve"> teavet;</w:t>
      </w:r>
    </w:p>
    <w:p w:rsidR="00D032BE" w:rsidRPr="00D032BE" w:rsidRDefault="00D032BE" w:rsidP="00D032BE">
      <w:pPr>
        <w:pStyle w:val="a-thtloend"/>
      </w:pPr>
      <w:r w:rsidRPr="00D032BE">
        <w:t xml:space="preserve">b) </w:t>
      </w:r>
      <w:r w:rsidRPr="00D032BE">
        <w:tab/>
      </w:r>
      <w:r w:rsidR="006043CB">
        <w:t>finantsasutus</w:t>
      </w:r>
      <w:r w:rsidRPr="00D032BE">
        <w:t xml:space="preserve">ed peaksid astuma piisavaid samme veendumaks, et asjaomane kolmas isik on suuteline nõudmise korral viivitamatult esitama hoolsusmeetmete </w:t>
      </w:r>
      <w:r w:rsidR="0032602A">
        <w:t>nõuete kohaldamisega</w:t>
      </w:r>
      <w:r w:rsidRPr="00D032BE">
        <w:t xml:space="preserve"> seotud isikut tõendavate andmete ja muude asjakohaste dokumentide koopiad;</w:t>
      </w:r>
    </w:p>
    <w:p w:rsidR="00D032BE" w:rsidRPr="00D032BE" w:rsidRDefault="00D032BE" w:rsidP="00D032BE">
      <w:pPr>
        <w:pStyle w:val="a-thtloend"/>
      </w:pPr>
      <w:r w:rsidRPr="00D032BE">
        <w:t xml:space="preserve">c) </w:t>
      </w:r>
      <w:r w:rsidRPr="00D032BE">
        <w:tab/>
      </w:r>
      <w:r w:rsidR="006043CB">
        <w:t>finantsasutus</w:t>
      </w:r>
      <w:r w:rsidRPr="00D032BE">
        <w:t xml:space="preserve"> peaks ise veenduma, et asjaomase kolmanda isiku suhtes </w:t>
      </w:r>
      <w:r w:rsidR="00CF6A65">
        <w:t>rakendatakse</w:t>
      </w:r>
      <w:r w:rsidRPr="00D032BE">
        <w:t xml:space="preserve"> reguleerimis-, järelevalve- või seiremeetmeid ning et ta rakendab meetmeid, mis tagavad hoolsusmeetmete ja andmete säilitamise nõuete </w:t>
      </w:r>
      <w:r w:rsidR="0032602A">
        <w:t>täitmise vastavalt soovitustele</w:t>
      </w:r>
      <w:r w:rsidR="00D63059">
        <w:t xml:space="preserve"> </w:t>
      </w:r>
      <w:r w:rsidRPr="00D032BE">
        <w:t>10 ja 11;</w:t>
      </w:r>
    </w:p>
    <w:p w:rsidR="00D032BE" w:rsidRPr="00D032BE" w:rsidRDefault="00D032BE" w:rsidP="00D032BE">
      <w:pPr>
        <w:pStyle w:val="a-thtloend"/>
      </w:pPr>
      <w:r w:rsidRPr="00D032BE">
        <w:lastRenderedPageBreak/>
        <w:t xml:space="preserve">d) </w:t>
      </w:r>
      <w:r w:rsidRPr="00D032BE">
        <w:tab/>
        <w:t xml:space="preserve">otsustades, millistes riikides võib tingimustele vastav kolmas isik asuda, peaksid riigid arvesse võtma </w:t>
      </w:r>
      <w:r w:rsidR="0032602A">
        <w:t xml:space="preserve">vastava </w:t>
      </w:r>
      <w:r w:rsidRPr="00D032BE">
        <w:t xml:space="preserve">riigi </w:t>
      </w:r>
      <w:r w:rsidR="00213F51" w:rsidRPr="00D032BE">
        <w:t>riski</w:t>
      </w:r>
      <w:r w:rsidR="00213F51">
        <w:t>astme</w:t>
      </w:r>
      <w:r w:rsidR="00213F51" w:rsidRPr="00D032BE">
        <w:t xml:space="preserve"> </w:t>
      </w:r>
      <w:r w:rsidRPr="00D032BE">
        <w:t>kohta kättesaadavat teavet.</w:t>
      </w:r>
    </w:p>
    <w:p w:rsidR="00D032BE" w:rsidRPr="00D032BE" w:rsidRDefault="00D032BE" w:rsidP="00D032BE">
      <w:pPr>
        <w:pStyle w:val="kehatekst"/>
      </w:pPr>
      <w:r w:rsidRPr="00D032BE">
        <w:t xml:space="preserve">Kui </w:t>
      </w:r>
      <w:r w:rsidR="006043CB">
        <w:t>finantsasutus</w:t>
      </w:r>
      <w:r w:rsidRPr="00D032BE">
        <w:t xml:space="preserve"> tugineb kolmandale isikule ning see on sama finantskontserni osa ja i) vastav kontsern täidab hoolsusmeetmete ja andmete säilitamise nõudeid vastavalt soovitustele</w:t>
      </w:r>
      <w:r w:rsidR="00847867">
        <w:t xml:space="preserve"> </w:t>
      </w:r>
      <w:r w:rsidRPr="00D032BE">
        <w:t xml:space="preserve">10, 11 ja 12 ning rakendab </w:t>
      </w:r>
      <w:r w:rsidR="002A32CF">
        <w:t>rahapesu</w:t>
      </w:r>
      <w:r w:rsidRPr="00D032BE">
        <w:t xml:space="preserve"> ja terrorismi rahastamise </w:t>
      </w:r>
      <w:r w:rsidR="00162FFB">
        <w:t>tõkestamise</w:t>
      </w:r>
      <w:r w:rsidR="00500F39">
        <w:t xml:space="preserve"> meetmeid</w:t>
      </w:r>
      <w:r w:rsidR="00162FFB">
        <w:t xml:space="preserve"> vastavalt soovitusele</w:t>
      </w:r>
      <w:r w:rsidR="00D63059">
        <w:t xml:space="preserve"> </w:t>
      </w:r>
      <w:r w:rsidRPr="00D032BE">
        <w:t xml:space="preserve">18 ning </w:t>
      </w:r>
      <w:proofErr w:type="spellStart"/>
      <w:r w:rsidRPr="00D032BE">
        <w:t>ii</w:t>
      </w:r>
      <w:proofErr w:type="spellEnd"/>
      <w:r w:rsidRPr="00D032BE">
        <w:t xml:space="preserve">) kui pädev asutus teostab kontserni tasandil järelevalvet nende hoolsusmeetmete ja andmete säilitamise nõuete tulemusliku täitmise üle, võivad asjaomased pädevad asutused otsustada, et see </w:t>
      </w:r>
      <w:r w:rsidR="006043CB">
        <w:t>finantsasutus</w:t>
      </w:r>
      <w:r w:rsidRPr="00D032BE">
        <w:t xml:space="preserve"> rakendab eespool punktides b ja c sätestatud meetmeid oma kontserni programmi raames ja et punkt d ei ole vajalik tuginemise eeltingimus, kui riigi kõrgemat </w:t>
      </w:r>
      <w:r w:rsidR="00213F51" w:rsidRPr="00D032BE">
        <w:t>riski</w:t>
      </w:r>
      <w:r w:rsidR="00213F51">
        <w:t>astet</w:t>
      </w:r>
      <w:r w:rsidR="00213F51" w:rsidRPr="00D032BE">
        <w:t xml:space="preserve"> </w:t>
      </w:r>
      <w:r w:rsidRPr="00D032BE">
        <w:t xml:space="preserve">vähendatakse kontserni </w:t>
      </w:r>
      <w:r w:rsidR="002A32CF">
        <w:t>rahapesu</w:t>
      </w:r>
      <w:r w:rsidRPr="00D032BE">
        <w:t xml:space="preserve"> ja terrorismi rahastamise </w:t>
      </w:r>
      <w:r w:rsidR="0032602A">
        <w:t>tõkestamise</w:t>
      </w:r>
      <w:r w:rsidRPr="00D032BE">
        <w:t xml:space="preserve"> põhimõtetega.</w:t>
      </w:r>
    </w:p>
    <w:p w:rsidR="00D032BE" w:rsidRPr="00D032BE" w:rsidRDefault="00D032BE" w:rsidP="00D032BE">
      <w:pPr>
        <w:pStyle w:val="A-pealkiri"/>
      </w:pPr>
      <w:r w:rsidRPr="00D032BE">
        <w:t xml:space="preserve">18. </w:t>
      </w:r>
      <w:r w:rsidRPr="00D032BE">
        <w:tab/>
        <w:t>Sisekontrollimehhanismid ja välismaised filiaalid ja tütarettevõtted *</w:t>
      </w:r>
    </w:p>
    <w:p w:rsidR="00D032BE" w:rsidRPr="00D032BE" w:rsidRDefault="006043CB" w:rsidP="00D032BE">
      <w:pPr>
        <w:pStyle w:val="kehatekst"/>
      </w:pPr>
      <w:r>
        <w:t>Finantsasutus</w:t>
      </w:r>
      <w:r w:rsidR="00D032BE" w:rsidRPr="00D032BE">
        <w:t xml:space="preserve">ed peaksid olema kohustatud rakendama </w:t>
      </w:r>
      <w:r w:rsidR="002A32CF">
        <w:t>rahapesu</w:t>
      </w:r>
      <w:r w:rsidR="00D032BE" w:rsidRPr="00D032BE">
        <w:t xml:space="preserve"> ja terrorismi rahastamise </w:t>
      </w:r>
      <w:r w:rsidR="00162FFB">
        <w:t>tõkestamise</w:t>
      </w:r>
      <w:r w:rsidR="00D032BE" w:rsidRPr="00D032BE">
        <w:t xml:space="preserve"> </w:t>
      </w:r>
      <w:r w:rsidR="0032602A">
        <w:t>meetmeid</w:t>
      </w:r>
      <w:r w:rsidR="00D032BE" w:rsidRPr="00D032BE">
        <w:t xml:space="preserve">. Finantskontsernid peaksid olema kohustatud rakendama kontserniüleseid </w:t>
      </w:r>
      <w:r w:rsidR="002A32CF">
        <w:t>rahapesu</w:t>
      </w:r>
      <w:r w:rsidR="00D032BE" w:rsidRPr="00D032BE">
        <w:t xml:space="preserve"> ja terrorismi rahastamise </w:t>
      </w:r>
      <w:r w:rsidR="00162FFB">
        <w:t>tõkestamise</w:t>
      </w:r>
      <w:r w:rsidR="00D032BE" w:rsidRPr="00D032BE">
        <w:t xml:space="preserve"> </w:t>
      </w:r>
      <w:r w:rsidR="00500F39">
        <w:t>meetmeid</w:t>
      </w:r>
      <w:r w:rsidR="00D032BE" w:rsidRPr="00D032BE">
        <w:t xml:space="preserve">, kaasa arvatud põhimõtteid ja tegevusjuhiseid kontsernisiseseks teabevahetuseks seoses </w:t>
      </w:r>
      <w:r w:rsidR="002A32CF">
        <w:t>rahapesu</w:t>
      </w:r>
      <w:r w:rsidR="00D032BE" w:rsidRPr="00D032BE">
        <w:t xml:space="preserve"> ja terrorismi rahastamise </w:t>
      </w:r>
      <w:r w:rsidR="00162FFB">
        <w:t>tõkestamisega</w:t>
      </w:r>
      <w:r w:rsidR="00D032BE" w:rsidRPr="00D032BE">
        <w:t>.</w:t>
      </w:r>
    </w:p>
    <w:p w:rsidR="00D032BE" w:rsidRPr="00D032BE" w:rsidRDefault="006043CB" w:rsidP="00D032BE">
      <w:pPr>
        <w:pStyle w:val="kehatekst"/>
      </w:pPr>
      <w:r>
        <w:t>Finantsasutus</w:t>
      </w:r>
      <w:r w:rsidR="00D032BE" w:rsidRPr="00D032BE">
        <w:t xml:space="preserve">ed peaksid olema kohustatud tagama, et nende välismaised filiaalid ja enamusosalusega tütarettevõtted rakendavad </w:t>
      </w:r>
      <w:r w:rsidR="002A32CF">
        <w:t>rahapesu</w:t>
      </w:r>
      <w:r w:rsidR="00D032BE" w:rsidRPr="00D032BE">
        <w:t xml:space="preserve"> ja terrorismi rahastamise </w:t>
      </w:r>
      <w:r w:rsidR="00162FFB">
        <w:t>tõkestamise</w:t>
      </w:r>
      <w:r w:rsidR="00D032BE" w:rsidRPr="00D032BE">
        <w:t xml:space="preserve"> meetmeid, mis on kooskõlas </w:t>
      </w:r>
      <w:r w:rsidR="0032602A">
        <w:t>päritoluriigi</w:t>
      </w:r>
      <w:r w:rsidR="00D032BE" w:rsidRPr="00D032BE">
        <w:t xml:space="preserve"> nõuetega FATFi soovituste rakendamise kohta finantskontsernide </w:t>
      </w:r>
      <w:r w:rsidR="002A32CF">
        <w:t>rahapesu</w:t>
      </w:r>
      <w:r w:rsidR="00D032BE" w:rsidRPr="00D032BE">
        <w:t xml:space="preserve"> ja terrorismi rahastamise </w:t>
      </w:r>
      <w:r w:rsidR="002A32CF">
        <w:t>tõkestamise</w:t>
      </w:r>
      <w:r w:rsidR="00D032BE" w:rsidRPr="00D032BE">
        <w:t xml:space="preserve"> </w:t>
      </w:r>
      <w:r w:rsidR="0032602A">
        <w:t>meetmete</w:t>
      </w:r>
      <w:r w:rsidR="00D032BE" w:rsidRPr="00D032BE">
        <w:t xml:space="preserve"> kaudu.</w:t>
      </w:r>
    </w:p>
    <w:p w:rsidR="00D032BE" w:rsidRPr="00D032BE" w:rsidRDefault="00D032BE" w:rsidP="00D032BE">
      <w:pPr>
        <w:pStyle w:val="A-pealkiri"/>
      </w:pPr>
      <w:r w:rsidRPr="00D032BE">
        <w:t xml:space="preserve">19. </w:t>
      </w:r>
      <w:r w:rsidRPr="00D032BE">
        <w:tab/>
        <w:t xml:space="preserve">Kõrgema </w:t>
      </w:r>
      <w:r w:rsidR="00213F51" w:rsidRPr="00D032BE">
        <w:t>riski</w:t>
      </w:r>
      <w:r w:rsidR="00213F51">
        <w:t>astmega</w:t>
      </w:r>
      <w:r w:rsidR="00213F51" w:rsidRPr="00D032BE">
        <w:t xml:space="preserve"> </w:t>
      </w:r>
      <w:r w:rsidRPr="00D032BE">
        <w:t>riigid *</w:t>
      </w:r>
    </w:p>
    <w:p w:rsidR="00D032BE" w:rsidRPr="00D032BE" w:rsidRDefault="006043CB" w:rsidP="00D032BE">
      <w:pPr>
        <w:pStyle w:val="kehatekst"/>
      </w:pPr>
      <w:r>
        <w:t>Finantsasutus</w:t>
      </w:r>
      <w:r w:rsidR="00D032BE" w:rsidRPr="00D032BE">
        <w:t>ed peaksid olema kohustatud rakendama tugevdatud hoolsusmeetmeid ärisuhete</w:t>
      </w:r>
      <w:r w:rsidR="0032602A">
        <w:t>s</w:t>
      </w:r>
      <w:r w:rsidR="00D032BE" w:rsidRPr="00D032BE">
        <w:t xml:space="preserve"> ja tehingute</w:t>
      </w:r>
      <w:r w:rsidR="0032602A">
        <w:t>s</w:t>
      </w:r>
      <w:r w:rsidR="00D032BE" w:rsidRPr="00D032BE">
        <w:t xml:space="preserve"> füüsiliste ja juriidiliste isikute</w:t>
      </w:r>
      <w:r w:rsidR="0032602A">
        <w:t>ga</w:t>
      </w:r>
      <w:r w:rsidR="00D032BE" w:rsidRPr="00D032BE">
        <w:t xml:space="preserve"> </w:t>
      </w:r>
      <w:r w:rsidR="0032602A">
        <w:t>ning</w:t>
      </w:r>
      <w:r w:rsidR="00D032BE" w:rsidRPr="00D032BE">
        <w:t xml:space="preserve"> </w:t>
      </w:r>
      <w:r w:rsidR="0032602A">
        <w:t xml:space="preserve">nende </w:t>
      </w:r>
      <w:r>
        <w:t>finantsasutus</w:t>
      </w:r>
      <w:r w:rsidR="00D032BE" w:rsidRPr="00D032BE">
        <w:t>tega</w:t>
      </w:r>
      <w:r w:rsidR="0032602A">
        <w:t xml:space="preserve">, </w:t>
      </w:r>
      <w:r w:rsidR="00717196">
        <w:t>mis</w:t>
      </w:r>
      <w:r w:rsidR="0032602A">
        <w:t xml:space="preserve"> on pärit</w:t>
      </w:r>
      <w:r w:rsidR="00D032BE" w:rsidRPr="00D032BE">
        <w:t xml:space="preserve"> riikidest, mille</w:t>
      </w:r>
      <w:r w:rsidR="00717196">
        <w:t>s kohaldavate rahapesu ja terrorismi rahastamise tõkestamise meetmete ebapiisavusele on</w:t>
      </w:r>
      <w:r w:rsidR="00D032BE" w:rsidRPr="00D032BE">
        <w:t xml:space="preserve"> FATF </w:t>
      </w:r>
      <w:r w:rsidR="0032602A">
        <w:t>tähelepanu juhtinud</w:t>
      </w:r>
      <w:r w:rsidR="00717196">
        <w:t>. Rakendatavad tugevdatud hoolsusmeetmed</w:t>
      </w:r>
      <w:r w:rsidR="00D032BE" w:rsidRPr="00D032BE">
        <w:t xml:space="preserve"> peaks</w:t>
      </w:r>
      <w:r w:rsidR="00717196">
        <w:t>id</w:t>
      </w:r>
      <w:r w:rsidR="00D032BE" w:rsidRPr="00D032BE">
        <w:t xml:space="preserve"> olema </w:t>
      </w:r>
      <w:r w:rsidR="00717196">
        <w:t>efektiivsed ja riskidele vastavad</w:t>
      </w:r>
      <w:r w:rsidR="00D032BE" w:rsidRPr="00D032BE">
        <w:t>.</w:t>
      </w:r>
    </w:p>
    <w:p w:rsidR="00D032BE" w:rsidRPr="00D032BE" w:rsidRDefault="00D032BE" w:rsidP="00D032BE">
      <w:pPr>
        <w:pStyle w:val="kehatekst"/>
      </w:pPr>
      <w:r w:rsidRPr="00D032BE">
        <w:t>Riigid peaksid olema suutelised võtma asjakohaseid vastumeetmeid, kui FATF neilt seda nõuab. Samuti peaksid riigid olema suutelised võtma vastumeetmeid sõltumata FATFi vastavasisulisest nõudest. Sellised vastumeetmed peaksid olema tulemuslikud ja riskidega proportsionaalsed.</w:t>
      </w:r>
    </w:p>
    <w:p w:rsidR="00D032BE" w:rsidRPr="00D032BE" w:rsidRDefault="00D032BE" w:rsidP="00D032BE">
      <w:pPr>
        <w:pStyle w:val="Pealkiri3"/>
      </w:pPr>
      <w:r w:rsidRPr="00D032BE">
        <w:lastRenderedPageBreak/>
        <w:t>KAHTLASTEST TEHINGUTEST TEATAMINE</w:t>
      </w:r>
    </w:p>
    <w:p w:rsidR="00D032BE" w:rsidRPr="00D032BE" w:rsidRDefault="00D032BE" w:rsidP="00D032BE">
      <w:pPr>
        <w:pStyle w:val="A-pealkiri"/>
      </w:pPr>
      <w:r w:rsidRPr="00D032BE">
        <w:t xml:space="preserve">20. </w:t>
      </w:r>
      <w:r w:rsidRPr="00D032BE">
        <w:tab/>
        <w:t>Kahtlastest tehingutest teatamine</w:t>
      </w:r>
    </w:p>
    <w:p w:rsidR="00D032BE" w:rsidRPr="00D032BE" w:rsidRDefault="00D032BE" w:rsidP="00D032BE">
      <w:pPr>
        <w:pStyle w:val="kehatekst"/>
      </w:pPr>
      <w:r w:rsidRPr="00D032BE">
        <w:t xml:space="preserve">Seaduses tuleks sätestada, et </w:t>
      </w:r>
      <w:r w:rsidR="00447A84">
        <w:t xml:space="preserve">olukorras, </w:t>
      </w:r>
      <w:r w:rsidRPr="00D032BE">
        <w:t>ku</w:t>
      </w:r>
      <w:r w:rsidR="00447A84">
        <w:t>s</w:t>
      </w:r>
      <w:r w:rsidRPr="00D032BE">
        <w:t xml:space="preserve"> </w:t>
      </w:r>
      <w:r w:rsidR="006043CB">
        <w:t>finantsasutus</w:t>
      </w:r>
      <w:r w:rsidR="00447A84">
        <w:t xml:space="preserve"> kahtlustab või kus</w:t>
      </w:r>
      <w:r w:rsidRPr="00D032BE">
        <w:t xml:space="preserve"> on põhjendatult alust kahtlustada, et </w:t>
      </w:r>
      <w:r w:rsidR="00447A84">
        <w:t>vara</w:t>
      </w:r>
      <w:r w:rsidRPr="00D032BE">
        <w:t xml:space="preserve"> on saadud kuritegelikust tegevusest või on seotud terrorismi rahastamisega, peab ta viivita</w:t>
      </w:r>
      <w:r w:rsidR="00447A84">
        <w:t xml:space="preserve">matult teatama oma kahtlustest </w:t>
      </w:r>
      <w:r w:rsidR="00D86A5F">
        <w:t>Rahapesu andmebüroo</w:t>
      </w:r>
      <w:r w:rsidRPr="00D032BE">
        <w:t>le.</w:t>
      </w:r>
    </w:p>
    <w:p w:rsidR="00D032BE" w:rsidRPr="00D032BE" w:rsidRDefault="000A207B" w:rsidP="00D032BE">
      <w:pPr>
        <w:pStyle w:val="A-pealkiri"/>
      </w:pPr>
      <w:r>
        <w:t xml:space="preserve">21. </w:t>
      </w:r>
      <w:r>
        <w:tab/>
        <w:t>Klientide teavitamine rahapesu kahtlusest ja konfidentsiaalsus</w:t>
      </w:r>
      <w:r w:rsidR="00890E8A">
        <w:t>piirangud</w:t>
      </w:r>
    </w:p>
    <w:p w:rsidR="00D032BE" w:rsidRPr="00D032BE" w:rsidRDefault="006043CB" w:rsidP="00D032BE">
      <w:pPr>
        <w:pStyle w:val="kehatekst"/>
      </w:pPr>
      <w:r>
        <w:t>Finantsasutus</w:t>
      </w:r>
      <w:r w:rsidR="00D032BE" w:rsidRPr="00D032BE">
        <w:t>tel, nende juhtidel, ametnikel ja töötajatel peaks olema</w:t>
      </w:r>
      <w:r w:rsidR="000A207B">
        <w:t>:</w:t>
      </w:r>
    </w:p>
    <w:p w:rsidR="00D032BE" w:rsidRPr="00D032BE" w:rsidRDefault="00D032BE" w:rsidP="00D032BE">
      <w:pPr>
        <w:pStyle w:val="a-thtloend"/>
      </w:pPr>
      <w:r w:rsidRPr="00D032BE">
        <w:t xml:space="preserve">a) </w:t>
      </w:r>
      <w:r w:rsidRPr="00D032BE">
        <w:tab/>
        <w:t>seaduse</w:t>
      </w:r>
      <w:r w:rsidR="000A207B">
        <w:t>st</w:t>
      </w:r>
      <w:r w:rsidRPr="00D032BE">
        <w:t xml:space="preserve"> </w:t>
      </w:r>
      <w:r w:rsidR="000A207B">
        <w:t>tulenev</w:t>
      </w:r>
      <w:r w:rsidRPr="00D032BE">
        <w:t xml:space="preserve"> kaitse kriminaal- ja tsiviilvastutuse eest, mis on seotud nende suhtes lepingu või mis tahes õigusnormidega kehtestatud andmete avaldamise keelu rikkumisega, kui nad heauskselt teatavad oma kahtlustest </w:t>
      </w:r>
      <w:r w:rsidR="00D86A5F">
        <w:t>Rahapesu andmebüroo</w:t>
      </w:r>
      <w:r w:rsidRPr="00D032BE">
        <w:t>le, isegi kui nad ei tea täpselt sellise kuritegeliku tegevuse sisu ja olenemata sellest, kas kuritegelik tegevus üldse toimus; ja</w:t>
      </w:r>
    </w:p>
    <w:p w:rsidR="00D032BE" w:rsidRPr="00D032BE" w:rsidRDefault="00D032BE" w:rsidP="00D032BE">
      <w:pPr>
        <w:pStyle w:val="a-thtloend"/>
      </w:pPr>
      <w:r w:rsidRPr="00D032BE">
        <w:t xml:space="preserve">b) </w:t>
      </w:r>
      <w:r w:rsidRPr="00D032BE">
        <w:tab/>
        <w:t xml:space="preserve">seadusega keelatud avaldada („teavet anda”) </w:t>
      </w:r>
      <w:r w:rsidR="00383A20">
        <w:t>informatsiooni</w:t>
      </w:r>
      <w:r w:rsidRPr="00D032BE">
        <w:t xml:space="preserve">, et </w:t>
      </w:r>
      <w:r w:rsidR="00D86A5F">
        <w:t>Rahapesu andmebüroo</w:t>
      </w:r>
      <w:r w:rsidRPr="00D032BE">
        <w:t>le on teatatud kahtlasest tehingust või esitatud sellega seotud teavet.</w:t>
      </w:r>
    </w:p>
    <w:p w:rsidR="00D032BE" w:rsidRPr="00D032BE" w:rsidRDefault="00D032BE" w:rsidP="00D032BE">
      <w:pPr>
        <w:pStyle w:val="Pealkiri3"/>
      </w:pPr>
      <w:r w:rsidRPr="00D032BE">
        <w:t xml:space="preserve">MITTEFINANTSTEENUSEID PAKKUVAD </w:t>
      </w:r>
      <w:r w:rsidR="00EF4E6B">
        <w:t>KOHUSTATUD</w:t>
      </w:r>
      <w:r w:rsidRPr="00D032BE">
        <w:t xml:space="preserve"> ETTEVÕTJAD JA KUTSETÖÖTAJAD</w:t>
      </w:r>
    </w:p>
    <w:p w:rsidR="00D032BE" w:rsidRPr="00D032BE" w:rsidRDefault="00D032BE" w:rsidP="00D032BE">
      <w:pPr>
        <w:pStyle w:val="A-pealkiri"/>
      </w:pPr>
      <w:r w:rsidRPr="00D032BE">
        <w:t xml:space="preserve">22. </w:t>
      </w:r>
      <w:r w:rsidRPr="00D032BE">
        <w:tab/>
        <w:t xml:space="preserve">Mittefinantsteenuseid pakkuvad </w:t>
      </w:r>
      <w:r w:rsidR="00EF4E6B">
        <w:t>kohustatud</w:t>
      </w:r>
      <w:r w:rsidRPr="00D032BE">
        <w:t xml:space="preserve"> ettevõtjad ja kutsetöötajad: hoolsusmeetmed *</w:t>
      </w:r>
    </w:p>
    <w:p w:rsidR="00D032BE" w:rsidRPr="00D032BE" w:rsidRDefault="00EF4E6B" w:rsidP="00D032BE">
      <w:pPr>
        <w:pStyle w:val="kehatekst"/>
      </w:pPr>
      <w:r>
        <w:t>Soovitustes</w:t>
      </w:r>
      <w:r w:rsidR="00D63059">
        <w:t xml:space="preserve"> </w:t>
      </w:r>
      <w:r w:rsidR="00D032BE" w:rsidRPr="00D032BE">
        <w:t xml:space="preserve">10, 11, 12, 15 ja 17 sätestatud hoolsusmeetmed ja andmete säilitamise nõuded kehtivad mittefinantsteenuseid pakkuvatele </w:t>
      </w:r>
      <w:r>
        <w:t>kohustatud</w:t>
      </w:r>
      <w:r w:rsidR="00D032BE" w:rsidRPr="00D032BE">
        <w:t xml:space="preserve"> ettevõtjatele ja kutsetöötajatele järgmistes olukordades:</w:t>
      </w:r>
    </w:p>
    <w:p w:rsidR="00D032BE" w:rsidRPr="00D032BE" w:rsidRDefault="00EF4E6B" w:rsidP="00D032BE">
      <w:pPr>
        <w:pStyle w:val="a-thtloend"/>
      </w:pPr>
      <w:r>
        <w:t xml:space="preserve">a) </w:t>
      </w:r>
      <w:r>
        <w:tab/>
        <w:t>kasiino</w:t>
      </w:r>
      <w:r w:rsidR="00D032BE" w:rsidRPr="00D032BE">
        <w:t xml:space="preserve"> – kui kliendid teevad kehtestatud piirmääraga võrdseid või sellest suuremaid finantstehinguid;</w:t>
      </w:r>
    </w:p>
    <w:p w:rsidR="00D032BE" w:rsidRPr="00D032BE" w:rsidRDefault="00EF4E6B" w:rsidP="00D032BE">
      <w:pPr>
        <w:pStyle w:val="a-thtloend"/>
      </w:pPr>
      <w:r>
        <w:t xml:space="preserve">b) </w:t>
      </w:r>
      <w:r>
        <w:tab/>
        <w:t>kinnisvaravahendaja</w:t>
      </w:r>
      <w:r w:rsidR="00D032BE" w:rsidRPr="00D032BE">
        <w:t xml:space="preserve"> – kui nad teevad kliendi jaoks kinnisvara ostu ja müügiga seotud tehinguid;</w:t>
      </w:r>
    </w:p>
    <w:p w:rsidR="00D032BE" w:rsidRPr="00D032BE" w:rsidRDefault="00D032BE" w:rsidP="00D032BE">
      <w:pPr>
        <w:pStyle w:val="a-thtloend"/>
      </w:pPr>
      <w:r w:rsidRPr="00D032BE">
        <w:t xml:space="preserve">c) </w:t>
      </w:r>
      <w:r w:rsidRPr="00D032BE">
        <w:tab/>
        <w:t>väärismetal</w:t>
      </w:r>
      <w:r w:rsidR="00EF4E6B">
        <w:t>lide ja vääriskividega kaupleja</w:t>
      </w:r>
      <w:r w:rsidRPr="00D032BE">
        <w:t xml:space="preserve"> – kui nad teevad kliendiga kehtestatud piirmääraga võrdseid või sellest suuremaid sularahatehinguid;</w:t>
      </w:r>
    </w:p>
    <w:p w:rsidR="00D032BE" w:rsidRPr="00D032BE" w:rsidRDefault="00EF4E6B" w:rsidP="00D032BE">
      <w:pPr>
        <w:pStyle w:val="a-thtloend"/>
      </w:pPr>
      <w:r>
        <w:t xml:space="preserve">d) </w:t>
      </w:r>
      <w:r>
        <w:tab/>
        <w:t>jurist, notar, muu sõltumatu</w:t>
      </w:r>
      <w:r w:rsidR="00D032BE" w:rsidRPr="00D032BE">
        <w:t xml:space="preserve"> õigusteenuste osutaja ja raamatupidaja – kui nad valmistavad ette või teostavad kliendi jaoks tehinguid järgmistes valdkondades:</w:t>
      </w:r>
    </w:p>
    <w:p w:rsidR="00D032BE" w:rsidRPr="00D032BE" w:rsidRDefault="00D032BE" w:rsidP="00D032BE">
      <w:pPr>
        <w:pStyle w:val="Sinineloend"/>
      </w:pPr>
      <w:r w:rsidRPr="00D032BE">
        <w:t>kinnisvara ost ja müük;</w:t>
      </w:r>
    </w:p>
    <w:p w:rsidR="00D032BE" w:rsidRPr="00D032BE" w:rsidRDefault="00D032BE" w:rsidP="00D032BE">
      <w:pPr>
        <w:pStyle w:val="Sinineloend"/>
      </w:pPr>
      <w:r w:rsidRPr="00D032BE">
        <w:lastRenderedPageBreak/>
        <w:t>kliendi raha, väärtpaberite või muu vara haldamine;</w:t>
      </w:r>
    </w:p>
    <w:p w:rsidR="00D032BE" w:rsidRPr="00D032BE" w:rsidRDefault="00D032BE" w:rsidP="00D032BE">
      <w:pPr>
        <w:pStyle w:val="Sinineloend"/>
      </w:pPr>
      <w:r w:rsidRPr="00D032BE">
        <w:t>panga-, hoiu- või väärtpaberikontode haldamine;</w:t>
      </w:r>
    </w:p>
    <w:p w:rsidR="00D032BE" w:rsidRPr="00D032BE" w:rsidRDefault="00D032BE" w:rsidP="00D032BE">
      <w:pPr>
        <w:pStyle w:val="Sinineloend"/>
      </w:pPr>
      <w:r w:rsidRPr="00D032BE">
        <w:t>äriühingute asutamiseks, tegevuseks või juhtimiseks vajalike vahendite hankimine;</w:t>
      </w:r>
    </w:p>
    <w:p w:rsidR="00D032BE" w:rsidRPr="00D032BE" w:rsidRDefault="00D032BE" w:rsidP="00D032BE">
      <w:pPr>
        <w:pStyle w:val="Sinineloend"/>
      </w:pPr>
      <w:r w:rsidRPr="00D032BE">
        <w:t>juriidiliste isikute või õiguslike üksuste asutamine, tegevus või juhtimine ning äriühingute ost ja müük.</w:t>
      </w:r>
    </w:p>
    <w:p w:rsidR="00D032BE" w:rsidRPr="00D032BE" w:rsidRDefault="00D032BE" w:rsidP="00D032BE">
      <w:pPr>
        <w:pStyle w:val="a-thtloend"/>
      </w:pPr>
      <w:r w:rsidRPr="00D032BE">
        <w:t xml:space="preserve">e) </w:t>
      </w:r>
      <w:r w:rsidRPr="00D032BE">
        <w:tab/>
        <w:t xml:space="preserve">usaldusfondide </w:t>
      </w:r>
      <w:r w:rsidR="00EF4E6B">
        <w:t>ja äriühingute teenuste pakkuja</w:t>
      </w:r>
      <w:r w:rsidRPr="00D032BE">
        <w:t xml:space="preserve"> – kui nad valmistavad ette või teostavad kliendi jaoks tehinguid järgmistes valdkondades:</w:t>
      </w:r>
    </w:p>
    <w:p w:rsidR="00D032BE" w:rsidRPr="00D032BE" w:rsidRDefault="00D032BE" w:rsidP="00D032BE">
      <w:pPr>
        <w:pStyle w:val="Sinineloend"/>
      </w:pPr>
      <w:r w:rsidRPr="00D032BE">
        <w:t>juriidiliste isikute asutamine;</w:t>
      </w:r>
    </w:p>
    <w:p w:rsidR="00D032BE" w:rsidRPr="00D032BE" w:rsidRDefault="00D032BE" w:rsidP="00D032BE">
      <w:pPr>
        <w:pStyle w:val="Sinineloend"/>
      </w:pPr>
      <w:r w:rsidRPr="00D032BE">
        <w:t>tegutsemine juhi või juhatuse liikmena äriühingus, osanikuna täisühingus või sarnasel positsioonil teiste juriidiliste isikute juures, samuti teise isiku kõnealustele ametikohtadele asumise korraldamine;</w:t>
      </w:r>
    </w:p>
    <w:p w:rsidR="00D032BE" w:rsidRPr="00D032BE" w:rsidRDefault="00D032BE" w:rsidP="00D032BE">
      <w:pPr>
        <w:pStyle w:val="Sinineloend"/>
      </w:pPr>
      <w:r w:rsidRPr="00D032BE">
        <w:t>asukoha, äritegevuse aadressi või ruumide, posti- või haldusaadressi pakkumine äriühingule, seltsingule või teistele juriidilistele isikutele või üksustele;</w:t>
      </w:r>
    </w:p>
    <w:p w:rsidR="00D032BE" w:rsidRPr="00D032BE" w:rsidRDefault="00D032BE" w:rsidP="00D032BE">
      <w:pPr>
        <w:pStyle w:val="Sinineloend"/>
      </w:pPr>
      <w:r w:rsidRPr="00D032BE">
        <w:t>tegutsemine õigusliku üksuse volinikuna või muul võrdväärsel positsioonil, samuti teise isiku kõnealusele positsioonile asumise korraldamine;</w:t>
      </w:r>
    </w:p>
    <w:p w:rsidR="00D032BE" w:rsidRPr="00D032BE" w:rsidRDefault="00D032BE" w:rsidP="00D032BE">
      <w:pPr>
        <w:pStyle w:val="Sinineloend"/>
      </w:pPr>
      <w:r w:rsidRPr="00D032BE">
        <w:t>aktsionäri esindajana tegutsemine või teiste isiku aktsionäri esindajana tegutsemise korraldamine.</w:t>
      </w:r>
    </w:p>
    <w:p w:rsidR="00D032BE" w:rsidRPr="00D032BE" w:rsidRDefault="00D032BE" w:rsidP="00D032BE">
      <w:pPr>
        <w:pStyle w:val="A-pealkiri"/>
      </w:pPr>
      <w:r w:rsidRPr="00D032BE">
        <w:t xml:space="preserve">23. </w:t>
      </w:r>
      <w:r w:rsidRPr="00D032BE">
        <w:tab/>
        <w:t xml:space="preserve">Mittefinantsteenuseid pakkuvad </w:t>
      </w:r>
      <w:r w:rsidR="00EF4E6B">
        <w:t>kohustatud</w:t>
      </w:r>
      <w:r w:rsidRPr="00D032BE">
        <w:t xml:space="preserve"> ettevõtjad ja kutsetöötajad: muud meetmed *</w:t>
      </w:r>
    </w:p>
    <w:p w:rsidR="00D032BE" w:rsidRPr="00D032BE" w:rsidRDefault="00EF4E6B" w:rsidP="00D032BE">
      <w:pPr>
        <w:pStyle w:val="kehatekst"/>
      </w:pPr>
      <w:r>
        <w:t>Soovitustes</w:t>
      </w:r>
      <w:r w:rsidR="00D63059">
        <w:t xml:space="preserve"> </w:t>
      </w:r>
      <w:r w:rsidR="00D032BE" w:rsidRPr="00D032BE">
        <w:t>18–21 sätestatud nõudeid kohaldatakse kõikidele mittefinantsteenuseid pakkuvatele määratud ettevõtjatele ja kutsetöötajatele järgmiselt:</w:t>
      </w:r>
    </w:p>
    <w:p w:rsidR="00D032BE" w:rsidRPr="00D032BE" w:rsidRDefault="00D032BE" w:rsidP="00D032BE">
      <w:pPr>
        <w:pStyle w:val="a-thtloend"/>
      </w:pPr>
      <w:r w:rsidRPr="00D032BE">
        <w:t xml:space="preserve">a) </w:t>
      </w:r>
      <w:r w:rsidRPr="00D032BE">
        <w:tab/>
        <w:t>juristidel, notaritel ja muudel sõltumatutel õigusteenuste osutajatel ning raamatupidajatel peaks olema kohustus teatada kahtlastest tehingutest, kui nad kliendi nim</w:t>
      </w:r>
      <w:r w:rsidR="00EF4E6B">
        <w:t>el või jaoks osalevad soovituse</w:t>
      </w:r>
      <w:r w:rsidR="00D63059">
        <w:t xml:space="preserve"> </w:t>
      </w:r>
      <w:r w:rsidRPr="00D032BE">
        <w:t>22 punktis d kirjeldatud valdkonnaga seotud finantstehingus. Riikidel soovitatakse tungivalt laiendada teatamisnõuet raamatupidajate muudele kutse</w:t>
      </w:r>
      <w:r w:rsidR="00EF4E6B">
        <w:t>tegevustele, sh auditeerimisele;</w:t>
      </w:r>
    </w:p>
    <w:p w:rsidR="00D032BE" w:rsidRPr="00D032BE" w:rsidRDefault="00D032BE" w:rsidP="00D032BE">
      <w:pPr>
        <w:pStyle w:val="a-thtloend"/>
      </w:pPr>
      <w:r w:rsidRPr="00D032BE">
        <w:t xml:space="preserve">b) </w:t>
      </w:r>
      <w:r w:rsidRPr="00D032BE">
        <w:tab/>
        <w:t xml:space="preserve">väärismetallide ja vääriskividega kauplejatel peaks olema kohustus teatada kahtlastest tehingutest, kui nad teevad kliendiga </w:t>
      </w:r>
      <w:r w:rsidR="00EF4E6B">
        <w:t xml:space="preserve">õigusaktides </w:t>
      </w:r>
      <w:r w:rsidRPr="00D032BE">
        <w:t>kehtestatud piirmääraga võrdseid või sellest suuremaid sularahatehinguid;</w:t>
      </w:r>
    </w:p>
    <w:p w:rsidR="00D032BE" w:rsidRPr="00D032BE" w:rsidRDefault="00D032BE" w:rsidP="00D032BE">
      <w:pPr>
        <w:pStyle w:val="a-thtloend"/>
      </w:pPr>
      <w:r w:rsidRPr="00D032BE">
        <w:t xml:space="preserve">c) </w:t>
      </w:r>
      <w:r w:rsidRPr="00D032BE">
        <w:tab/>
        <w:t>usaldusfondide ja äriühingute teenuste pakkujatel peaks olema kohustus teatada kahtlastest tehingutest, kui nad kliendi nimel või jaok</w:t>
      </w:r>
      <w:r w:rsidR="00EF4E6B">
        <w:t>s osalevad soovituse</w:t>
      </w:r>
      <w:r w:rsidR="00D63059">
        <w:t xml:space="preserve"> </w:t>
      </w:r>
      <w:r w:rsidRPr="00D032BE">
        <w:t>22 punktis e viidatud valdkonnaga seotud tehingus.</w:t>
      </w:r>
    </w:p>
    <w:p w:rsidR="00D032BE" w:rsidRPr="00D032BE" w:rsidRDefault="00D032BE" w:rsidP="00D032BE">
      <w:pPr>
        <w:pStyle w:val="A-pealkiri"/>
      </w:pPr>
      <w:r w:rsidRPr="00D032BE">
        <w:lastRenderedPageBreak/>
        <w:t xml:space="preserve">E. </w:t>
      </w:r>
      <w:r w:rsidRPr="00D032BE">
        <w:tab/>
        <w:t xml:space="preserve">JURIIDILISTE ISIKUTE JA </w:t>
      </w:r>
      <w:r w:rsidR="005A3486">
        <w:t xml:space="preserve">TEISTE LEPINGULISTE </w:t>
      </w:r>
      <w:r w:rsidRPr="00D032BE">
        <w:t>ÕIGUSLIKE ÜKSUSTE LÄBIPAISTVUS JA TEGELIK</w:t>
      </w:r>
      <w:r w:rsidR="005A3486">
        <w:t>UD</w:t>
      </w:r>
      <w:r w:rsidRPr="00D032BE">
        <w:t xml:space="preserve"> KASUSAAJA</w:t>
      </w:r>
      <w:r w:rsidR="005A3486">
        <w:t>D</w:t>
      </w:r>
    </w:p>
    <w:p w:rsidR="00D032BE" w:rsidRPr="00D032BE" w:rsidRDefault="00D032BE" w:rsidP="00D032BE">
      <w:pPr>
        <w:pStyle w:val="A-pealkiri"/>
      </w:pPr>
      <w:r w:rsidRPr="00D032BE">
        <w:t xml:space="preserve">24. </w:t>
      </w:r>
      <w:r w:rsidRPr="00D032BE">
        <w:tab/>
        <w:t>Juriidiliste isikute läbipaistvus ja tegelikud kasusaajad *</w:t>
      </w:r>
    </w:p>
    <w:p w:rsidR="00D032BE" w:rsidRPr="00D032BE" w:rsidRDefault="00D032BE" w:rsidP="00D032BE">
      <w:pPr>
        <w:pStyle w:val="kehatekst"/>
      </w:pPr>
      <w:r w:rsidRPr="00D032BE">
        <w:t xml:space="preserve">Riigid peaksid võtma meetmeid takistamaks juriidiliste isikute kuritarvitamist rahapesuks või terrorismi rahastamiseks. Riigid peaksid tagama selle, et on olemas juriidiliste isikute tegelikke kasusaajaid ja kontrollivaid omanikke </w:t>
      </w:r>
      <w:r w:rsidR="005A3486">
        <w:t>kajastav</w:t>
      </w:r>
      <w:r w:rsidRPr="00D032BE">
        <w:t xml:space="preserve"> piisav, täpne ja õigeaegne teave, mis oleks pädevatele asutustele õigeaegselt </w:t>
      </w:r>
      <w:r w:rsidR="005A3486">
        <w:t>kättesaadav või millele oleks</w:t>
      </w:r>
      <w:r w:rsidR="005A3486" w:rsidRPr="00D032BE">
        <w:t xml:space="preserve"> </w:t>
      </w:r>
      <w:r w:rsidR="005A3486">
        <w:t>tagatud ligipääs.</w:t>
      </w:r>
      <w:r w:rsidRPr="00D032BE">
        <w:t xml:space="preserve"> Eelkõige peaksid riigid, kus juriidilised isikud võivad välja anda esitajaaktsiaid või esitajaaktsiate </w:t>
      </w:r>
      <w:r w:rsidR="005A3486">
        <w:t>ostuõigusi tagavaid lepinguid</w:t>
      </w:r>
      <w:r w:rsidRPr="00D032BE">
        <w:t xml:space="preserve"> või kus on lubatud aktsionäride esindajate või juhatajate esindajate kasutamine, rakendama tõhusaid meetmeid tagamaks, et neid ei kasutataks rahapesuks või terrorismi rahastamiseks. Riigid peaksid kaaluma selliste meetmete rakendamist, mis hõlbustaksid soovitustes 10 ja 22 sätestatud nõudeid täitvate </w:t>
      </w:r>
      <w:r w:rsidR="006043CB">
        <w:t>finantsasutus</w:t>
      </w:r>
      <w:r w:rsidRPr="00D032BE">
        <w:t xml:space="preserve">te ja mittefinantsteenuseid pakkuvate </w:t>
      </w:r>
      <w:r w:rsidR="005A3486">
        <w:t>kohustatud</w:t>
      </w:r>
      <w:r w:rsidRPr="00D032BE">
        <w:t xml:space="preserve"> ettevõtjate ja kutsetöötajate juurdepääsu juriidiliste isikute tegelikke kasusaajaid ja kontrollivaid omanikke </w:t>
      </w:r>
      <w:r w:rsidR="005A3486">
        <w:t>kajastavale</w:t>
      </w:r>
      <w:r w:rsidRPr="00D032BE">
        <w:t xml:space="preserve"> teabele.</w:t>
      </w:r>
    </w:p>
    <w:p w:rsidR="00D032BE" w:rsidRPr="00D032BE" w:rsidRDefault="00D032BE" w:rsidP="00D032BE">
      <w:pPr>
        <w:pStyle w:val="A-pealkiri"/>
      </w:pPr>
      <w:r w:rsidRPr="00D032BE">
        <w:t xml:space="preserve">25. </w:t>
      </w:r>
      <w:r w:rsidRPr="00D032BE">
        <w:tab/>
      </w:r>
      <w:r w:rsidR="005A3486">
        <w:t>Lepinguliste õ</w:t>
      </w:r>
      <w:r w:rsidRPr="00D032BE">
        <w:t>iguslike üksuste läbipaistvus ja tegelikud kasusaajad *</w:t>
      </w:r>
    </w:p>
    <w:p w:rsidR="00D032BE" w:rsidRPr="00D032BE" w:rsidRDefault="00D032BE" w:rsidP="00D032BE">
      <w:pPr>
        <w:pStyle w:val="kehatekst"/>
      </w:pPr>
      <w:r w:rsidRPr="00D032BE">
        <w:t>Riigid peaksid võtma meetmeid takistamaks õiguslike üksuste kuritarvitamist rahapesuks või terrorismi rahastamiseks. Eelkõige peaksid riigid tagama, et usalduslepingu alusel tegutsevate fondide (</w:t>
      </w:r>
      <w:proofErr w:type="spellStart"/>
      <w:r w:rsidRPr="00D032BE">
        <w:rPr>
          <w:i/>
        </w:rPr>
        <w:t>express</w:t>
      </w:r>
      <w:proofErr w:type="spellEnd"/>
      <w:r w:rsidRPr="00D032BE">
        <w:rPr>
          <w:i/>
        </w:rPr>
        <w:t xml:space="preserve"> trust</w:t>
      </w:r>
      <w:r w:rsidRPr="00D032BE">
        <w:t xml:space="preserve">), sh nende usaldusvara haldajate, volinike ja kasusaajate kohta on olemas piisav, täpne ja õigeaegne teave, mis on pädevatele asutustele õigeaegselt </w:t>
      </w:r>
      <w:r w:rsidR="005A3486">
        <w:t>ligipääsetav</w:t>
      </w:r>
      <w:r w:rsidRPr="00D032BE">
        <w:t xml:space="preserve"> või kättesaadav. Riigid peaksid kaaluma selliste meetmete rakendamist, mis hõlbustaksid</w:t>
      </w:r>
      <w:r w:rsidR="005A3486">
        <w:t xml:space="preserve"> soovitustes</w:t>
      </w:r>
      <w:r w:rsidR="00D63059">
        <w:t xml:space="preserve"> </w:t>
      </w:r>
      <w:r w:rsidRPr="00D032BE">
        <w:t xml:space="preserve">10 ja 22 sätestatud nõudeid täitvate </w:t>
      </w:r>
      <w:r w:rsidR="006043CB">
        <w:t>finantsasutus</w:t>
      </w:r>
      <w:r w:rsidRPr="00D032BE">
        <w:t>te ja mittefinantsteenuseid pakkuvate määratud ettevõtjate ja kutsetöötajate juurdepääsu juriidiliste isikute teg</w:t>
      </w:r>
      <w:r w:rsidR="00702B27">
        <w:t xml:space="preserve">elikke kasusaajaid ja kontrolli omamist </w:t>
      </w:r>
      <w:r w:rsidR="005A3486">
        <w:t>kajastavale</w:t>
      </w:r>
      <w:r w:rsidRPr="00D032BE">
        <w:t xml:space="preserve"> teabele.</w:t>
      </w:r>
    </w:p>
    <w:p w:rsidR="00D032BE" w:rsidRPr="00D032BE" w:rsidRDefault="00D032BE" w:rsidP="00D032BE">
      <w:pPr>
        <w:rPr>
          <w:rFonts w:ascii="Cambria" w:hAnsi="Cambria"/>
          <w:sz w:val="21"/>
          <w:szCs w:val="21"/>
          <w:lang w:val="et-EE"/>
        </w:rPr>
      </w:pPr>
      <w:r w:rsidRPr="00D032BE">
        <w:rPr>
          <w:lang w:val="et-EE"/>
        </w:rPr>
        <w:br w:type="page"/>
      </w:r>
    </w:p>
    <w:p w:rsidR="00D032BE" w:rsidRPr="00D032BE" w:rsidRDefault="00D032BE" w:rsidP="00D032BE">
      <w:pPr>
        <w:pStyle w:val="A-pealkiri"/>
      </w:pPr>
      <w:r w:rsidRPr="00D032BE">
        <w:lastRenderedPageBreak/>
        <w:t xml:space="preserve">F. </w:t>
      </w:r>
      <w:r w:rsidRPr="00D032BE">
        <w:tab/>
        <w:t>PÄDEVATE ASUTUSTE VOLITUSED JA KOHUSTUSED NING MUUD INSTITUTSIO</w:t>
      </w:r>
      <w:r w:rsidR="00890E8A">
        <w:t>NAALSED</w:t>
      </w:r>
      <w:r w:rsidRPr="00D032BE">
        <w:t xml:space="preserve"> MEETMED</w:t>
      </w:r>
    </w:p>
    <w:p w:rsidR="00D032BE" w:rsidRPr="00D032BE" w:rsidRDefault="00D032BE" w:rsidP="00D032BE">
      <w:pPr>
        <w:pStyle w:val="Pealkiri3"/>
      </w:pPr>
      <w:r w:rsidRPr="00D032BE">
        <w:t>REGULEERIMINE JA JÄRELEVALVE</w:t>
      </w:r>
    </w:p>
    <w:p w:rsidR="00D032BE" w:rsidRPr="00D032BE" w:rsidRDefault="00D032BE" w:rsidP="00D032BE">
      <w:pPr>
        <w:pStyle w:val="A-pealkiri"/>
      </w:pPr>
      <w:r w:rsidRPr="00D032BE">
        <w:t xml:space="preserve">26. </w:t>
      </w:r>
      <w:r w:rsidRPr="00D032BE">
        <w:tab/>
      </w:r>
      <w:r w:rsidR="006043CB">
        <w:t>Finantsasutus</w:t>
      </w:r>
      <w:r w:rsidR="00360C40">
        <w:t>te reguleerimine ja järelevalve</w:t>
      </w:r>
      <w:r w:rsidRPr="00D032BE">
        <w:t>*</w:t>
      </w:r>
    </w:p>
    <w:p w:rsidR="00D032BE" w:rsidRPr="00D032BE" w:rsidRDefault="00D032BE" w:rsidP="00D032BE">
      <w:pPr>
        <w:pStyle w:val="kehatekst"/>
      </w:pPr>
      <w:r w:rsidRPr="00D032BE">
        <w:t xml:space="preserve">Riigid peaksid tagama, et </w:t>
      </w:r>
      <w:r w:rsidR="006043CB">
        <w:t>finantsasutus</w:t>
      </w:r>
      <w:r w:rsidRPr="00D032BE">
        <w:t xml:space="preserve">ed allutatakse piisavale </w:t>
      </w:r>
      <w:r w:rsidR="00A35E9F">
        <w:t>regulatsioonidel</w:t>
      </w:r>
      <w:r w:rsidRPr="00D032BE">
        <w:t>e ja järelevalvele ning et nad rakendavad tulemuslikult FATFi soovitusi. Pädevad asutused või finantsjärelevalve teostajad peaksid seaduse või määruse tasandil rakendama vajalikke meetmeid, takistamaks kurjategijatel või nende kaas</w:t>
      </w:r>
      <w:r w:rsidR="00A35E9F">
        <w:t>osalistel</w:t>
      </w:r>
      <w:r w:rsidRPr="00D032BE">
        <w:t xml:space="preserve"> omada olulist osalust </w:t>
      </w:r>
      <w:r w:rsidR="006043CB">
        <w:t>finantsasutus</w:t>
      </w:r>
      <w:r w:rsidRPr="00D032BE">
        <w:t xml:space="preserve">es, olla sellise olulise või kontrolliva osaluse tegelik kasusaaja või </w:t>
      </w:r>
      <w:r w:rsidR="006043CB">
        <w:t>finantsasutus</w:t>
      </w:r>
      <w:r w:rsidRPr="00D032BE">
        <w:t>e juhtivtöötaja. Riigid ei tohiks heaks kiita varipankade asutamist või jätkuvat tegutsemist.</w:t>
      </w:r>
    </w:p>
    <w:p w:rsidR="00D032BE" w:rsidRPr="00D032BE" w:rsidRDefault="006043CB" w:rsidP="00D032BE">
      <w:pPr>
        <w:pStyle w:val="kehatekst"/>
      </w:pPr>
      <w:r>
        <w:t>Finantsasutus</w:t>
      </w:r>
      <w:r w:rsidR="00BA03D9">
        <w:t>tele, mis peavad järgima p</w:t>
      </w:r>
      <w:r w:rsidR="00D032BE" w:rsidRPr="00D032BE">
        <w:t>õhiprintsiipe (</w:t>
      </w:r>
      <w:proofErr w:type="spellStart"/>
      <w:r w:rsidR="00D032BE" w:rsidRPr="00D032BE">
        <w:rPr>
          <w:i/>
        </w:rPr>
        <w:t>Core</w:t>
      </w:r>
      <w:proofErr w:type="spellEnd"/>
      <w:r w:rsidR="00D032BE" w:rsidRPr="00D032BE">
        <w:rPr>
          <w:i/>
        </w:rPr>
        <w:t xml:space="preserve"> </w:t>
      </w:r>
      <w:proofErr w:type="spellStart"/>
      <w:r w:rsidR="00D032BE" w:rsidRPr="00D032BE">
        <w:rPr>
          <w:i/>
        </w:rPr>
        <w:t>Principles</w:t>
      </w:r>
      <w:proofErr w:type="spellEnd"/>
      <w:r w:rsidR="00D032BE" w:rsidRPr="00D032BE">
        <w:t xml:space="preserve"> – vt sõnaseletused), tuleks usaldusnormatiivide kontrollimise eesmärgil rakendatavaid ja rahapesu seisukohast olulisi regulatiiv- ja järelevalvemeetmeid </w:t>
      </w:r>
      <w:r w:rsidR="00CF6A65">
        <w:t>rakendada</w:t>
      </w:r>
      <w:r w:rsidR="00CF6A65" w:rsidRPr="00D032BE">
        <w:t xml:space="preserve"> </w:t>
      </w:r>
      <w:r w:rsidR="00D032BE" w:rsidRPr="00D032BE">
        <w:t xml:space="preserve">samamoodi ka rahapesu ja terrorismi rahastamise tõkestamise eesmärgil. </w:t>
      </w:r>
      <w:r w:rsidR="00174993" w:rsidRPr="00174993">
        <w:t xml:space="preserve">See peaks hõlmama ka konsolideeritud kontserni järelevalvet </w:t>
      </w:r>
      <w:r w:rsidR="002A32CF">
        <w:t>rahapesu</w:t>
      </w:r>
      <w:r w:rsidR="00174993" w:rsidRPr="00174993">
        <w:t xml:space="preserve"> ja terrorismi rahastamise </w:t>
      </w:r>
      <w:r w:rsidR="00A35E9F">
        <w:t>tõkestamise</w:t>
      </w:r>
      <w:r w:rsidR="00174993" w:rsidRPr="00174993">
        <w:t xml:space="preserve"> meetmete rakendamise üle.</w:t>
      </w:r>
    </w:p>
    <w:p w:rsidR="00D032BE" w:rsidRPr="00D032BE" w:rsidRDefault="00D032BE" w:rsidP="00D032BE">
      <w:pPr>
        <w:pStyle w:val="kehatekst"/>
      </w:pPr>
      <w:r w:rsidRPr="00D032BE">
        <w:t xml:space="preserve">Muud </w:t>
      </w:r>
      <w:r w:rsidR="006043CB">
        <w:t>finantsasutus</w:t>
      </w:r>
      <w:r w:rsidRPr="00D032BE">
        <w:t xml:space="preserve">ed peaksid olema litsentseeritud või registreeritud ja piisavalt reguleeritud ning nende suhtes tuleks teostada </w:t>
      </w:r>
      <w:r w:rsidR="002A32CF">
        <w:t>rahapesu</w:t>
      </w:r>
      <w:r w:rsidRPr="00D032BE">
        <w:t xml:space="preserve"> ja terrorismi rahastamise </w:t>
      </w:r>
      <w:r w:rsidR="00A35E9F">
        <w:t>tõkestamise</w:t>
      </w:r>
      <w:r w:rsidRPr="00D032BE">
        <w:t xml:space="preserve"> järelevalvet või seiret, võttes arvesse selles sektoris valitsevat </w:t>
      </w:r>
      <w:r w:rsidR="002A32CF">
        <w:t>rahapesu</w:t>
      </w:r>
      <w:r w:rsidRPr="00D032BE">
        <w:t xml:space="preserve"> või terrorismi rahastamise riski. Raha ja väärtuse ülekandeteenust või raha- või valuutavahetusteenust pakkuvad </w:t>
      </w:r>
      <w:r w:rsidR="006043CB">
        <w:t>finantsasutus</w:t>
      </w:r>
      <w:r w:rsidRPr="00D032BE">
        <w:t xml:space="preserve">ed peaksid olema vähemalt litsentseeritud või registreeritud ning nende kontrollimiseks ja siseriiklike </w:t>
      </w:r>
      <w:r w:rsidR="002A32CF">
        <w:t>rahapesu</w:t>
      </w:r>
      <w:r w:rsidRPr="00D032BE">
        <w:t xml:space="preserve"> ja terrorismi rahastamise </w:t>
      </w:r>
      <w:r w:rsidR="00A35E9F">
        <w:t>tõkestamise nõuete</w:t>
      </w:r>
      <w:r w:rsidR="00920BB4">
        <w:t>le vastavuse</w:t>
      </w:r>
      <w:r w:rsidRPr="00D032BE">
        <w:t xml:space="preserve"> tagamiseks peavad olema tõhusad mehhanismid.</w:t>
      </w:r>
    </w:p>
    <w:p w:rsidR="00D032BE" w:rsidRPr="00D032BE" w:rsidRDefault="00D032BE" w:rsidP="00D032BE">
      <w:pPr>
        <w:pStyle w:val="A-pealkiri"/>
      </w:pPr>
      <w:r w:rsidRPr="00D032BE">
        <w:t xml:space="preserve">27. </w:t>
      </w:r>
      <w:r w:rsidRPr="00D032BE">
        <w:tab/>
        <w:t>Järelevalveasutuste volitused</w:t>
      </w:r>
    </w:p>
    <w:p w:rsidR="00D032BE" w:rsidRPr="00D032BE" w:rsidRDefault="00D032BE" w:rsidP="00D032BE">
      <w:pPr>
        <w:pStyle w:val="kehatekst"/>
      </w:pPr>
      <w:r w:rsidRPr="00D032BE">
        <w:t xml:space="preserve">Järelevalveasutustel peaksid olema piisavad volitused, et teostada </w:t>
      </w:r>
      <w:r w:rsidR="006043CB">
        <w:t>finantsasutus</w:t>
      </w:r>
      <w:r w:rsidRPr="00D032BE">
        <w:t xml:space="preserve">te järelevalvet või seiret ja tagada </w:t>
      </w:r>
      <w:r w:rsidR="006043CB">
        <w:t>finantsasutus</w:t>
      </w:r>
      <w:r w:rsidRPr="00D032BE">
        <w:t xml:space="preserve">te vastavus </w:t>
      </w:r>
      <w:r w:rsidR="002A32CF">
        <w:t>rahapesu</w:t>
      </w:r>
      <w:r w:rsidRPr="00D032BE">
        <w:t xml:space="preserve"> ja terrorismi rahastamise </w:t>
      </w:r>
      <w:r w:rsidR="002A32CF">
        <w:t>tõkestamise</w:t>
      </w:r>
      <w:r w:rsidRPr="00D032BE">
        <w:t xml:space="preserve"> nõuetele, </w:t>
      </w:r>
      <w:r w:rsidR="00847867">
        <w:t>sh</w:t>
      </w:r>
      <w:r w:rsidRPr="00D032BE">
        <w:t xml:space="preserve"> õigus teostada kontrolli. Neil peaks olema õigus nõuda </w:t>
      </w:r>
      <w:r w:rsidR="006043CB">
        <w:t>finantsasutus</w:t>
      </w:r>
      <w:r w:rsidRPr="00D032BE">
        <w:t>telt teavet, mis on vajalik nõuete järgimise kontrollimiseks, ning rakendada nende nõuete mittejärgimise eest karistusi vastavalt soovitusele</w:t>
      </w:r>
      <w:r w:rsidR="00847867">
        <w:t xml:space="preserve"> </w:t>
      </w:r>
      <w:r w:rsidRPr="00D032BE">
        <w:t>35. Järelevalveasutustel peaksid olema volitused rakendada mitut erinevat distsiplinaar- ja finantska</w:t>
      </w:r>
      <w:r w:rsidR="00BA03D9">
        <w:t>r</w:t>
      </w:r>
      <w:r w:rsidRPr="00D032BE">
        <w:t xml:space="preserve">istust, </w:t>
      </w:r>
      <w:r w:rsidR="00847867">
        <w:t>sh</w:t>
      </w:r>
      <w:r w:rsidRPr="00D032BE">
        <w:t xml:space="preserve"> õigus </w:t>
      </w:r>
      <w:r w:rsidR="006043CB">
        <w:t>finantsasutus</w:t>
      </w:r>
      <w:r w:rsidRPr="00D032BE">
        <w:t xml:space="preserve">e </w:t>
      </w:r>
      <w:r w:rsidR="00920BB4">
        <w:t>tegevusluba</w:t>
      </w:r>
      <w:r w:rsidRPr="00D032BE">
        <w:t xml:space="preserve"> vastavalt asjaoludele </w:t>
      </w:r>
      <w:r w:rsidR="00920BB4">
        <w:t>kehtetuks tunnistada</w:t>
      </w:r>
      <w:r w:rsidRPr="00D032BE">
        <w:t>, piirata või peatada</w:t>
      </w:r>
      <w:r w:rsidR="00920BB4">
        <w:t xml:space="preserve"> üksikute teenuste osutamist</w:t>
      </w:r>
      <w:r w:rsidRPr="00D032BE">
        <w:t>.</w:t>
      </w:r>
    </w:p>
    <w:p w:rsidR="00D032BE" w:rsidRPr="00D032BE" w:rsidRDefault="00D032BE" w:rsidP="00D032BE">
      <w:pPr>
        <w:pStyle w:val="A-pealkiri"/>
      </w:pPr>
      <w:r w:rsidRPr="00D032BE">
        <w:lastRenderedPageBreak/>
        <w:t xml:space="preserve">28. </w:t>
      </w:r>
      <w:r w:rsidRPr="00D032BE">
        <w:tab/>
        <w:t xml:space="preserve">Mittefinantsteenuseid pakkuvate </w:t>
      </w:r>
      <w:r w:rsidR="00890E8A">
        <w:t>kohustatud</w:t>
      </w:r>
      <w:r w:rsidRPr="00D032BE">
        <w:t xml:space="preserve"> ettevõtjate ja kutsetöötajate reguleerimine ja järelevalve *</w:t>
      </w:r>
    </w:p>
    <w:p w:rsidR="00D032BE" w:rsidRPr="00D032BE" w:rsidRDefault="00D032BE" w:rsidP="00F04FDB">
      <w:pPr>
        <w:pStyle w:val="kehatekst"/>
        <w:tabs>
          <w:tab w:val="left" w:pos="1843"/>
        </w:tabs>
      </w:pPr>
      <w:r w:rsidRPr="00D032BE">
        <w:t xml:space="preserve">Mittefinantsteenuseid pakkuvate määratud ettevõtjate ja kutsetöötajate suhtes tuleks </w:t>
      </w:r>
      <w:r w:rsidR="00F04FDB">
        <w:t>rakendada</w:t>
      </w:r>
      <w:r w:rsidR="00F04FDB" w:rsidRPr="00D032BE">
        <w:t xml:space="preserve"> </w:t>
      </w:r>
      <w:r w:rsidRPr="00D032BE">
        <w:t>järgmisi regulatiiv- ja järelevalvemeetmeid:</w:t>
      </w:r>
    </w:p>
    <w:p w:rsidR="00D032BE" w:rsidRPr="00D032BE" w:rsidRDefault="00D032BE" w:rsidP="00D032BE">
      <w:pPr>
        <w:pStyle w:val="a-thtloend"/>
        <w:rPr>
          <w:szCs w:val="24"/>
        </w:rPr>
      </w:pPr>
      <w:r w:rsidRPr="00D032BE">
        <w:rPr>
          <w:szCs w:val="24"/>
        </w:rPr>
        <w:t xml:space="preserve">a) </w:t>
      </w:r>
      <w:r w:rsidRPr="00D032BE">
        <w:rPr>
          <w:szCs w:val="24"/>
        </w:rPr>
        <w:tab/>
        <w:t xml:space="preserve">kasiinode suhtes tuleks kehtestada üldine regulatiiv- ja järelevalvekord, millega tagatakse, et kasiinodes rakendatakse tulemuslikult vajalikke </w:t>
      </w:r>
      <w:r w:rsidR="002A32CF">
        <w:rPr>
          <w:szCs w:val="24"/>
        </w:rPr>
        <w:t>rahapesu</w:t>
      </w:r>
      <w:r w:rsidRPr="00D032BE">
        <w:rPr>
          <w:szCs w:val="24"/>
        </w:rPr>
        <w:t xml:space="preserve"> ja terrorismi rahastamise </w:t>
      </w:r>
      <w:r w:rsidR="002A32CF">
        <w:rPr>
          <w:szCs w:val="24"/>
        </w:rPr>
        <w:t>tõkestamise</w:t>
      </w:r>
      <w:r w:rsidRPr="00D032BE">
        <w:rPr>
          <w:szCs w:val="24"/>
        </w:rPr>
        <w:t xml:space="preserve"> meetmeid</w:t>
      </w:r>
      <w:r w:rsidRPr="00D032BE">
        <w:rPr>
          <w:rStyle w:val="a-thtloendMrk"/>
          <w:sz w:val="24"/>
          <w:szCs w:val="24"/>
        </w:rPr>
        <w:t>. Miinimumnõuded</w:t>
      </w:r>
      <w:r w:rsidRPr="00D032BE">
        <w:rPr>
          <w:szCs w:val="24"/>
        </w:rPr>
        <w:t>:</w:t>
      </w:r>
    </w:p>
    <w:p w:rsidR="00D032BE" w:rsidRPr="00D032BE" w:rsidRDefault="00D032BE" w:rsidP="00D032BE">
      <w:pPr>
        <w:pStyle w:val="Sinineloend"/>
      </w:pPr>
      <w:r w:rsidRPr="00D032BE">
        <w:t>kasiinodel peaks olema tegevusluba;</w:t>
      </w:r>
    </w:p>
    <w:p w:rsidR="00D032BE" w:rsidRPr="00D032BE" w:rsidRDefault="00D032BE" w:rsidP="00D032BE">
      <w:pPr>
        <w:pStyle w:val="Sinineloend"/>
      </w:pPr>
      <w:r w:rsidRPr="00D032BE">
        <w:t>pädevad asutused peaksid seaduse või määruse tasandil rakendama vajalikke meetmeid, takistamaks kurjategijatel või nende kaasaaitajatel omada olulist või kontrollivat osalust kasiinos, olla sellise olulise või kontrolliva osaluse tegelik kasusaaja või kasiino juhtivtöötaja või pidaja; ja</w:t>
      </w:r>
    </w:p>
    <w:p w:rsidR="00D032BE" w:rsidRPr="00D032BE" w:rsidRDefault="00D032BE" w:rsidP="00D032BE">
      <w:pPr>
        <w:pStyle w:val="Sinineloend"/>
      </w:pPr>
      <w:r w:rsidRPr="00D032BE">
        <w:t xml:space="preserve">pädevad asutused peaksid tagama, et kasiinode üle teostatakse tõhusat järelevalvet seoses </w:t>
      </w:r>
      <w:r w:rsidR="002A32CF">
        <w:t>rahapesu</w:t>
      </w:r>
      <w:r w:rsidRPr="00D032BE">
        <w:t xml:space="preserve"> ja terrorismi rahastamise </w:t>
      </w:r>
      <w:r w:rsidR="002A32CF">
        <w:t>tõkestamise</w:t>
      </w:r>
      <w:r w:rsidRPr="00D032BE">
        <w:t xml:space="preserve"> nõuete </w:t>
      </w:r>
      <w:r w:rsidR="006F4DF2">
        <w:t>kohaldamisega</w:t>
      </w:r>
      <w:r w:rsidRPr="00D032BE">
        <w:t>.</w:t>
      </w:r>
    </w:p>
    <w:p w:rsidR="00D032BE" w:rsidRPr="00D032BE" w:rsidRDefault="00D032BE" w:rsidP="00D032BE">
      <w:pPr>
        <w:pStyle w:val="a-thtloend"/>
      </w:pPr>
      <w:r w:rsidRPr="00D032BE">
        <w:t xml:space="preserve">b) </w:t>
      </w:r>
      <w:r w:rsidRPr="00D032BE">
        <w:tab/>
        <w:t xml:space="preserve">riigid peaksid tagama, et mittefinantsteenuseid pakkuvate määratud ettevõtjate ja kutsetöötajate muude kategooriate suhtes kohaldatakse tõhusaid </w:t>
      </w:r>
      <w:r w:rsidR="006F4DF2">
        <w:t>meetmeid</w:t>
      </w:r>
      <w:r w:rsidRPr="00D032BE">
        <w:t xml:space="preserve"> </w:t>
      </w:r>
      <w:r w:rsidR="002A32CF">
        <w:t>rahapesu</w:t>
      </w:r>
      <w:r w:rsidRPr="00D032BE">
        <w:t xml:space="preserve"> ja terrorismi rahastamise </w:t>
      </w:r>
      <w:r w:rsidR="002A32CF">
        <w:t>tõkestamise</w:t>
      </w:r>
      <w:r w:rsidRPr="00D032BE">
        <w:t xml:space="preserve"> nõuete järgimise kontrollimiseks ja tagamiseks. Seejuures tuleks lähtuda riskipõhisest lähenemisest. Seda võib teostada a) järelevalveasutus või b) asjakohane isereguleeruv organ</w:t>
      </w:r>
      <w:r w:rsidR="006F4DF2">
        <w:t>isatsioon</w:t>
      </w:r>
      <w:r w:rsidRPr="00D032BE">
        <w:t>, kui selline organ</w:t>
      </w:r>
      <w:r w:rsidR="006F4DF2">
        <w:t>isatsioon</w:t>
      </w:r>
      <w:r w:rsidRPr="00D032BE">
        <w:t xml:space="preserve"> suudab tagada, et tema liikmed täidavad oma kohustust võidelda rahapesu ja terrorismi rahastamise vastu.</w:t>
      </w:r>
    </w:p>
    <w:p w:rsidR="00D032BE" w:rsidRPr="00D032BE" w:rsidRDefault="00D032BE" w:rsidP="00D032BE">
      <w:pPr>
        <w:pStyle w:val="a-thtloend"/>
        <w:ind w:firstLine="1"/>
      </w:pPr>
      <w:r w:rsidRPr="00D032BE">
        <w:t>Järelevalveasutus või isereguleeruv organ</w:t>
      </w:r>
      <w:r w:rsidR="006F4DF2">
        <w:t>isatsioon</w:t>
      </w:r>
      <w:r w:rsidRPr="00D032BE">
        <w:t xml:space="preserve"> peaks ka a) rakendama vajalikke meetmeid, takistamaks kurjategijate või nende kaasaaitajate kutsealast akrediteerimist või takistamaks neil omada olulist või kontrollivat osalust või olla olulise või kontrolliva osaluse tegelik kasusaaja või juhtivtöötaja, nt hinnates isikuid sobivuse (</w:t>
      </w:r>
      <w:r w:rsidRPr="00D032BE">
        <w:rPr>
          <w:i/>
        </w:rPr>
        <w:t>„</w:t>
      </w:r>
      <w:proofErr w:type="spellStart"/>
      <w:r w:rsidRPr="00D032BE">
        <w:rPr>
          <w:i/>
        </w:rPr>
        <w:t>fit</w:t>
      </w:r>
      <w:proofErr w:type="spellEnd"/>
      <w:r w:rsidRPr="00D032BE">
        <w:rPr>
          <w:i/>
        </w:rPr>
        <w:t xml:space="preserve"> and </w:t>
      </w:r>
      <w:proofErr w:type="spellStart"/>
      <w:r w:rsidRPr="00D032BE">
        <w:rPr>
          <w:i/>
        </w:rPr>
        <w:t>proper</w:t>
      </w:r>
      <w:proofErr w:type="spellEnd"/>
      <w:r w:rsidRPr="00D032BE">
        <w:rPr>
          <w:i/>
        </w:rPr>
        <w:t>”</w:t>
      </w:r>
      <w:r w:rsidRPr="00D032BE">
        <w:t xml:space="preserve">) kontrolli alusel; ning b) rakendama </w:t>
      </w:r>
      <w:r w:rsidR="002A32CF">
        <w:t>rahapesu</w:t>
      </w:r>
      <w:r w:rsidRPr="00D032BE">
        <w:t xml:space="preserve"> ja terrorismi rahastamise </w:t>
      </w:r>
      <w:r w:rsidR="002A32CF">
        <w:t>tõkestamise</w:t>
      </w:r>
      <w:r w:rsidRPr="00D032BE">
        <w:t xml:space="preserve"> nõuete mittetäitmise korral t</w:t>
      </w:r>
      <w:r w:rsidR="004F64DC">
        <w:t>õhusaid</w:t>
      </w:r>
      <w:r w:rsidRPr="00D032BE">
        <w:t xml:space="preserve">, proportsionaalseid ja </w:t>
      </w:r>
      <w:r w:rsidR="004F64DC">
        <w:t>hoiatavaid karistusi</w:t>
      </w:r>
      <w:r w:rsidR="006F4DF2">
        <w:t xml:space="preserve"> kooskõlas soovitusega</w:t>
      </w:r>
      <w:r w:rsidR="00D63059">
        <w:t xml:space="preserve"> </w:t>
      </w:r>
      <w:r w:rsidRPr="00D032BE">
        <w:t>35.</w:t>
      </w:r>
    </w:p>
    <w:p w:rsidR="00D032BE" w:rsidRPr="00D032BE" w:rsidRDefault="00D032BE" w:rsidP="00D032BE">
      <w:pPr>
        <w:pStyle w:val="Pealkiri3"/>
      </w:pPr>
      <w:r w:rsidRPr="00D032BE">
        <w:t>ÕIGUSKAITS</w:t>
      </w:r>
      <w:r w:rsidR="00890E8A">
        <w:t>E- JA UURIMIS</w:t>
      </w:r>
      <w:r w:rsidRPr="00D032BE">
        <w:t>ASUTUSED</w:t>
      </w:r>
    </w:p>
    <w:p w:rsidR="00D032BE" w:rsidRPr="00D032BE" w:rsidRDefault="00D032BE" w:rsidP="00D032BE">
      <w:pPr>
        <w:pStyle w:val="A-pealkiri"/>
      </w:pPr>
      <w:r w:rsidRPr="00D032BE">
        <w:t xml:space="preserve">29. </w:t>
      </w:r>
      <w:r w:rsidRPr="00D032BE">
        <w:tab/>
      </w:r>
      <w:r w:rsidR="00D86A5F">
        <w:t>Rahapesu andmebüroo</w:t>
      </w:r>
      <w:r w:rsidRPr="00D032BE">
        <w:t xml:space="preserve"> *</w:t>
      </w:r>
    </w:p>
    <w:p w:rsidR="00D032BE" w:rsidRPr="00D032BE" w:rsidRDefault="00D032BE" w:rsidP="00D032BE">
      <w:pPr>
        <w:pStyle w:val="kehatekst"/>
      </w:pPr>
      <w:r w:rsidRPr="00D032BE">
        <w:t xml:space="preserve">Riigid peaksid looma </w:t>
      </w:r>
      <w:r w:rsidR="00D86A5F">
        <w:t>Rahapesu andmebüroo</w:t>
      </w:r>
      <w:r w:rsidRPr="00D032BE">
        <w:t xml:space="preserve">, mis tegutseb a) kahtlasi tehinguid puudutavate teadete ja b) muu rahapesu, sellega seotud eelkuritegude ja terrorismi rahastamisega seotud teabe kogumise ja analüüsimise ning selle analüüsi tulemuste levitamise siseriikliku keskusena. </w:t>
      </w:r>
      <w:r w:rsidR="00D86A5F">
        <w:t>Rahapesu andmebüroo</w:t>
      </w:r>
      <w:r w:rsidRPr="00D032BE">
        <w:t xml:space="preserve">l </w:t>
      </w:r>
      <w:r w:rsidRPr="00D032BE">
        <w:lastRenderedPageBreak/>
        <w:t>peaks olema võimalik saada aruandvatelt üksustelt lisateavet ja ta peaks omama õigeaegset juurdepääsu finants-, haldus- ja õiguskaitsealasele teabele, mida ta vajab oma ülesannete nõuetekohaseks täitmiseks.</w:t>
      </w:r>
    </w:p>
    <w:p w:rsidR="00D032BE" w:rsidRPr="00D032BE" w:rsidRDefault="00D032BE" w:rsidP="00D032BE">
      <w:pPr>
        <w:pStyle w:val="A-pealkiri"/>
      </w:pPr>
      <w:r w:rsidRPr="00D032BE">
        <w:t xml:space="preserve">30. </w:t>
      </w:r>
      <w:r w:rsidRPr="00D032BE">
        <w:tab/>
        <w:t>Õiguskaitse- ja uurimisorganite kohustused *</w:t>
      </w:r>
    </w:p>
    <w:p w:rsidR="00D032BE" w:rsidRPr="00D032BE" w:rsidRDefault="00D032BE" w:rsidP="00D032BE">
      <w:pPr>
        <w:pStyle w:val="kehatekst"/>
      </w:pPr>
      <w:r w:rsidRPr="00D032BE">
        <w:t xml:space="preserve">Riigid peaksid tagama, et kindlaksmääratud õiguskaitseorganitel on siseriikliku </w:t>
      </w:r>
      <w:r w:rsidR="002A32CF">
        <w:t>rahapesu</w:t>
      </w:r>
      <w:r w:rsidRPr="00D032BE">
        <w:t xml:space="preserve"> ja terrorismi rahastamise tõkestamise poliitika raames kohustus uurida </w:t>
      </w:r>
      <w:r w:rsidR="002A32CF">
        <w:t>rahapesu</w:t>
      </w:r>
      <w:r w:rsidRPr="00D032BE">
        <w:t xml:space="preserve"> ja terrorismi rahastamise juhtumeid. Vähemalt kõikide suurt tulu tootvate kuritegude korral peaksid need õiguskaitseorganid rahapesu, sellega seotud eelkuritegude ja terrorismi rahastamist uurides algatama paralleelse ennetava finantsjuurdluse, kaasa arvatud juhul, kui eelkuritegu toimub väljaspool nende jurisdiktsiooni. </w:t>
      </w:r>
      <w:r w:rsidRPr="00D86A5F">
        <w:t xml:space="preserve">Riigid peaksid tagama, et pädevatel asutustel on kohustus kiiresti välja selgitada, leida ja </w:t>
      </w:r>
      <w:r w:rsidR="00D86A5F" w:rsidRPr="00D86A5F">
        <w:t>rakendad</w:t>
      </w:r>
      <w:r w:rsidRPr="00D86A5F">
        <w:t xml:space="preserve">a meetmed sellise vara blokeerimiseks ja arestimiseks, mis kuulub või võib kuuluda konfiskeerimisele või mis on </w:t>
      </w:r>
      <w:r w:rsidR="00D86A5F" w:rsidRPr="00D86A5F">
        <w:t>kahtluse kohaselt</w:t>
      </w:r>
      <w:r w:rsidRPr="00D86A5F">
        <w:t xml:space="preserve"> kriminaaltulu.</w:t>
      </w:r>
      <w:r w:rsidRPr="00D032BE">
        <w:t xml:space="preserve"> Vajaduse korral peaksid riigid kasutama ka alalisi või ajutisi </w:t>
      </w:r>
      <w:r w:rsidR="00D86A5F">
        <w:t>majanduskuritegude uurimisele</w:t>
      </w:r>
      <w:r w:rsidRPr="00D032BE">
        <w:t xml:space="preserve"> spetsialiseerunud multidistsiplinaarseid töörühmi. Riigid peaksid tagama, et vajaduse korral toimub uurimine koostöös teiste riikide asjakohaste pädevate asutustega.</w:t>
      </w:r>
    </w:p>
    <w:p w:rsidR="00D032BE" w:rsidRPr="00D032BE" w:rsidRDefault="00D032BE" w:rsidP="00D032BE">
      <w:pPr>
        <w:pStyle w:val="A-pealkiri"/>
      </w:pPr>
      <w:r w:rsidRPr="00D032BE">
        <w:t xml:space="preserve">31. </w:t>
      </w:r>
      <w:r w:rsidRPr="00D032BE">
        <w:tab/>
        <w:t>Õiguskaitse- ja uurimisorganite volitused</w:t>
      </w:r>
    </w:p>
    <w:p w:rsidR="00D032BE" w:rsidRPr="00D032BE" w:rsidRDefault="00D032BE" w:rsidP="00D032BE">
      <w:pPr>
        <w:pStyle w:val="kehatekst"/>
      </w:pPr>
      <w:r w:rsidRPr="00D032BE">
        <w:t xml:space="preserve">Rahapesu ja sellega seotud eelkuritegude ning terrorismi rahastamise uurimisel peaks pädevatel asutustel olema võimalik saada juurdepääs uurimisel, süüdistuse esitamisel ja kohtuasjade menetlemisel kasutatavatele dokumentidele ja teabele. Sealjuures peaks neil olema volitus kasutada sunnivahendeid </w:t>
      </w:r>
      <w:r w:rsidR="006043CB">
        <w:t>finantsasutus</w:t>
      </w:r>
      <w:r w:rsidRPr="00D032BE">
        <w:t>te, mittefinantsteenuseid pakkuvate määratud ettevõtjate ja kutsetöötajate ja muude füüsiliste või juriidiliste isikute valduses olevate andmete hankimiseks, isikute ja ruumide läbiotsimiseks, tunnistajatelt ütluste võtmiseks ning tõendite konfiskeerimiseks ja hankimiseks.</w:t>
      </w:r>
    </w:p>
    <w:p w:rsidR="00D032BE" w:rsidRPr="00D032BE" w:rsidRDefault="00D032BE" w:rsidP="00D032BE">
      <w:pPr>
        <w:pStyle w:val="kehatekst"/>
      </w:pPr>
      <w:r w:rsidRPr="00D032BE">
        <w:t>Riigid peaksid tagama, et uurimist teostavatel pädevatel asutustel on võimalik kasutada paljusid erinevaid uurimismeetodeid, mis sobivad rahapesu, sellega seotud eelkuritegude ja terrorismi rahastamise juhtumite uurimiseks. Need uurimismeetodid hõlmavad järgmist: varjatud uurimine, sidevahendite pealtkuulamine, juurdepääs arvutisüsteemidele ja kontrolli</w:t>
      </w:r>
      <w:r w:rsidR="00D86A5F">
        <w:t>tav tarne. Lisaks peaksid riigid rakendama</w:t>
      </w:r>
      <w:r w:rsidRPr="00D032BE">
        <w:t xml:space="preserve"> tõhusa</w:t>
      </w:r>
      <w:r w:rsidR="00D86A5F">
        <w:t>i</w:t>
      </w:r>
      <w:r w:rsidRPr="00D032BE">
        <w:t xml:space="preserve">d </w:t>
      </w:r>
      <w:r w:rsidR="00D86A5F">
        <w:t>meetmeid</w:t>
      </w:r>
      <w:r w:rsidRPr="00D032BE">
        <w:t xml:space="preserve">, et õigeaegselt välja selgitada, kas füüsilised või juriidilised isikud omavad või kontrollivad kontosid. Samuti peaksid </w:t>
      </w:r>
      <w:r w:rsidR="00D86A5F">
        <w:t>olema rakendatud meetmed,</w:t>
      </w:r>
      <w:r w:rsidRPr="00D032BE">
        <w:t xml:space="preserve"> tagamaks, et pädevatel asutustel on võimalik tuvastada vara ilma omanikku sellest eelnevalt teavitamata. Rahapesu, sellega seotud eelkuritegude ja terrorismi rahastamise juhtumite uurimisel peaks pädevatel asutustel olema võimalik küsida kogu </w:t>
      </w:r>
      <w:r w:rsidR="00D86A5F">
        <w:t>Rahapesu andmebüroo</w:t>
      </w:r>
      <w:r w:rsidRPr="00D032BE">
        <w:t xml:space="preserve"> valduses olevat teavet.</w:t>
      </w:r>
    </w:p>
    <w:p w:rsidR="00D032BE" w:rsidRPr="00D032BE" w:rsidRDefault="00D032BE" w:rsidP="00D032BE">
      <w:pPr>
        <w:pStyle w:val="A-pealkiri"/>
      </w:pPr>
      <w:r w:rsidRPr="00D032BE">
        <w:lastRenderedPageBreak/>
        <w:t xml:space="preserve">32. </w:t>
      </w:r>
      <w:r w:rsidRPr="00D032BE">
        <w:tab/>
        <w:t>Sularahakullerid *</w:t>
      </w:r>
    </w:p>
    <w:p w:rsidR="00D032BE" w:rsidRPr="00D032BE" w:rsidRDefault="00D032BE" w:rsidP="00D032BE">
      <w:pPr>
        <w:pStyle w:val="kehatekst"/>
      </w:pPr>
      <w:r w:rsidRPr="00D032BE">
        <w:t xml:space="preserve">Riigid peaksid rakendama meetmeid valuuta ja vabalt kaubeldavate esitaja </w:t>
      </w:r>
      <w:r w:rsidR="00847867">
        <w:t>väärtpaberite</w:t>
      </w:r>
      <w:r w:rsidRPr="00D032BE">
        <w:t xml:space="preserve"> füüsilise piiriülese v</w:t>
      </w:r>
      <w:r w:rsidR="004030AE">
        <w:t>eo kindlakstegemiseks, sh deklar</w:t>
      </w:r>
      <w:r w:rsidRPr="00D032BE">
        <w:t>eerimissüsteemi ja/või andmete avaldamise süsteemi kaudu.</w:t>
      </w:r>
    </w:p>
    <w:p w:rsidR="00D032BE" w:rsidRPr="00D032BE" w:rsidRDefault="00D032BE" w:rsidP="00D032BE">
      <w:pPr>
        <w:pStyle w:val="kehatekst"/>
      </w:pPr>
      <w:r w:rsidRPr="00D032BE">
        <w:t xml:space="preserve">Riigid peaksid tagama, et nende pädevatel asutustel on seaduslikud volitused peatada või tõkestada sellise valuuta või vabalt kaubeldavate </w:t>
      </w:r>
      <w:r w:rsidRPr="004030AE">
        <w:t>esitaja</w:t>
      </w:r>
      <w:r w:rsidRPr="00D032BE">
        <w:t xml:space="preserve"> </w:t>
      </w:r>
      <w:r w:rsidR="004030AE">
        <w:t>väärtpaberite</w:t>
      </w:r>
      <w:r w:rsidRPr="00D032BE">
        <w:t xml:space="preserve"> vedu, mida kahtlustatakse seotuses terrorismi rahastamise, rahapesu või eelkuritegudega või mida on valesti deklareeritud või mille kohta on esitatud moonutatud andmeid.</w:t>
      </w:r>
    </w:p>
    <w:p w:rsidR="00D032BE" w:rsidRPr="00D032BE" w:rsidRDefault="00D032BE" w:rsidP="00D032BE">
      <w:pPr>
        <w:pStyle w:val="kehatekst"/>
      </w:pPr>
      <w:r w:rsidRPr="00D032BE">
        <w:t xml:space="preserve">Riigid peaksid tagama, et valeandmeid esitanud isikute suhtes saab rakendada tõhusaid, proportsionaalseid ja hoiatavaid karistusi. Kui valuuta või vabalt kaubeldavad esitaja </w:t>
      </w:r>
      <w:r w:rsidR="004030AE">
        <w:t>väärtpaberid</w:t>
      </w:r>
      <w:r w:rsidRPr="00D032BE">
        <w:t xml:space="preserve"> on seotud terrorismi rahastamise, rahapesu või eelkuritegudega, peaksid </w:t>
      </w:r>
      <w:r w:rsidR="004030AE">
        <w:t>riigid rakendama ka soovitusega</w:t>
      </w:r>
      <w:r w:rsidR="00D63059">
        <w:t xml:space="preserve"> </w:t>
      </w:r>
      <w:r w:rsidRPr="00D032BE">
        <w:t>4 kooskõlas olevaid meetmeid, kaasa arvatud seadusandlikke meetmeid, mis võimaldavad sellist valuutat või maksevahendeid konfiskeerida.</w:t>
      </w:r>
    </w:p>
    <w:p w:rsidR="00D032BE" w:rsidRPr="00D032BE" w:rsidRDefault="00D032BE" w:rsidP="00D032BE">
      <w:pPr>
        <w:pStyle w:val="Pealkiri3"/>
      </w:pPr>
      <w:r w:rsidRPr="00D032BE">
        <w:t>ÜLDNÕUDED</w:t>
      </w:r>
    </w:p>
    <w:p w:rsidR="00D032BE" w:rsidRPr="00D032BE" w:rsidRDefault="00D032BE" w:rsidP="00D032BE">
      <w:pPr>
        <w:pStyle w:val="A-pealkiri"/>
      </w:pPr>
      <w:r w:rsidRPr="00D032BE">
        <w:t xml:space="preserve">33. </w:t>
      </w:r>
      <w:r w:rsidRPr="00D032BE">
        <w:tab/>
        <w:t>Statistika</w:t>
      </w:r>
    </w:p>
    <w:p w:rsidR="00D032BE" w:rsidRPr="00D032BE" w:rsidRDefault="00D032BE" w:rsidP="00D032BE">
      <w:pPr>
        <w:pStyle w:val="kehatekst"/>
      </w:pPr>
      <w:r w:rsidRPr="00D032BE">
        <w:t xml:space="preserve">Riigid peaksid </w:t>
      </w:r>
      <w:r w:rsidR="00847867">
        <w:t>hindama</w:t>
      </w:r>
      <w:r w:rsidRPr="00D032BE">
        <w:t xml:space="preserve"> oma </w:t>
      </w:r>
      <w:r w:rsidR="002A32CF">
        <w:t>rahapesu</w:t>
      </w:r>
      <w:r w:rsidRPr="00D032BE">
        <w:t xml:space="preserve"> ja terrorismi rahastamise </w:t>
      </w:r>
      <w:r w:rsidR="002A32CF">
        <w:t>tõkestamise</w:t>
      </w:r>
      <w:r w:rsidRPr="00D032BE">
        <w:t xml:space="preserve"> </w:t>
      </w:r>
      <w:r w:rsidR="00847867">
        <w:t>meetmete</w:t>
      </w:r>
      <w:r w:rsidRPr="00D032BE">
        <w:t xml:space="preserve"> tulemuslikkus</w:t>
      </w:r>
      <w:r w:rsidR="00847867">
        <w:t>t ja tõhusust</w:t>
      </w:r>
      <w:r w:rsidRPr="00D032BE">
        <w:t xml:space="preserve"> </w:t>
      </w:r>
      <w:r w:rsidR="00847867">
        <w:t xml:space="preserve">ning koostama selle </w:t>
      </w:r>
      <w:r w:rsidRPr="00D032BE">
        <w:t>kohta igakülgset statistikat. Statistika peaks hõlmama saadud ja edastatud tea</w:t>
      </w:r>
      <w:r w:rsidR="00847867">
        <w:t>d</w:t>
      </w:r>
      <w:r w:rsidRPr="00D032BE">
        <w:t>e</w:t>
      </w:r>
      <w:r w:rsidR="00847867">
        <w:t>te arvu</w:t>
      </w:r>
      <w:r w:rsidRPr="00D032BE">
        <w:t xml:space="preserve"> kahtlaste tehingute kohta, </w:t>
      </w:r>
      <w:r w:rsidR="00847867">
        <w:t xml:space="preserve">alustatud </w:t>
      </w:r>
      <w:r w:rsidR="002A32CF">
        <w:t>rahapesu</w:t>
      </w:r>
      <w:r w:rsidRPr="00D032BE">
        <w:t xml:space="preserve"> ja terrorismi rahastamise juhtumite uurimisi</w:t>
      </w:r>
      <w:r w:rsidR="00847867">
        <w:t xml:space="preserve"> kohta</w:t>
      </w:r>
      <w:r w:rsidRPr="00D032BE">
        <w:t xml:space="preserve">, kohtu alla andmisi ja süüdimõistmisi, </w:t>
      </w:r>
      <w:r w:rsidR="00847867">
        <w:t xml:space="preserve">andmeid </w:t>
      </w:r>
      <w:r w:rsidRPr="00D032BE">
        <w:t>blokeeritud, arestitud ja konfiskeeritud vara</w:t>
      </w:r>
      <w:r w:rsidR="00847867">
        <w:t xml:space="preserve"> kohta</w:t>
      </w:r>
      <w:r w:rsidRPr="00D032BE">
        <w:t xml:space="preserve">, </w:t>
      </w:r>
      <w:r w:rsidR="00847867">
        <w:t xml:space="preserve">ülevaadet </w:t>
      </w:r>
      <w:r w:rsidRPr="00D032BE">
        <w:t>vasta</w:t>
      </w:r>
      <w:r w:rsidR="00847867">
        <w:t>stikuse õigusabi taotluste ja muu</w:t>
      </w:r>
      <w:r w:rsidRPr="00D032BE">
        <w:t>d</w:t>
      </w:r>
      <w:r w:rsidR="00847867">
        <w:t>e rahvusvaheliste koostöötaotluste kohta</w:t>
      </w:r>
      <w:r w:rsidRPr="00D032BE">
        <w:t>.</w:t>
      </w:r>
    </w:p>
    <w:p w:rsidR="00D032BE" w:rsidRPr="00D032BE" w:rsidRDefault="00D032BE" w:rsidP="00D032BE">
      <w:pPr>
        <w:pStyle w:val="A-pealkiri"/>
      </w:pPr>
      <w:r w:rsidRPr="00D032BE">
        <w:t xml:space="preserve">34. </w:t>
      </w:r>
      <w:r w:rsidRPr="00D032BE">
        <w:tab/>
        <w:t>Suunised ja tagasiside</w:t>
      </w:r>
    </w:p>
    <w:p w:rsidR="00D032BE" w:rsidRPr="00D032BE" w:rsidRDefault="00D032BE" w:rsidP="00D032BE">
      <w:pPr>
        <w:pStyle w:val="kehatekst"/>
      </w:pPr>
      <w:r w:rsidRPr="00D032BE">
        <w:t>Pädevad asutused, järelevalveasu</w:t>
      </w:r>
      <w:r w:rsidR="006F4DF2">
        <w:t>tused ja isereguleeruvad organisatsioonid</w:t>
      </w:r>
      <w:r w:rsidRPr="00D032BE">
        <w:t xml:space="preserve"> peaksid kehtestama suunised ja andma tagasisidet, et aidata </w:t>
      </w:r>
      <w:r w:rsidR="006043CB">
        <w:t>finantsasutus</w:t>
      </w:r>
      <w:r w:rsidRPr="00D032BE">
        <w:t xml:space="preserve">tel ja mittefinantsteenuseid pakkuvatel määratud ettevõtjatel ja kutsetöötajatel rakendada siseriiklikke </w:t>
      </w:r>
      <w:r w:rsidR="002A32CF">
        <w:t>rahapesu</w:t>
      </w:r>
      <w:r w:rsidRPr="00D032BE">
        <w:t xml:space="preserve"> ja terrorismi rahastamise </w:t>
      </w:r>
      <w:r w:rsidR="002A32CF">
        <w:t>tõkestamise</w:t>
      </w:r>
      <w:r w:rsidRPr="00D032BE">
        <w:t xml:space="preserve"> meetmeid ning eelkõige avastada kahtlaseid tehinguid ja neist teatada.</w:t>
      </w:r>
    </w:p>
    <w:p w:rsidR="00D032BE" w:rsidRPr="00D032BE" w:rsidRDefault="00D032BE" w:rsidP="00D032BE">
      <w:pPr>
        <w:pStyle w:val="Pealkiri3"/>
      </w:pPr>
      <w:r w:rsidRPr="00D032BE">
        <w:t>KARISTUSED</w:t>
      </w:r>
    </w:p>
    <w:p w:rsidR="00D032BE" w:rsidRPr="00D032BE" w:rsidRDefault="00D032BE" w:rsidP="00D032BE">
      <w:pPr>
        <w:pStyle w:val="A-pealkiri"/>
      </w:pPr>
      <w:r w:rsidRPr="00D032BE">
        <w:t xml:space="preserve">35. </w:t>
      </w:r>
      <w:r w:rsidRPr="00D032BE">
        <w:tab/>
        <w:t>Karistused</w:t>
      </w:r>
    </w:p>
    <w:p w:rsidR="00D032BE" w:rsidRPr="00D032BE" w:rsidRDefault="00D032BE" w:rsidP="00D032BE">
      <w:pPr>
        <w:pStyle w:val="kehatekst"/>
      </w:pPr>
      <w:r w:rsidRPr="00D032BE">
        <w:t xml:space="preserve">Riigid peaksid tagama, et </w:t>
      </w:r>
      <w:r w:rsidR="002A32CF">
        <w:t>rahapesu</w:t>
      </w:r>
      <w:r w:rsidRPr="00D032BE">
        <w:t xml:space="preserve"> ja terrorismi rahastamise </w:t>
      </w:r>
      <w:r w:rsidR="002A32CF">
        <w:t>tõkestamise</w:t>
      </w:r>
      <w:r w:rsidR="00847867">
        <w:t xml:space="preserve"> nõudeid </w:t>
      </w:r>
      <w:r w:rsidR="009F1D5C">
        <w:t>(</w:t>
      </w:r>
      <w:r w:rsidR="00847867">
        <w:t xml:space="preserve">märgitud soovitustes 6 ja 8-23) </w:t>
      </w:r>
      <w:r w:rsidR="009F1D5C">
        <w:t>mittetäitvatele</w:t>
      </w:r>
      <w:r w:rsidRPr="00D032BE">
        <w:t xml:space="preserve"> </w:t>
      </w:r>
      <w:r w:rsidR="00847867">
        <w:t>kohustatud isikutele</w:t>
      </w:r>
      <w:r w:rsidRPr="00D032BE">
        <w:t xml:space="preserve"> on kehtestatud </w:t>
      </w:r>
      <w:r w:rsidR="009F1D5C">
        <w:t>tõhusad, proportsionaalsed ja hoiatava</w:t>
      </w:r>
      <w:r w:rsidRPr="00D032BE">
        <w:t>d kriminaa</w:t>
      </w:r>
      <w:r w:rsidR="009F1D5C">
        <w:t>l-, tsiviil- või halduskaristused</w:t>
      </w:r>
      <w:r w:rsidRPr="00D032BE">
        <w:t xml:space="preserve">. Karistusi peaks olema võimalik rakendada mitte ainult </w:t>
      </w:r>
      <w:r w:rsidR="006043CB">
        <w:lastRenderedPageBreak/>
        <w:t>finantsasutus</w:t>
      </w:r>
      <w:r w:rsidRPr="00D032BE">
        <w:t>tele ja mittefinantsteenuseid pakkuvatele määratud ettevõtjatele ja kutsetöötajatele, vaid ka nende juhatajatele ja juhtkonnale.</w:t>
      </w:r>
    </w:p>
    <w:p w:rsidR="00D032BE" w:rsidRPr="00D032BE" w:rsidRDefault="00D032BE" w:rsidP="00D032BE">
      <w:pPr>
        <w:rPr>
          <w:rFonts w:cs="Calibri"/>
          <w:b/>
          <w:color w:val="348093"/>
          <w:lang w:val="et-EE"/>
        </w:rPr>
      </w:pPr>
      <w:r w:rsidRPr="00D032BE">
        <w:rPr>
          <w:lang w:val="et-EE"/>
        </w:rPr>
        <w:br w:type="page"/>
      </w:r>
    </w:p>
    <w:p w:rsidR="00D032BE" w:rsidRPr="00D032BE" w:rsidRDefault="00D032BE" w:rsidP="00D032BE">
      <w:pPr>
        <w:pStyle w:val="A-pealkiri"/>
      </w:pPr>
      <w:r w:rsidRPr="00D032BE">
        <w:lastRenderedPageBreak/>
        <w:t xml:space="preserve">G. </w:t>
      </w:r>
      <w:r w:rsidRPr="00D032BE">
        <w:tab/>
        <w:t>RAHVUSVAHELINE KOOSTÖÖ</w:t>
      </w:r>
    </w:p>
    <w:p w:rsidR="00D032BE" w:rsidRPr="00D032BE" w:rsidRDefault="00D032BE" w:rsidP="00D032BE">
      <w:pPr>
        <w:pStyle w:val="A-pealkiri"/>
      </w:pPr>
      <w:r w:rsidRPr="00D032BE">
        <w:t xml:space="preserve">36. </w:t>
      </w:r>
      <w:r w:rsidRPr="00D032BE">
        <w:tab/>
        <w:t xml:space="preserve">Rahvusvahelised </w:t>
      </w:r>
      <w:r w:rsidR="0092495B">
        <w:t>konventsioonid</w:t>
      </w:r>
    </w:p>
    <w:p w:rsidR="00D032BE" w:rsidRPr="00D032BE" w:rsidRDefault="00D032BE" w:rsidP="00D032BE">
      <w:pPr>
        <w:pStyle w:val="kehatekst"/>
      </w:pPr>
      <w:r w:rsidRPr="00D032BE">
        <w:t xml:space="preserve">Riigid peaksid astuma viivitamatult samme Viini 1988. aasta konventsiooniga (1988), </w:t>
      </w:r>
      <w:proofErr w:type="spellStart"/>
      <w:r w:rsidRPr="00D032BE">
        <w:t>Palermo</w:t>
      </w:r>
      <w:proofErr w:type="spellEnd"/>
      <w:r w:rsidRPr="00D032BE">
        <w:t xml:space="preserve"> 2000. aasta konventsiooniga, Ühinenud Rahvaste Organisatsiooni 2003. aasta korruptsioonivastase konventsiooniga ja Ühinenud Rahvaste Organisatsiooni 1999. aasta terrorismi rahastamise tõkestamise konventsiooniga ühinemiseks ning nende konventsioonide täielikuks rakendamiseks. </w:t>
      </w:r>
      <w:r w:rsidR="0092495B">
        <w:t>Kohaldatavuse korral</w:t>
      </w:r>
      <w:r w:rsidRPr="00D032BE">
        <w:t xml:space="preserve"> soovitatakse riikidel ka ratifitseerida ja rakendada muud asjakohased rahvusvahelised konventsioonid, nagu Euroopa Nõukogu 2001. aasta küberkuritegevuse konventsioon, Ameerika 2002. aasta terrorismivastane konventsioon ja </w:t>
      </w:r>
      <w:r w:rsidRPr="00D032BE">
        <w:rPr>
          <w:rStyle w:val="st"/>
        </w:rPr>
        <w:t>Euroopa Nõukogu 2005. aasta rahapesu ning kriminaaltulu avastamise,</w:t>
      </w:r>
      <w:r w:rsidRPr="00D032BE">
        <w:rPr>
          <w:rStyle w:val="st"/>
          <w:i/>
        </w:rPr>
        <w:t xml:space="preserve"> </w:t>
      </w:r>
      <w:r w:rsidRPr="00D032BE">
        <w:rPr>
          <w:rStyle w:val="Rhutus"/>
          <w:i w:val="0"/>
        </w:rPr>
        <w:t>arestimise</w:t>
      </w:r>
      <w:r w:rsidRPr="00D032BE">
        <w:rPr>
          <w:rStyle w:val="st"/>
          <w:i/>
        </w:rPr>
        <w:t xml:space="preserve"> </w:t>
      </w:r>
      <w:r w:rsidRPr="00D032BE">
        <w:rPr>
          <w:rStyle w:val="st"/>
        </w:rPr>
        <w:t>ja</w:t>
      </w:r>
      <w:r w:rsidRPr="00D032BE">
        <w:rPr>
          <w:rStyle w:val="st"/>
          <w:i/>
        </w:rPr>
        <w:t xml:space="preserve"> </w:t>
      </w:r>
      <w:r w:rsidRPr="00D032BE">
        <w:rPr>
          <w:rStyle w:val="Rhutus"/>
          <w:i w:val="0"/>
        </w:rPr>
        <w:t>konfiskeerimise</w:t>
      </w:r>
      <w:r w:rsidRPr="00D032BE">
        <w:rPr>
          <w:rStyle w:val="st"/>
          <w:i/>
        </w:rPr>
        <w:t xml:space="preserve"> </w:t>
      </w:r>
      <w:r w:rsidRPr="00D032BE">
        <w:rPr>
          <w:rStyle w:val="Rhutus"/>
          <w:i w:val="0"/>
        </w:rPr>
        <w:t xml:space="preserve">konventsioon </w:t>
      </w:r>
      <w:r w:rsidRPr="00D032BE">
        <w:rPr>
          <w:rStyle w:val="st"/>
        </w:rPr>
        <w:t>ning</w:t>
      </w:r>
      <w:r w:rsidRPr="00D032BE">
        <w:rPr>
          <w:rStyle w:val="st"/>
          <w:i/>
        </w:rPr>
        <w:t xml:space="preserve"> </w:t>
      </w:r>
      <w:r w:rsidRPr="00D032BE">
        <w:rPr>
          <w:rStyle w:val="Rhutus"/>
          <w:i w:val="0"/>
        </w:rPr>
        <w:t>terrorismi rahastamis</w:t>
      </w:r>
      <w:r w:rsidR="0092495B">
        <w:rPr>
          <w:rStyle w:val="Rhutus"/>
          <w:i w:val="0"/>
        </w:rPr>
        <w:t>t</w:t>
      </w:r>
      <w:r w:rsidRPr="00D032BE">
        <w:rPr>
          <w:rStyle w:val="Rhutus"/>
          <w:i w:val="0"/>
        </w:rPr>
        <w:t xml:space="preserve"> käsitlev konventsioon</w:t>
      </w:r>
      <w:r w:rsidRPr="00D032BE">
        <w:t>.</w:t>
      </w:r>
    </w:p>
    <w:p w:rsidR="00D032BE" w:rsidRPr="00D032BE" w:rsidRDefault="00D032BE" w:rsidP="00D032BE">
      <w:pPr>
        <w:pStyle w:val="A-pealkiri"/>
      </w:pPr>
      <w:r w:rsidRPr="00D032BE">
        <w:t xml:space="preserve">37. </w:t>
      </w:r>
      <w:r w:rsidRPr="00D032BE">
        <w:tab/>
        <w:t>Vastastikune õigusabi</w:t>
      </w:r>
    </w:p>
    <w:p w:rsidR="00D032BE" w:rsidRPr="00D032BE" w:rsidRDefault="00D032BE" w:rsidP="00D032BE">
      <w:pPr>
        <w:pStyle w:val="kehatekst"/>
      </w:pPr>
      <w:r w:rsidRPr="00D032BE">
        <w:t xml:space="preserve">Riigid peaksid kiiresti, konstruktiivselt ja tõhusalt </w:t>
      </w:r>
      <w:r w:rsidR="0092495B">
        <w:t>osutama</w:t>
      </w:r>
      <w:r w:rsidRPr="00D032BE">
        <w:t xml:space="preserve"> võimalikult laiaulatuslikku vastastikust õigusabi seoses rahapesu, sellega seotud eelkuritegude ja terrorismi rahastamise juhtumite uurimise, </w:t>
      </w:r>
      <w:r w:rsidR="0092495B">
        <w:t xml:space="preserve">seotud isikute </w:t>
      </w:r>
      <w:r w:rsidRPr="00D032BE">
        <w:t xml:space="preserve">kohtu alla andmise ja nendega seotud menetlustega. Riigid peaksid </w:t>
      </w:r>
      <w:r w:rsidR="0092495B">
        <w:t>tagama</w:t>
      </w:r>
      <w:r w:rsidRPr="00D032BE">
        <w:t xml:space="preserve"> piisavad õiguslikud alused vastastikuse õigusabi andmiseks ja vajaduse korral sõlmima lepingud või kokkulepped või kehtestama muud mehhanismid koostöö tõhustamiseks. Eelkõige peaksid riigid</w:t>
      </w:r>
      <w:r w:rsidR="0092495B">
        <w:t>:</w:t>
      </w:r>
    </w:p>
    <w:p w:rsidR="00D032BE" w:rsidRPr="00D032BE" w:rsidRDefault="00D032BE" w:rsidP="00D032BE">
      <w:pPr>
        <w:pStyle w:val="a-thtloend"/>
      </w:pPr>
      <w:r w:rsidRPr="00D032BE">
        <w:t xml:space="preserve">a) </w:t>
      </w:r>
      <w:r w:rsidRPr="00D032BE">
        <w:tab/>
        <w:t>mitte keelustama vastastikuse õigusabi andmist ega kehtestama sellele ebamõistlikult või asjakohatult piiravaid tingimusi;</w:t>
      </w:r>
    </w:p>
    <w:p w:rsidR="00D032BE" w:rsidRPr="00D032BE" w:rsidRDefault="00D032BE" w:rsidP="00D032BE">
      <w:pPr>
        <w:pStyle w:val="a-thtloend"/>
      </w:pPr>
      <w:r w:rsidRPr="00D032BE">
        <w:t xml:space="preserve">b) </w:t>
      </w:r>
      <w:r w:rsidRPr="00D032BE">
        <w:tab/>
        <w:t>tagama</w:t>
      </w:r>
      <w:r w:rsidR="0092495B">
        <w:t>, et vastastikkuseid õigusabitaotluseid käsitletakse prioriteetsetena ning tagatakse</w:t>
      </w:r>
      <w:r w:rsidR="0092495B" w:rsidRPr="00D032BE">
        <w:t xml:space="preserve"> </w:t>
      </w:r>
      <w:r w:rsidR="0092495B">
        <w:t>nende õigeaegne</w:t>
      </w:r>
      <w:r w:rsidRPr="00D032BE">
        <w:t xml:space="preserve"> </w:t>
      </w:r>
      <w:r w:rsidR="0092495B">
        <w:t>rahuldamine</w:t>
      </w:r>
      <w:r w:rsidRPr="00D032BE">
        <w:t xml:space="preserve">. Riigid peaksid kasutama taotluste tõhusaks edastamiseks ja täitmiseks keskset asutust või muud kehtestatud ametlikku </w:t>
      </w:r>
      <w:r w:rsidR="0092495B">
        <w:t>protseduuri</w:t>
      </w:r>
      <w:r w:rsidRPr="00D032BE">
        <w:t>. Taotluste täitmise jälgimiseks tuleks kasutada juhtumite haldamise süsteemi;</w:t>
      </w:r>
    </w:p>
    <w:p w:rsidR="00D032BE" w:rsidRPr="00D032BE" w:rsidRDefault="00D032BE" w:rsidP="00D032BE">
      <w:pPr>
        <w:pStyle w:val="a-thtloend"/>
      </w:pPr>
      <w:r w:rsidRPr="00D032BE">
        <w:t xml:space="preserve">c) </w:t>
      </w:r>
      <w:r w:rsidRPr="00D032BE">
        <w:tab/>
        <w:t xml:space="preserve">mitte keelduma </w:t>
      </w:r>
      <w:r w:rsidR="0092495B">
        <w:t>vastastikuste õigusabitaotluste</w:t>
      </w:r>
      <w:r w:rsidRPr="00D032BE">
        <w:t xml:space="preserve"> </w:t>
      </w:r>
      <w:r w:rsidR="0092495B">
        <w:t>täitmisest</w:t>
      </w:r>
      <w:r w:rsidR="0092495B" w:rsidRPr="00D032BE">
        <w:t xml:space="preserve"> </w:t>
      </w:r>
      <w:r w:rsidRPr="00D032BE">
        <w:t xml:space="preserve">üksnes põhjusel, et õigusrikkumine </w:t>
      </w:r>
      <w:r w:rsidR="0092495B">
        <w:t>seondub maksuküsimustega</w:t>
      </w:r>
      <w:r w:rsidRPr="00D032BE">
        <w:t>;</w:t>
      </w:r>
    </w:p>
    <w:p w:rsidR="00D032BE" w:rsidRPr="00D032BE" w:rsidRDefault="00D032BE" w:rsidP="00D032BE">
      <w:pPr>
        <w:pStyle w:val="a-thtloend"/>
      </w:pPr>
      <w:r w:rsidRPr="00D032BE">
        <w:t xml:space="preserve">d) </w:t>
      </w:r>
      <w:r w:rsidRPr="00D032BE">
        <w:tab/>
        <w:t xml:space="preserve">mitte keelduma </w:t>
      </w:r>
      <w:r w:rsidR="0092495B">
        <w:t>vastastikuste</w:t>
      </w:r>
      <w:r w:rsidRPr="00D032BE">
        <w:t xml:space="preserve"> õigusab</w:t>
      </w:r>
      <w:r w:rsidR="0092495B">
        <w:t>itaotluste</w:t>
      </w:r>
      <w:r w:rsidRPr="00D032BE">
        <w:t xml:space="preserve"> </w:t>
      </w:r>
      <w:r w:rsidR="0092495B">
        <w:t>täitmisest</w:t>
      </w:r>
      <w:r w:rsidR="0092495B" w:rsidRPr="00D032BE">
        <w:t xml:space="preserve"> </w:t>
      </w:r>
      <w:r w:rsidRPr="00D032BE">
        <w:t xml:space="preserve">põhjusel, et seaduste kohaselt peavad </w:t>
      </w:r>
      <w:r w:rsidR="006043CB">
        <w:t>finantsasutus</w:t>
      </w:r>
      <w:r w:rsidRPr="00D032BE">
        <w:t>ed tagama andmete salastatuse või konfidentsiaalsuse;</w:t>
      </w:r>
    </w:p>
    <w:p w:rsidR="00D032BE" w:rsidRPr="00D032BE" w:rsidRDefault="00D032BE" w:rsidP="00D032BE">
      <w:pPr>
        <w:pStyle w:val="a-thtloend"/>
      </w:pPr>
      <w:r w:rsidRPr="00D032BE">
        <w:t xml:space="preserve">e) </w:t>
      </w:r>
      <w:r w:rsidRPr="00D032BE">
        <w:tab/>
      </w:r>
      <w:r w:rsidR="00D0519E">
        <w:t>käsitlema</w:t>
      </w:r>
      <w:r w:rsidRPr="00D032BE">
        <w:t xml:space="preserve"> </w:t>
      </w:r>
      <w:r w:rsidR="00D0519E" w:rsidRPr="00D032BE">
        <w:t>vastastikuse</w:t>
      </w:r>
      <w:r w:rsidR="00D0519E">
        <w:t>id õigusabitaotlusi</w:t>
      </w:r>
      <w:r w:rsidR="00D0519E" w:rsidRPr="00D032BE">
        <w:t xml:space="preserve"> ja nendes sisalduva</w:t>
      </w:r>
      <w:r w:rsidR="00D0519E">
        <w:t>t teav</w:t>
      </w:r>
      <w:r w:rsidR="00D0519E" w:rsidRPr="00D032BE">
        <w:t>e</w:t>
      </w:r>
      <w:r w:rsidR="00D0519E">
        <w:t>t konfidentsiaalsena, võttes arvesse</w:t>
      </w:r>
      <w:r w:rsidR="00D0519E" w:rsidRPr="00D032BE">
        <w:t xml:space="preserve"> </w:t>
      </w:r>
      <w:r w:rsidR="00D0519E">
        <w:t>siseriikliku õiguse aluspõhimõtteid</w:t>
      </w:r>
      <w:r w:rsidRPr="00D032BE">
        <w:t>, et kaitsta uurimise või järelepärimise puutumatust. Kui taotluse saanud riik ei suuda konfidentsiaalsusenõuet täita, peaks ta taotluse esitanud riiki sellest viivitamatult teavitama.</w:t>
      </w:r>
    </w:p>
    <w:p w:rsidR="00D032BE" w:rsidRPr="00D032BE" w:rsidRDefault="00D032BE" w:rsidP="00D032BE">
      <w:pPr>
        <w:pStyle w:val="kehatekst"/>
      </w:pPr>
      <w:r w:rsidRPr="00D032BE">
        <w:lastRenderedPageBreak/>
        <w:t xml:space="preserve">Riigid peaksid </w:t>
      </w:r>
      <w:r w:rsidR="00D0519E">
        <w:t>identse normi</w:t>
      </w:r>
      <w:r w:rsidRPr="00D032BE">
        <w:t xml:space="preserve"> puudumisele </w:t>
      </w:r>
      <w:r w:rsidR="00D0519E">
        <w:t>(</w:t>
      </w:r>
      <w:proofErr w:type="spellStart"/>
      <w:r w:rsidR="00D0519E">
        <w:rPr>
          <w:i/>
        </w:rPr>
        <w:t>Absence</w:t>
      </w:r>
      <w:proofErr w:type="spellEnd"/>
      <w:r w:rsidR="00D0519E">
        <w:rPr>
          <w:i/>
        </w:rPr>
        <w:t xml:space="preserve"> of </w:t>
      </w:r>
      <w:proofErr w:type="spellStart"/>
      <w:r w:rsidR="00D0519E">
        <w:rPr>
          <w:i/>
        </w:rPr>
        <w:t>dual</w:t>
      </w:r>
      <w:proofErr w:type="spellEnd"/>
      <w:r w:rsidR="00D0519E">
        <w:rPr>
          <w:i/>
        </w:rPr>
        <w:t xml:space="preserve"> </w:t>
      </w:r>
      <w:proofErr w:type="spellStart"/>
      <w:r w:rsidR="00D0519E">
        <w:rPr>
          <w:i/>
        </w:rPr>
        <w:t>crminality</w:t>
      </w:r>
      <w:proofErr w:type="spellEnd"/>
      <w:r w:rsidR="00D0519E">
        <w:rPr>
          <w:i/>
        </w:rPr>
        <w:t xml:space="preserve">) </w:t>
      </w:r>
      <w:r w:rsidRPr="00D032BE">
        <w:t xml:space="preserve">vaatamata osutama vastastikust õigusabi, kui abi ei </w:t>
      </w:r>
      <w:r w:rsidR="00D0519E">
        <w:t>seisne</w:t>
      </w:r>
      <w:r w:rsidRPr="00D032BE">
        <w:t xml:space="preserve"> sunni</w:t>
      </w:r>
      <w:r w:rsidR="00D0519E">
        <w:t>meetmetes</w:t>
      </w:r>
      <w:r w:rsidRPr="00D032BE">
        <w:t>. Riigid peaksid kaaluma selliste meetmete rakendamist, mis võivad</w:t>
      </w:r>
      <w:r w:rsidR="00D0519E">
        <w:t xml:space="preserve"> olla vajalikud laiaulatusliku</w:t>
      </w:r>
      <w:r w:rsidRPr="00D032BE">
        <w:t xml:space="preserve"> abi</w:t>
      </w:r>
      <w:r w:rsidR="00D0519E">
        <w:t xml:space="preserve"> osutamiseks identse normi</w:t>
      </w:r>
      <w:r w:rsidRPr="00D032BE">
        <w:t xml:space="preserve"> puudumisel.</w:t>
      </w:r>
    </w:p>
    <w:p w:rsidR="00D032BE" w:rsidRPr="00D032BE" w:rsidRDefault="00D032BE" w:rsidP="00D032BE">
      <w:pPr>
        <w:pStyle w:val="kehatekst"/>
      </w:pPr>
      <w:r w:rsidRPr="00D032BE">
        <w:t>Kui vastastikuse</w:t>
      </w:r>
      <w:r w:rsidR="00D0519E">
        <w:t xml:space="preserve"> õigusabi andmise eelduseks on vastavas riikides identsete normide olemasolu</w:t>
      </w:r>
      <w:r w:rsidRPr="00D032BE">
        <w:t xml:space="preserve">, tuleks </w:t>
      </w:r>
      <w:r w:rsidR="00D0519E">
        <w:t>eeldus lugeda täidetuks</w:t>
      </w:r>
      <w:r w:rsidRPr="00D032BE">
        <w:t xml:space="preserve">, kui mõlemad riigid näevad </w:t>
      </w:r>
      <w:r w:rsidR="00590CB8">
        <w:t>õigusrikkumise aluseks olnud tegevuse</w:t>
      </w:r>
      <w:r w:rsidRPr="00D032BE">
        <w:t xml:space="preserve"> eest ette kriminaalvastutuse, olenemata sellest, kas mõlemad riigid liigitavad </w:t>
      </w:r>
      <w:r w:rsidR="00590CB8">
        <w:t xml:space="preserve">nimetatud </w:t>
      </w:r>
      <w:r w:rsidRPr="00D032BE">
        <w:t xml:space="preserve">õigusrikkumise samasse </w:t>
      </w:r>
      <w:r w:rsidR="00590CB8">
        <w:t>kategooriasse või sõnastavad</w:t>
      </w:r>
      <w:r w:rsidRPr="00D032BE">
        <w:t xml:space="preserve"> õigusr</w:t>
      </w:r>
      <w:r w:rsidR="00590CB8">
        <w:t>ikkumise alused</w:t>
      </w:r>
      <w:r w:rsidRPr="00D032BE">
        <w:t xml:space="preserve"> </w:t>
      </w:r>
      <w:r w:rsidR="00590CB8">
        <w:t>sarnaselt</w:t>
      </w:r>
      <w:r w:rsidRPr="00D032BE">
        <w:t>.</w:t>
      </w:r>
    </w:p>
    <w:p w:rsidR="00D032BE" w:rsidRPr="0043438E" w:rsidRDefault="00D032BE" w:rsidP="00D032BE">
      <w:pPr>
        <w:pStyle w:val="kehatekst"/>
      </w:pPr>
      <w:r w:rsidRPr="0043438E">
        <w:t>Riigid peaksid tagama, et soovituse</w:t>
      </w:r>
      <w:r w:rsidR="00847867" w:rsidRPr="0043438E">
        <w:t xml:space="preserve"> </w:t>
      </w:r>
      <w:r w:rsidRPr="0043438E">
        <w:t xml:space="preserve">31 kohaselt </w:t>
      </w:r>
      <w:r w:rsidR="00B036E9" w:rsidRPr="0043438E">
        <w:t>pädevatele riigiasutustele antud volitusi ja uurimismeetodeid</w:t>
      </w:r>
      <w:r w:rsidRPr="0043438E">
        <w:t xml:space="preserve"> </w:t>
      </w:r>
      <w:r w:rsidR="00B036E9" w:rsidRPr="0043438E">
        <w:t>saab kasutada ka vastastikuse õigusabi taotlustele vastamiseks</w:t>
      </w:r>
      <w:r w:rsidR="0043438E" w:rsidRPr="0043438E">
        <w:t>.</w:t>
      </w:r>
      <w:r w:rsidR="00B036E9" w:rsidRPr="0043438E">
        <w:t xml:space="preserve"> </w:t>
      </w:r>
      <w:r w:rsidR="0043438E" w:rsidRPr="0043438E">
        <w:t>S</w:t>
      </w:r>
      <w:r w:rsidR="00B036E9" w:rsidRPr="0043438E">
        <w:t xml:space="preserve">amu volitusi ja meetodeid peaksid saama kasutada ka </w:t>
      </w:r>
      <w:r w:rsidR="0043438E" w:rsidRPr="0043438E">
        <w:t>vastamisel välismaiste</w:t>
      </w:r>
      <w:r w:rsidR="00B036E9" w:rsidRPr="0043438E">
        <w:t xml:space="preserve"> ko</w:t>
      </w:r>
      <w:r w:rsidR="0043438E" w:rsidRPr="0043438E">
        <w:t>htu- või õiguskaitseorganite õigusabitaotlustele, seejuures peab nimetatud volituste ja meetodite kasutamine olema</w:t>
      </w:r>
      <w:r w:rsidR="00B036E9" w:rsidRPr="0043438E">
        <w:t xml:space="preserve"> kooskõlas siseriiklike õigusaktidega. Nimetatud volitusteks ja uurimismeetoditeks võivad olla:</w:t>
      </w:r>
    </w:p>
    <w:p w:rsidR="00D032BE" w:rsidRPr="0043438E" w:rsidRDefault="00D032BE" w:rsidP="00D032BE">
      <w:pPr>
        <w:pStyle w:val="a-thtloend"/>
      </w:pPr>
      <w:r w:rsidRPr="0043438E">
        <w:t xml:space="preserve">a) </w:t>
      </w:r>
      <w:r w:rsidRPr="0043438E">
        <w:tab/>
        <w:t>kõik</w:t>
      </w:r>
      <w:r w:rsidR="00B036E9" w:rsidRPr="0043438E">
        <w:t xml:space="preserve"> nee</w:t>
      </w:r>
      <w:r w:rsidRPr="0043438E">
        <w:t xml:space="preserve">d, mis on seotud </w:t>
      </w:r>
      <w:r w:rsidR="006043CB" w:rsidRPr="0043438E">
        <w:t>finantsasutus</w:t>
      </w:r>
      <w:r w:rsidRPr="0043438E">
        <w:t>tel ja teistelt isikutelt teabe, dokumentide või tõendite (sh finantsandmed) hankimise, otsimise ja konfiskeerimisega ning tunnistajatelt ütluste võtmisega; ja</w:t>
      </w:r>
    </w:p>
    <w:p w:rsidR="00D032BE" w:rsidRPr="0043438E" w:rsidRDefault="00B036E9" w:rsidP="00D032BE">
      <w:pPr>
        <w:pStyle w:val="a-thtloend"/>
      </w:pPr>
      <w:r w:rsidRPr="0043438E">
        <w:t xml:space="preserve">b) </w:t>
      </w:r>
      <w:r w:rsidRPr="0043438E">
        <w:tab/>
        <w:t>paljud muud volitused ja uurimismeetod</w:t>
      </w:r>
      <w:r w:rsidR="00D032BE" w:rsidRPr="0043438E">
        <w:t>id</w:t>
      </w:r>
      <w:r w:rsidRPr="0043438E">
        <w:t>.</w:t>
      </w:r>
    </w:p>
    <w:p w:rsidR="00D032BE" w:rsidRPr="00D032BE" w:rsidRDefault="00D032BE" w:rsidP="00D032BE">
      <w:pPr>
        <w:pStyle w:val="kehatekst"/>
      </w:pPr>
      <w:r w:rsidRPr="00D032BE">
        <w:t>Kohtualluvuskonfliktide ennetamiseks tuleks kaaluda selliste mehhanismide väljatöötamist ja rakendamist, mis aitavad õigusemõistmise huvides otsustada süüdistatavate parima kohtusse andmise koha juhul, kui asja võib esitada kohtusse mitmes riigis.</w:t>
      </w:r>
    </w:p>
    <w:p w:rsidR="00D032BE" w:rsidRPr="00D032BE" w:rsidRDefault="00D032BE" w:rsidP="00D032BE">
      <w:pPr>
        <w:pStyle w:val="kehatekst"/>
      </w:pPr>
      <w:r w:rsidRPr="00D032BE">
        <w:t>Vastastikuse õigusabi taotlusi esitades peaksid riigid rakendama oma parimaid jõupingutusi täieliku faktilise ja õigusliku teabe andmiseks, mis võimaldab vastata taotlustele õigeaegselt ja tõhusalt, võttes arvesse taotluse pakilisust, ning edastama taotlused kiires korras. Enne taotluste saatmist peaksid riigid andma endast parima abi saamise suhtes kehtivate seadusenõuete ja formaalsuste kindlakstegemiseks.</w:t>
      </w:r>
    </w:p>
    <w:p w:rsidR="00D032BE" w:rsidRPr="00D032BE" w:rsidRDefault="00D032BE" w:rsidP="00D032BE">
      <w:pPr>
        <w:pStyle w:val="kehatekst"/>
      </w:pPr>
      <w:r w:rsidRPr="00D032BE">
        <w:t xml:space="preserve">Vastastikuse õigusabi eest vastutavatele asutustele (nt keskne asutus) tuleks tagada piisavad rahalised, inim- ja tehnilised ressursid. Riigid peaksid kehtestama korra tagamaks, et selliste asutuste töötajad järgivad kõrgeid kutsealaseid norme, sh konfidentsiaalsust puudutavaid norme, ning on </w:t>
      </w:r>
      <w:r w:rsidR="0043438E">
        <w:t>laitmatu ärialase reputatsiooni</w:t>
      </w:r>
      <w:r w:rsidRPr="00D032BE">
        <w:t xml:space="preserve"> ja oskustega.</w:t>
      </w:r>
    </w:p>
    <w:p w:rsidR="00D032BE" w:rsidRPr="00D032BE" w:rsidRDefault="00D032BE" w:rsidP="00D032BE">
      <w:pPr>
        <w:pStyle w:val="A-pealkiri"/>
      </w:pPr>
      <w:r w:rsidRPr="00D032BE">
        <w:t xml:space="preserve">38. </w:t>
      </w:r>
      <w:r w:rsidRPr="00D032BE">
        <w:tab/>
        <w:t>Vastastikune õigusabi: blokeerimine ja konfiskeerimine *</w:t>
      </w:r>
    </w:p>
    <w:p w:rsidR="00D032BE" w:rsidRPr="00D032BE" w:rsidRDefault="00D032BE" w:rsidP="00D032BE">
      <w:pPr>
        <w:pStyle w:val="kehatekst"/>
      </w:pPr>
      <w:r w:rsidRPr="00D032BE">
        <w:t xml:space="preserve">Riigid peaksid tagama volituste olemasolu kiireks reageerimiseks välisriikide taotlustele teha kindlaks, blokeerida, arestida ja konfiskeerida rahapesu objektiks olevat vara, rahapesu, eelkuritegude ja terrorismi rahastamise tulemusel saadud vara ning nende õigusrikkumiste toimepanemisel kasutatud </w:t>
      </w:r>
      <w:r w:rsidRPr="00D032BE">
        <w:lastRenderedPageBreak/>
        <w:t>või kavandatud abivahendeid või vastava väärtusega vara. Need volitused peaksid hõlmama ka sellistele taotlustele vastamist, mis on esitatud ilma süüdimõistva kohtuotsuseta konfiskeerimise menetluse ja sellega seotud ajutiste meetmete põhjal, välja arvatud juhul, kui see on vastuolus siseriikliku õiguse aluspõhimõtetega. Samuti peaksid riigid kehtestama tõhusad mehhanismid sellise vara, abivahendite või vastava väärtusega vara haldamiseks ning sõlmima arestimis- ja konfiskeerimismenetluste kooskõlastamise kokkulepped, mis peaksid hõlmama ka konfiskeeritud vara jagamist.</w:t>
      </w:r>
    </w:p>
    <w:p w:rsidR="00D032BE" w:rsidRPr="00D032BE" w:rsidRDefault="00D032BE" w:rsidP="00D032BE">
      <w:pPr>
        <w:pStyle w:val="A-pealkiri"/>
      </w:pPr>
      <w:r w:rsidRPr="00D032BE">
        <w:t xml:space="preserve">39. </w:t>
      </w:r>
      <w:r w:rsidRPr="00D032BE">
        <w:tab/>
        <w:t>Väljaandmine</w:t>
      </w:r>
    </w:p>
    <w:p w:rsidR="00D032BE" w:rsidRPr="00D032BE" w:rsidRDefault="00D032BE" w:rsidP="00D032BE">
      <w:pPr>
        <w:pStyle w:val="kehatekst"/>
      </w:pPr>
      <w:r w:rsidRPr="00D032BE">
        <w:t>Riigid peaksid ilma põhjendamatute viivitusteta konstruktiivselt ja tõhusalt reageerima rahapesu ja terrorismi rahastamisega seotud väljaandmistaotlustele. Samuti peaksid riigid rakendama kõik</w:t>
      </w:r>
      <w:r w:rsidR="0043438E">
        <w:t>i</w:t>
      </w:r>
      <w:r w:rsidRPr="00D032BE">
        <w:t xml:space="preserve"> võimalik</w:t>
      </w:r>
      <w:r w:rsidR="0043438E">
        <w:t>ke</w:t>
      </w:r>
      <w:r w:rsidRPr="00D032BE">
        <w:t xml:space="preserve"> meetmed, et vältida varjupaiga andmist terrorismi rahastamises, terrorikuritegudes või terroristlikku ühendusse kuulumises süüdistatavatele isikutele. Eelkõige peaksid riigid</w:t>
      </w:r>
      <w:r w:rsidR="00B82ED5">
        <w:t>:</w:t>
      </w:r>
    </w:p>
    <w:p w:rsidR="00D032BE" w:rsidRPr="00D032BE" w:rsidRDefault="00D032BE" w:rsidP="00D032BE">
      <w:pPr>
        <w:pStyle w:val="a-thtloend"/>
      </w:pPr>
      <w:r w:rsidRPr="00D032BE">
        <w:t xml:space="preserve">a) </w:t>
      </w:r>
      <w:r w:rsidRPr="00D032BE">
        <w:tab/>
        <w:t>tunnustama rahapesu ja terrorismi rahastamist kui õigusrikkumisi, mille puhul kohaldatakse väljaandmist;</w:t>
      </w:r>
    </w:p>
    <w:p w:rsidR="00D032BE" w:rsidRPr="00D032BE" w:rsidRDefault="00D032BE" w:rsidP="00D032BE">
      <w:pPr>
        <w:pStyle w:val="a-thtloend"/>
      </w:pPr>
      <w:r w:rsidRPr="00D032BE">
        <w:t xml:space="preserve">b) </w:t>
      </w:r>
      <w:r w:rsidRPr="00D032BE">
        <w:tab/>
        <w:t>tagama selgete ja tõhusate menetluste olemasolu väljaandmistaotluste õigeaegseks täitmiseks, võttes vajaduse korral arvesse taotluse prioriteetsust. Taotluste täitmise jälgimiseks tuleks kasutada juhtumite haldamise süsteemi;</w:t>
      </w:r>
    </w:p>
    <w:p w:rsidR="00D032BE" w:rsidRPr="00D032BE" w:rsidRDefault="00D032BE" w:rsidP="00D032BE">
      <w:pPr>
        <w:pStyle w:val="a-thtloend"/>
      </w:pPr>
      <w:r w:rsidRPr="00D032BE">
        <w:t xml:space="preserve">c) </w:t>
      </w:r>
      <w:r w:rsidRPr="00D032BE">
        <w:tab/>
        <w:t>mitte kehtestama taotluste täitmisele ebamõistlikult või põhjendamatult piiravaid tingimusi; ja</w:t>
      </w:r>
    </w:p>
    <w:p w:rsidR="00D032BE" w:rsidRPr="00D032BE" w:rsidRDefault="00D032BE" w:rsidP="00D032BE">
      <w:pPr>
        <w:pStyle w:val="a-thtloend"/>
      </w:pPr>
      <w:r w:rsidRPr="00D032BE">
        <w:t xml:space="preserve">d) </w:t>
      </w:r>
      <w:r w:rsidRPr="00D032BE">
        <w:tab/>
        <w:t>tagama väljaandmiseks piisava õigusraamistiku olemasolu.</w:t>
      </w:r>
    </w:p>
    <w:p w:rsidR="00D032BE" w:rsidRPr="00D032BE" w:rsidRDefault="00D032BE" w:rsidP="00D032BE">
      <w:pPr>
        <w:pStyle w:val="kehatekst"/>
      </w:pPr>
      <w:r w:rsidRPr="00D032BE">
        <w:t>Iga riik peaks kas andma oma kodanikud välja või, kui riik ei tee seda vaid kodakondsuse tõttu, esitama väljaandmist taotleva riigi palvel asja ilma põhjendamatu viivituseta oma pädevatele asutustele taotluses kirjeldatud õigusrikkumiste eest vastutusele võtmiseks. Kõnealused ametiasutused peaksid tegema otsuse ja teostama menetluse samal viisil nagu iga muu tõsise õigusrikkumise korral vastavalt selle riigi õigusele. Asjaomased riigid peaksid tegema koostööd, eelkõige menetluslikes ja tõendamisküsimustes, et tagada tõhus vastutuselevõtmine.</w:t>
      </w:r>
    </w:p>
    <w:p w:rsidR="00B82ED5" w:rsidRDefault="00D032BE" w:rsidP="00D032BE">
      <w:pPr>
        <w:pStyle w:val="kehatekst"/>
      </w:pPr>
      <w:r w:rsidRPr="00D032BE">
        <w:t xml:space="preserve">Kui vastastikuse õigusabi andmise eelduseks on </w:t>
      </w:r>
      <w:r w:rsidR="00B82ED5">
        <w:t>identne norm</w:t>
      </w:r>
      <w:r w:rsidRPr="00D032BE">
        <w:t>, tuleks see nõue lugeda rahuldatuks, kui mõlemad riigid näevad õigusrikkumise aluseks olnud teo eest ette kriminaalvastutuse, olenemata sellest, kas mõlemad riigid liigitavad õigusrikkumise samasse õigusrikkumiste kategooriasse või käsitlevad õigusrikkumist sama terminoloogia alusel.</w:t>
      </w:r>
      <w:r w:rsidR="00B82ED5">
        <w:t xml:space="preserve"> </w:t>
      </w:r>
    </w:p>
    <w:p w:rsidR="00D032BE" w:rsidRPr="00D032BE" w:rsidRDefault="00D032BE" w:rsidP="00D032BE">
      <w:pPr>
        <w:pStyle w:val="kehatekst"/>
      </w:pPr>
      <w:r w:rsidRPr="00D032BE">
        <w:t xml:space="preserve">Kooskõlas oma siseriikliku õiguse aluspõhimõtetega peaksid riigid kehtestama lihtsustatud väljaandmismehhanismid, näiteks võimaldades ajutise vahistamise </w:t>
      </w:r>
      <w:r w:rsidRPr="00D032BE">
        <w:lastRenderedPageBreak/>
        <w:t>taotluste otseedastamist asjaomaste asutuste vahel, andes isikuid välja ainult vahistamismääruse või kohtuotsuse alusel või rakendades lihtsustatud väljaandmist sellega nõus olevate isikute puhul, kes loobuvad formaalsest väljaandmismenetlusest. Väljaandmise eest vastutavatel asutustel peaksid olema piisavad rahalised, inim- ja tehnilised ressursid. Riigid peaksid kehtestama korra tagamaks, et selliste asutuste töötajad järgivad kõrgeid kutsealaseid norme, sh konfidentsiaalsust puudutavaid norme, ni</w:t>
      </w:r>
      <w:r w:rsidR="00B82ED5">
        <w:t>ng on laitmatu</w:t>
      </w:r>
      <w:r w:rsidRPr="00D032BE">
        <w:t xml:space="preserve"> </w:t>
      </w:r>
      <w:r w:rsidR="00B82ED5">
        <w:t>erialase reputatsiooniga</w:t>
      </w:r>
      <w:r w:rsidRPr="00D032BE">
        <w:t xml:space="preserve"> ja oskustega.</w:t>
      </w:r>
    </w:p>
    <w:p w:rsidR="00D032BE" w:rsidRPr="00D032BE" w:rsidRDefault="00D032BE" w:rsidP="00D032BE">
      <w:pPr>
        <w:pStyle w:val="A-pealkiri"/>
      </w:pPr>
      <w:r w:rsidRPr="00D032BE">
        <w:t xml:space="preserve">40. </w:t>
      </w:r>
      <w:r w:rsidRPr="00D032BE">
        <w:tab/>
        <w:t>Muud rahvusvahelise koostöö vormid *</w:t>
      </w:r>
    </w:p>
    <w:p w:rsidR="00D032BE" w:rsidRPr="00D032BE" w:rsidRDefault="00D032BE" w:rsidP="00D032BE">
      <w:pPr>
        <w:pStyle w:val="kehatekst"/>
      </w:pPr>
      <w:r w:rsidRPr="00D032BE">
        <w:t xml:space="preserve">Riigid peaksid tagama, et nende pädevad asutused suudavad teha võimalikult laiaulatuslikku kiiret, konstruktiivset ja tulemuslikku rahvusvahelist koostööd seoses rahapesu, sellega seotud eelkuritegude ja terrorismi rahastamisega. Riigid peaksid tegema koostööd nii spontaanselt kui ka taotluste alusel ning koostöö peaks põhinema õiguslikel alustel. Riigid peaksid volitama oma pädevaid asutusi kasutama kõige tõhusamaid koostöömeetodeid. Kui pädev asutus vajab kahe- või mitmepoolset lepingut või kokkulepet, nagu näiteks vastastikuse mõistmise memorandumit, tuleks selle tingimustes kokku leppida ja see õigeaegselt allkirjastada võimalikult paljude </w:t>
      </w:r>
      <w:r w:rsidR="00B86CDE" w:rsidRPr="00E079EA">
        <w:t>välis</w:t>
      </w:r>
      <w:r w:rsidRPr="0015141A">
        <w:t>riigi</w:t>
      </w:r>
      <w:r w:rsidRPr="00D032BE">
        <w:t xml:space="preserve"> osalistega.</w:t>
      </w:r>
    </w:p>
    <w:p w:rsidR="00D032BE" w:rsidRPr="00D032BE" w:rsidRDefault="00D032BE" w:rsidP="00D032BE">
      <w:pPr>
        <w:pStyle w:val="kehatekst"/>
      </w:pPr>
      <w:r w:rsidRPr="00D032BE">
        <w:t>Pädevad asutused peaksid kasutama teabe ja muu abi taotluste tõhusaks edastamiseks ja täitmiseks selgeid kanaleid või mehhanisme. Pädevad asutused peaksid kehtestama selged ja tõhusad menetlused taotluste prioriteetuse määramiseks ja taotluste täitmiseks ning saadud teabe kaitsmiseks.</w:t>
      </w:r>
    </w:p>
    <w:p w:rsidR="00D032BE" w:rsidRPr="00D032BE" w:rsidRDefault="00D032BE" w:rsidP="00D032BE">
      <w:pPr>
        <w:rPr>
          <w:rFonts w:ascii="Cambria" w:hAnsi="Cambria"/>
          <w:sz w:val="21"/>
          <w:szCs w:val="21"/>
          <w:lang w:val="et-EE"/>
        </w:rPr>
      </w:pPr>
      <w:r w:rsidRPr="00D032BE">
        <w:rPr>
          <w:lang w:val="et-EE"/>
        </w:rPr>
        <w:br w:type="page"/>
      </w:r>
    </w:p>
    <w:p w:rsidR="00D032BE" w:rsidRPr="00D032BE" w:rsidRDefault="00D032BE" w:rsidP="00D032BE">
      <w:pPr>
        <w:pStyle w:val="Pealkiri1"/>
      </w:pPr>
      <w:bookmarkStart w:id="9" w:name="_Toc338857794"/>
      <w:bookmarkStart w:id="10" w:name="_Ref338857980"/>
      <w:r w:rsidRPr="00D032BE">
        <w:lastRenderedPageBreak/>
        <w:t>FATFi SOOVITUSTE TÕLGENDAVAD MÄRKUSED</w:t>
      </w:r>
      <w:bookmarkEnd w:id="9"/>
      <w:bookmarkEnd w:id="10"/>
    </w:p>
    <w:p w:rsidR="00D032BE" w:rsidRPr="00D032BE" w:rsidRDefault="00D032BE" w:rsidP="00D032BE">
      <w:pPr>
        <w:pStyle w:val="Pealkiri2"/>
      </w:pPr>
      <w:r w:rsidRPr="00D032BE">
        <w:t>SOOVITUSE</w:t>
      </w:r>
      <w:r w:rsidR="00847867">
        <w:t xml:space="preserve"> </w:t>
      </w:r>
      <w:r w:rsidRPr="00D032BE">
        <w:t>1 TÕLGENDAV MÄRKUS</w:t>
      </w:r>
    </w:p>
    <w:p w:rsidR="00D032BE" w:rsidRPr="00D032BE" w:rsidRDefault="00D032BE" w:rsidP="00D032BE">
      <w:pPr>
        <w:pStyle w:val="Pealkiri2"/>
      </w:pPr>
      <w:r w:rsidRPr="00D032BE">
        <w:t>(RISKIDE HINDAMINE JA RISKIPÕHISE LÄHENEMISE RAKENDAMINE)</w:t>
      </w:r>
    </w:p>
    <w:p w:rsidR="00D032BE" w:rsidRPr="00D032BE" w:rsidRDefault="00D032BE" w:rsidP="00D032BE">
      <w:pPr>
        <w:pStyle w:val="Kehatekstloend"/>
      </w:pPr>
      <w:r w:rsidRPr="00D032BE">
        <w:t xml:space="preserve">1. </w:t>
      </w:r>
      <w:r w:rsidRPr="00D032BE">
        <w:tab/>
      </w:r>
      <w:r w:rsidR="00E24ED2">
        <w:t>Riskipõhine lähenemine on tõhus vahend rahapesu ja terrorismi vastu võitlemisel. R</w:t>
      </w:r>
      <w:r w:rsidRPr="00D032BE">
        <w:t xml:space="preserve">iskipõhise lähenemise rakendamise üle otsustamisel peaksid riigid arvesse võtma asjaomase sektori võimekust ja kogemusi </w:t>
      </w:r>
      <w:r w:rsidR="002A32CF">
        <w:t>rahapesu</w:t>
      </w:r>
      <w:r w:rsidRPr="00D032BE">
        <w:t xml:space="preserve"> ja terrorismi rahastamise </w:t>
      </w:r>
      <w:r w:rsidR="002A32CF">
        <w:t>tõkestamise</w:t>
      </w:r>
      <w:r w:rsidR="00162FFB">
        <w:t>l</w:t>
      </w:r>
      <w:r w:rsidRPr="00D032BE">
        <w:t xml:space="preserve">. Riigid peaksid meeles pidama, et riskipõhise lähenemisega </w:t>
      </w:r>
      <w:r w:rsidR="006043CB">
        <w:t>finantsasutus</w:t>
      </w:r>
      <w:r w:rsidRPr="00D032BE">
        <w:t xml:space="preserve">ele ja mittefinantsteenuseid pakkuvatele </w:t>
      </w:r>
      <w:r w:rsidR="00E24ED2">
        <w:t>kohustatud</w:t>
      </w:r>
      <w:r w:rsidRPr="00D032BE">
        <w:t xml:space="preserve"> ettevõtjatele ja kutsetööt</w:t>
      </w:r>
      <w:r w:rsidR="008F0DB8">
        <w:t>ajatele antav otsustusvabadus ning</w:t>
      </w:r>
      <w:r w:rsidRPr="00D032BE">
        <w:t xml:space="preserve"> </w:t>
      </w:r>
      <w:r w:rsidR="008F0DB8">
        <w:t>seatav</w:t>
      </w:r>
      <w:r w:rsidRPr="00D032BE">
        <w:t xml:space="preserve"> vastutus on asjakohasem sektorites, mille </w:t>
      </w:r>
      <w:r w:rsidR="002A32CF">
        <w:t>rahapesu</w:t>
      </w:r>
      <w:r w:rsidRPr="00D032BE">
        <w:t xml:space="preserve"> ja terrorismi rahastamise </w:t>
      </w:r>
      <w:r w:rsidR="002A32CF">
        <w:t>tõkestamise</w:t>
      </w:r>
      <w:r w:rsidRPr="00D032BE">
        <w:t xml:space="preserve"> võimekus ja kogemused on suuremad. See ei tohiks vabastada </w:t>
      </w:r>
      <w:r w:rsidR="006043CB">
        <w:t>finantsasutus</w:t>
      </w:r>
      <w:r w:rsidRPr="00D032BE">
        <w:t xml:space="preserve">i ja mittefinantsteenuseid pakkuvaid </w:t>
      </w:r>
      <w:r w:rsidR="008F0DB8">
        <w:t>kohustatud</w:t>
      </w:r>
      <w:r w:rsidRPr="00D032BE">
        <w:t xml:space="preserve"> ettevõtjaid ja kutsetöötajaid kohustusest rakendada kindlakstehtud kõrgema </w:t>
      </w:r>
      <w:r w:rsidR="00213F51" w:rsidRPr="00D032BE">
        <w:t>riski</w:t>
      </w:r>
      <w:r w:rsidR="00213F51">
        <w:t>astmega</w:t>
      </w:r>
      <w:r w:rsidR="00213F51" w:rsidRPr="00D032BE">
        <w:t xml:space="preserve"> </w:t>
      </w:r>
      <w:r w:rsidRPr="00D032BE">
        <w:t xml:space="preserve">stsenaariumite korral tugevdatud meetmeid. Riskipõhise lähenemise rakendamisel peaksid pädevad asutused, </w:t>
      </w:r>
      <w:r w:rsidR="006043CB">
        <w:t>finantsasutus</w:t>
      </w:r>
      <w:r w:rsidRPr="00D032BE">
        <w:t xml:space="preserve">ed ja mittefinantsteenuseid pakkuvad </w:t>
      </w:r>
      <w:r w:rsidR="008F0DB8">
        <w:t>kohustatud</w:t>
      </w:r>
      <w:r w:rsidRPr="00D032BE">
        <w:t xml:space="preserve"> ettevõtjad ja kutsetöötajad olema suutelised tagama, et rahapesu ja terrorismi rahastamise ennetamiseks või </w:t>
      </w:r>
      <w:r w:rsidR="008F0DB8">
        <w:t>maandamiseks</w:t>
      </w:r>
      <w:r w:rsidRPr="00D032BE">
        <w:t xml:space="preserve"> rakendatavad meetmed </w:t>
      </w:r>
      <w:r w:rsidR="008F0DB8">
        <w:t>vastavad</w:t>
      </w:r>
      <w:r w:rsidRPr="00D032BE">
        <w:t xml:space="preserve"> </w:t>
      </w:r>
      <w:r w:rsidR="008F0DB8">
        <w:t>tuvastatud</w:t>
      </w:r>
      <w:r w:rsidRPr="00D032BE">
        <w:t xml:space="preserve"> riskid</w:t>
      </w:r>
      <w:r w:rsidR="008F0DB8">
        <w:t>ele, võimaldades</w:t>
      </w:r>
      <w:r w:rsidRPr="00D032BE">
        <w:t xml:space="preserve"> otsustada, kuidas oma ressursse kõige otstarbekamalt kasutada.</w:t>
      </w:r>
    </w:p>
    <w:p w:rsidR="00D032BE" w:rsidRPr="00D032BE" w:rsidRDefault="00D032BE" w:rsidP="00D032BE">
      <w:pPr>
        <w:pStyle w:val="Kehatekstloend"/>
      </w:pPr>
      <w:r w:rsidRPr="00D032BE">
        <w:t xml:space="preserve">2. </w:t>
      </w:r>
      <w:r w:rsidRPr="00D032BE">
        <w:tab/>
        <w:t xml:space="preserve">Riskipõhise lähenemise rakendamisel peaksid </w:t>
      </w:r>
      <w:r w:rsidR="006043CB">
        <w:t>finantsasutus</w:t>
      </w:r>
      <w:r w:rsidRPr="00D032BE">
        <w:t xml:space="preserve">ed ja mittefinantsteenuseid pakkuvad </w:t>
      </w:r>
      <w:r w:rsidR="008F0DB8">
        <w:t>kohustatud</w:t>
      </w:r>
      <w:r w:rsidRPr="00D032BE">
        <w:t xml:space="preserve"> ettevõtjad ja kutsetöötajad kehtestama menetlused rahapesu ja terrorismi rahastamise riskide kindlakstegemiseks, hindamiseks, seireks, juhtimiseks ja </w:t>
      </w:r>
      <w:r w:rsidR="008F0DB8">
        <w:t>maandamiseks</w:t>
      </w:r>
      <w:r w:rsidRPr="00D032BE">
        <w:t xml:space="preserve">. Riskipõhise lähenemise üldpõhimõte on, et </w:t>
      </w:r>
      <w:r w:rsidR="008F0DB8">
        <w:t xml:space="preserve">kõrgema </w:t>
      </w:r>
      <w:r w:rsidR="00213F51">
        <w:t>riskiast</w:t>
      </w:r>
      <w:r w:rsidR="008F0DB8">
        <w:t>me korral</w:t>
      </w:r>
      <w:r w:rsidRPr="00D032BE">
        <w:t xml:space="preserve">, peaksid riigid kohustama </w:t>
      </w:r>
      <w:r w:rsidR="006043CB">
        <w:t>finantsasutus</w:t>
      </w:r>
      <w:r w:rsidRPr="00D032BE">
        <w:t xml:space="preserve">i ja mittefinantsteenuseid pakkuvaid määratud ettevõtjaid ja kutsetöötajaid võtma nende riskide juhtimiseks ja vähendamiseks tugevdatud meetmeid, ning kui </w:t>
      </w:r>
      <w:r w:rsidR="00213F51" w:rsidRPr="00D032BE">
        <w:t>riski</w:t>
      </w:r>
      <w:r w:rsidR="00213F51">
        <w:t>aste</w:t>
      </w:r>
      <w:r w:rsidR="00213F51" w:rsidRPr="00D032BE">
        <w:t xml:space="preserve"> </w:t>
      </w:r>
      <w:r w:rsidRPr="00D032BE">
        <w:t xml:space="preserve">on madalam, võivad olla lubatud lihtsustatud meetmed. Rahapesu või terrorismi rahastamise kahtluste korral ei tohiks lihtsustatud meetmed olla lubatud. Seda, kuidas see üldpõhimõte konkreetsete nõuete puhul kehtib, on täpsemalt kirjeldatud konkreetsetes soovitustes. </w:t>
      </w:r>
      <w:r w:rsidR="008F0DB8">
        <w:t>Piiritletud juhtudel</w:t>
      </w:r>
      <w:r w:rsidRPr="00D032BE">
        <w:t xml:space="preserve"> ja kui rahapesu ja terrorismi rahastamise risk on tõendatult väike, võivad riigid otsustada mitte kohaldada teatavaid soovitusi mingit konkreetset liiki </w:t>
      </w:r>
      <w:r w:rsidR="006043CB">
        <w:t>finantsasutus</w:t>
      </w:r>
      <w:r w:rsidRPr="00D032BE">
        <w:t xml:space="preserve">te või tegevuse või mittefinantsteenuseid pakkuvate </w:t>
      </w:r>
      <w:r w:rsidR="008F0DB8">
        <w:t xml:space="preserve">kohustatud </w:t>
      </w:r>
      <w:r w:rsidRPr="00D032BE">
        <w:t xml:space="preserve">ettevõtjate ja kutsetöötajate suhtes (vt allpool). Samamoodi, kui riigid teevad oma riskihindamise käigus kindlaks, et on asutuste, tegevuste, äriühingute või kutsealade liike, mille puhul eksisteerib nende rahapesuks ja terrorismi rahastamiseks kuritarvitamise risk ning mis ei lange </w:t>
      </w:r>
      <w:r w:rsidR="006043CB">
        <w:t>finantsasutus</w:t>
      </w:r>
      <w:r w:rsidRPr="00D032BE">
        <w:t xml:space="preserve">te või mittefinantsteenuseid pakkuvate määratud ettevõtjate ja kutsetöötajate määratluse alla, peaksid need riigid kaaluma rahapesu ja terrorismi rahastamise </w:t>
      </w:r>
      <w:r w:rsidR="00A35E9F">
        <w:t>tõkestamise</w:t>
      </w:r>
      <w:r w:rsidRPr="00D032BE">
        <w:t xml:space="preserve"> nõuete kohaldamist ka nendele sektoritele.</w:t>
      </w:r>
    </w:p>
    <w:p w:rsidR="00D032BE" w:rsidRPr="00D032BE" w:rsidRDefault="00D032BE" w:rsidP="00D032BE">
      <w:pPr>
        <w:pStyle w:val="A-pealkiri"/>
      </w:pPr>
      <w:r w:rsidRPr="00D032BE">
        <w:lastRenderedPageBreak/>
        <w:t xml:space="preserve">A. </w:t>
      </w:r>
      <w:r w:rsidRPr="00D032BE">
        <w:tab/>
        <w:t>Riikide kohustused ja otsused</w:t>
      </w:r>
    </w:p>
    <w:p w:rsidR="00D032BE" w:rsidRPr="00D032BE" w:rsidRDefault="00D032BE" w:rsidP="00D032BE">
      <w:pPr>
        <w:pStyle w:val="Kehatekstloend"/>
      </w:pPr>
      <w:r w:rsidRPr="00D032BE">
        <w:t xml:space="preserve">3. </w:t>
      </w:r>
      <w:r w:rsidRPr="00D032BE">
        <w:tab/>
      </w:r>
      <w:r w:rsidRPr="00D032BE">
        <w:rPr>
          <w:rFonts w:ascii="Calibri" w:hAnsi="Calibri" w:cs="Calibri"/>
          <w:b/>
          <w:color w:val="348093"/>
        </w:rPr>
        <w:t>Riskide hindamine</w:t>
      </w:r>
      <w:r w:rsidRPr="00D032BE">
        <w:rPr>
          <w:color w:val="348093"/>
        </w:rPr>
        <w:t xml:space="preserve"> </w:t>
      </w:r>
      <w:r w:rsidRPr="00D032BE">
        <w:t>– riigid</w:t>
      </w:r>
      <w:r w:rsidRPr="00D032BE">
        <w:rPr>
          <w:rStyle w:val="Allmrkuseviide"/>
        </w:rPr>
        <w:footnoteReference w:id="1"/>
      </w:r>
      <w:r w:rsidRPr="00D032BE">
        <w:t xml:space="preserve"> peaksid astuma asjakohaseid samme oma riigis rahapesu ja terrorismi rahastamise riskide jooksvaks kindlakstegemiseks ja hindamiseks eesmärgiga: i) teavitada võimalikest muudatustest riigi </w:t>
      </w:r>
      <w:r w:rsidR="002A32CF">
        <w:t>rahapesu</w:t>
      </w:r>
      <w:r w:rsidRPr="00D032BE">
        <w:t xml:space="preserve"> ja terrorismi rahastamise </w:t>
      </w:r>
      <w:r w:rsidR="002A32CF">
        <w:t>tõkestamise</w:t>
      </w:r>
      <w:r w:rsidRPr="00D032BE">
        <w:t xml:space="preserve"> süsteemis, sh seaduste, määruste ja muude meetmete muudatustest, </w:t>
      </w:r>
      <w:proofErr w:type="spellStart"/>
      <w:r w:rsidRPr="00D032BE">
        <w:t>ii</w:t>
      </w:r>
      <w:proofErr w:type="spellEnd"/>
      <w:r w:rsidRPr="00D032BE">
        <w:t xml:space="preserve">) abistada pädevaid asutusi rahapesu ja terrorismi rahastamise tõkestamiseks ressursside eraldamisel ja prioriteetsuse määratlemisel, ning </w:t>
      </w:r>
      <w:proofErr w:type="spellStart"/>
      <w:r w:rsidRPr="00D032BE">
        <w:t>iii</w:t>
      </w:r>
      <w:proofErr w:type="spellEnd"/>
      <w:r w:rsidRPr="00D032BE">
        <w:t xml:space="preserve">) teha teave kättesaadavaks rahapesu ja terrorismi rahastamise riskide hindamiseks, mida teostavad </w:t>
      </w:r>
      <w:r w:rsidR="006043CB">
        <w:t>finantsasutus</w:t>
      </w:r>
      <w:r w:rsidRPr="00D032BE">
        <w:t>te ja mittefinantsteenuseid pakkuvate määratud ettevõtjad ja kutsetöötajad. Riigid peaksid tagama riskihinnangute ajakohasuse ja kehtestama mehhanismid tulemuste kohta asjakohase teabe andmiseks kõikidele asjaomastele pädevatele asutustel</w:t>
      </w:r>
      <w:r w:rsidR="006F4DF2">
        <w:t>e ja isereguleeruvatele organisatsioonidele</w:t>
      </w:r>
      <w:r w:rsidRPr="00D032BE">
        <w:t xml:space="preserve">, </w:t>
      </w:r>
      <w:r w:rsidR="006043CB">
        <w:t>finantsasutus</w:t>
      </w:r>
      <w:r w:rsidRPr="00D032BE">
        <w:t>tele ja mittefinantsteenuseid pakkuvatele määratud ettevõtjatele ja kutsetöötajatele.</w:t>
      </w:r>
    </w:p>
    <w:p w:rsidR="00D032BE" w:rsidRPr="00D032BE" w:rsidRDefault="00D032BE" w:rsidP="00D032BE">
      <w:pPr>
        <w:pStyle w:val="Kehatekstloend"/>
      </w:pPr>
      <w:r w:rsidRPr="00D032BE">
        <w:t xml:space="preserve">4. </w:t>
      </w:r>
      <w:r w:rsidRPr="00D032BE">
        <w:tab/>
      </w:r>
      <w:r w:rsidRPr="00D032BE">
        <w:rPr>
          <w:rFonts w:ascii="Calibri" w:hAnsi="Calibri" w:cs="Calibri"/>
          <w:b/>
          <w:color w:val="348093"/>
        </w:rPr>
        <w:t xml:space="preserve">Kõrgem </w:t>
      </w:r>
      <w:r w:rsidR="00213F51" w:rsidRPr="00D032BE">
        <w:rPr>
          <w:rFonts w:ascii="Calibri" w:hAnsi="Calibri" w:cs="Calibri"/>
          <w:b/>
          <w:color w:val="348093"/>
        </w:rPr>
        <w:t>riski</w:t>
      </w:r>
      <w:r w:rsidR="00213F51">
        <w:rPr>
          <w:rFonts w:ascii="Calibri" w:hAnsi="Calibri" w:cs="Calibri"/>
          <w:b/>
          <w:color w:val="348093"/>
        </w:rPr>
        <w:t>aste</w:t>
      </w:r>
      <w:r w:rsidR="00213F51" w:rsidRPr="00D032BE">
        <w:t xml:space="preserve"> </w:t>
      </w:r>
      <w:r w:rsidRPr="00D032BE">
        <w:t xml:space="preserve">– kõrgema </w:t>
      </w:r>
      <w:r w:rsidR="00213F51" w:rsidRPr="00D032BE">
        <w:t>riski</w:t>
      </w:r>
      <w:r w:rsidR="00213F51">
        <w:t>astme</w:t>
      </w:r>
      <w:r w:rsidR="00213F51" w:rsidRPr="00D032BE">
        <w:t xml:space="preserve"> </w:t>
      </w:r>
      <w:r w:rsidRPr="00D032BE">
        <w:t xml:space="preserve">kindlakstegemise korral peaksid riigid tagama, et nende </w:t>
      </w:r>
      <w:r w:rsidR="002A32CF">
        <w:t>rahapesu</w:t>
      </w:r>
      <w:r w:rsidRPr="00D032BE">
        <w:t xml:space="preserve"> ja terrorismi rahastamise </w:t>
      </w:r>
      <w:r w:rsidR="002A32CF">
        <w:t>tõkestamise</w:t>
      </w:r>
      <w:r w:rsidRPr="00D032BE">
        <w:t xml:space="preserve"> meetmed vastavad sellele kõrgemale </w:t>
      </w:r>
      <w:r w:rsidR="00213F51" w:rsidRPr="00D032BE">
        <w:t>riski</w:t>
      </w:r>
      <w:r w:rsidR="00213F51">
        <w:t>astmele</w:t>
      </w:r>
      <w:r w:rsidR="00213F51" w:rsidRPr="00D032BE">
        <w:t xml:space="preserve"> </w:t>
      </w:r>
      <w:r w:rsidRPr="00D032BE">
        <w:t xml:space="preserve">ning ilma, et see piiraks riikide poolt selle kõrgema </w:t>
      </w:r>
      <w:r w:rsidR="00213F51" w:rsidRPr="00D032BE">
        <w:t>riski</w:t>
      </w:r>
      <w:r w:rsidR="00213F51">
        <w:t>astme</w:t>
      </w:r>
      <w:r w:rsidR="00213F51" w:rsidRPr="00D032BE">
        <w:t xml:space="preserve"> </w:t>
      </w:r>
      <w:r w:rsidRPr="00D032BE">
        <w:t xml:space="preserve">vähendamiseks rakendatavaid mis tahes muid meetmeid, kas kohustama </w:t>
      </w:r>
      <w:r w:rsidR="006043CB">
        <w:t>finantsasutus</w:t>
      </w:r>
      <w:r w:rsidRPr="00D032BE">
        <w:t xml:space="preserve">i ja mittefinantsteenuseid pakkuvaid määratud ettevõtjaid ja kutsetöötajaid võtma tugevdatud meetmeid riskide juhtimiseks ja vähendamiseks või tagama selle teabe lisamise </w:t>
      </w:r>
      <w:r w:rsidR="006043CB">
        <w:t>finantsasutus</w:t>
      </w:r>
      <w:r w:rsidRPr="00D032BE">
        <w:t xml:space="preserve">te ja mittefinantsteenuseid pakkuvate määratud ettevõtjate ja kutsetöötajate teostatavatesse riskihindamistesse, et tagada riskide asjakohane juhtimine ja </w:t>
      </w:r>
      <w:r w:rsidR="008F0DB8">
        <w:t>maandamine</w:t>
      </w:r>
      <w:r w:rsidRPr="00D032BE">
        <w:t xml:space="preserve">. Kui FATFi soovitustes on määratletud kõrgema </w:t>
      </w:r>
      <w:r w:rsidR="00213F51" w:rsidRPr="00D032BE">
        <w:t>riski</w:t>
      </w:r>
      <w:r w:rsidR="00213F51">
        <w:t xml:space="preserve">astmega </w:t>
      </w:r>
      <w:r w:rsidRPr="00D032BE">
        <w:t xml:space="preserve">tegevused, mille puhul on nõutavad tugevdatud või spetsiifilised meetmed, tuleb kõiki selliseid meetmeid rakendada, kuigi nende meetmete ulatus </w:t>
      </w:r>
      <w:r w:rsidR="008F0DB8">
        <w:t>sõltub konkreetsest</w:t>
      </w:r>
      <w:r w:rsidRPr="00D032BE">
        <w:t xml:space="preserve"> </w:t>
      </w:r>
      <w:r w:rsidR="00213F51" w:rsidRPr="00D032BE">
        <w:t>riski</w:t>
      </w:r>
      <w:r w:rsidR="008F0DB8">
        <w:t>astmest</w:t>
      </w:r>
      <w:r w:rsidRPr="00D032BE">
        <w:t>.</w:t>
      </w:r>
    </w:p>
    <w:p w:rsidR="00D032BE" w:rsidRPr="00D032BE" w:rsidRDefault="00D032BE" w:rsidP="00D032BE">
      <w:pPr>
        <w:pStyle w:val="Kehatekstloend"/>
      </w:pPr>
      <w:r w:rsidRPr="00D032BE">
        <w:t xml:space="preserve">5. </w:t>
      </w:r>
      <w:r w:rsidRPr="00D032BE">
        <w:tab/>
      </w:r>
      <w:r w:rsidR="008F0DB8">
        <w:rPr>
          <w:rFonts w:ascii="Calibri" w:hAnsi="Calibri" w:cs="Calibri"/>
          <w:b/>
          <w:color w:val="348093"/>
        </w:rPr>
        <w:t>Madal</w:t>
      </w:r>
      <w:r w:rsidRPr="00D032BE">
        <w:rPr>
          <w:rFonts w:ascii="Calibri" w:hAnsi="Calibri" w:cs="Calibri"/>
          <w:b/>
          <w:color w:val="348093"/>
        </w:rPr>
        <w:t xml:space="preserve"> </w:t>
      </w:r>
      <w:r w:rsidR="00213F51" w:rsidRPr="00D032BE">
        <w:rPr>
          <w:rFonts w:ascii="Calibri" w:hAnsi="Calibri" w:cs="Calibri"/>
          <w:b/>
          <w:color w:val="348093"/>
        </w:rPr>
        <w:t>riski</w:t>
      </w:r>
      <w:r w:rsidR="00213F51">
        <w:rPr>
          <w:rFonts w:ascii="Calibri" w:hAnsi="Calibri" w:cs="Calibri"/>
          <w:b/>
          <w:color w:val="348093"/>
        </w:rPr>
        <w:t>aste</w:t>
      </w:r>
      <w:r w:rsidR="00213F51" w:rsidRPr="00D032BE">
        <w:t xml:space="preserve"> </w:t>
      </w:r>
      <w:r w:rsidRPr="00D032BE">
        <w:t xml:space="preserve">– riigid võivad mõnede FATFi soovituste puhul, mille kohaselt </w:t>
      </w:r>
      <w:r w:rsidR="006043CB">
        <w:t>finantsasutus</w:t>
      </w:r>
      <w:r w:rsidRPr="00D032BE">
        <w:t xml:space="preserve">ed või mittefinantsteenuseid pakkuvad määratud ettevõtjad ja kutsetöötajad on kohustatud teatavaid tegevusi teostama, otsustada lubada lihtsustatud meetmete kasutamist tingimusel, et on tehtud kindlaks madalam </w:t>
      </w:r>
      <w:r w:rsidR="00213F51" w:rsidRPr="00D032BE">
        <w:t>riski</w:t>
      </w:r>
      <w:r w:rsidR="00213F51">
        <w:t>aste</w:t>
      </w:r>
      <w:r w:rsidR="00213F51" w:rsidRPr="00D032BE">
        <w:t xml:space="preserve"> </w:t>
      </w:r>
      <w:r w:rsidRPr="00D032BE">
        <w:t>ja see on kooskõlas riigi punktis 3 viidatud hinnanguga oma rahapesu ja terrorismi rahastamise riskidele.</w:t>
      </w:r>
    </w:p>
    <w:p w:rsidR="00D032BE" w:rsidRPr="00D032BE" w:rsidRDefault="00D032BE" w:rsidP="00D032BE">
      <w:pPr>
        <w:pStyle w:val="kehatekst"/>
      </w:pPr>
      <w:r w:rsidRPr="00D032BE">
        <w:t xml:space="preserve">Sõltumata mis tahes otsusest määratleda kooskõlas eelmise lõiguga teatavad madalamad riskiklassid, võivad riigid ka lubada </w:t>
      </w:r>
      <w:r w:rsidR="006043CB">
        <w:t>finantsasutus</w:t>
      </w:r>
      <w:r w:rsidRPr="00D032BE">
        <w:t xml:space="preserve">tel ja mittefinantsteenuseid pakkuvatel </w:t>
      </w:r>
      <w:r w:rsidR="008F0DB8">
        <w:t>kohustatud</w:t>
      </w:r>
      <w:r w:rsidRPr="00D032BE">
        <w:t xml:space="preserve"> ettevõtjatel ja kutsetöötajatel rakendada klientide suhtes lihtsustatud hoolsusmeetmeid, tingimusel et allpool punktis B („</w:t>
      </w:r>
      <w:r w:rsidR="006043CB">
        <w:t>Finantsasutus</w:t>
      </w:r>
      <w:r w:rsidRPr="00D032BE">
        <w:t xml:space="preserve">te ja mittefinantsteenuseid pakkuvate määratud </w:t>
      </w:r>
      <w:r w:rsidRPr="00D032BE">
        <w:lastRenderedPageBreak/>
        <w:t>ettevõtjate ja kutsetöötajate kohustused ja otsused”) ja punktis 7 sätestatud nõuded on täidetud.</w:t>
      </w:r>
    </w:p>
    <w:p w:rsidR="00D032BE" w:rsidRPr="00D032BE" w:rsidRDefault="00D032BE" w:rsidP="00D032BE">
      <w:pPr>
        <w:pStyle w:val="Kehatekstloend"/>
      </w:pPr>
      <w:r w:rsidRPr="00D032BE">
        <w:t xml:space="preserve">6. </w:t>
      </w:r>
      <w:r w:rsidRPr="00D032BE">
        <w:tab/>
      </w:r>
      <w:r w:rsidRPr="00D032BE">
        <w:rPr>
          <w:rFonts w:ascii="Calibri" w:hAnsi="Calibri" w:cs="Calibri"/>
          <w:b/>
          <w:color w:val="348093"/>
        </w:rPr>
        <w:t xml:space="preserve">Erandid </w:t>
      </w:r>
      <w:r w:rsidRPr="00D032BE">
        <w:t xml:space="preserve">– riigid võivad otsustada mitte kohaldada mõnesid FATFi soovitusi, mille kohaselt </w:t>
      </w:r>
      <w:r w:rsidR="006043CB">
        <w:t>finantsasutus</w:t>
      </w:r>
      <w:r w:rsidRPr="00D032BE">
        <w:t xml:space="preserve">ed või mittefinantsteenuseid pakkuvad </w:t>
      </w:r>
      <w:r w:rsidR="008F0DB8">
        <w:t>kohustatud</w:t>
      </w:r>
      <w:r w:rsidRPr="00D032BE">
        <w:t xml:space="preserve"> ettevõtjad ja kutsetöötajad on kohustatud teostama teatavaid tegevusi, tingimusel et</w:t>
      </w:r>
    </w:p>
    <w:p w:rsidR="00D032BE" w:rsidRPr="00D032BE" w:rsidRDefault="00D032BE" w:rsidP="00D032BE">
      <w:pPr>
        <w:pStyle w:val="a-thtloend"/>
      </w:pPr>
      <w:r w:rsidRPr="00D032BE">
        <w:t xml:space="preserve">a) </w:t>
      </w:r>
      <w:r w:rsidRPr="00D032BE">
        <w:tab/>
        <w:t xml:space="preserve">rahapesu ja terrorismi rahastamise risk on tõendatult väike, esineb üksnes rangelt piiratud ja põhjendatud asjaoludel ning on seotud konkreetset liiki </w:t>
      </w:r>
      <w:r w:rsidR="006043CB">
        <w:t>finantsasutus</w:t>
      </w:r>
      <w:r w:rsidRPr="00D032BE">
        <w:t>e või mittefinantsteenuseid pakkuva määratud ettevõtja või kutsetöötajaga; või</w:t>
      </w:r>
    </w:p>
    <w:p w:rsidR="00D032BE" w:rsidRPr="00D032BE" w:rsidRDefault="00D032BE" w:rsidP="00D032BE">
      <w:pPr>
        <w:pStyle w:val="a-thtloend"/>
      </w:pPr>
      <w:r w:rsidRPr="00D032BE">
        <w:t xml:space="preserve">b) </w:t>
      </w:r>
      <w:r w:rsidRPr="00D032BE">
        <w:tab/>
        <w:t xml:space="preserve">finantstegevust (muud kui raha või </w:t>
      </w:r>
      <w:r w:rsidR="004F64DC" w:rsidRPr="004F64DC">
        <w:t>alternatiivse</w:t>
      </w:r>
      <w:r w:rsidR="00847867">
        <w:t xml:space="preserve"> </w:t>
      </w:r>
      <w:r w:rsidR="004F64DC" w:rsidRPr="004F64DC">
        <w:t>maksevahendi</w:t>
      </w:r>
      <w:r w:rsidRPr="00D032BE">
        <w:t xml:space="preserve"> ülekandmine) teostab füüsiline või juriidiline isik juhuti või väga piiratud ulatuses (võttes arvesse nii kvantitatiivset kui ka absoluutset kriteeriumit), nii et rahapesu ja terrorismi rahastamise risk on väike.</w:t>
      </w:r>
    </w:p>
    <w:p w:rsidR="00D032BE" w:rsidRPr="00D032BE" w:rsidRDefault="00D032BE" w:rsidP="00D032BE">
      <w:pPr>
        <w:pStyle w:val="kehatekst"/>
      </w:pPr>
      <w:r w:rsidRPr="00D032BE">
        <w:t xml:space="preserve">Kuigi kogutav teave võib vastavalt </w:t>
      </w:r>
      <w:r w:rsidR="00213F51" w:rsidRPr="00D032BE">
        <w:t>riski</w:t>
      </w:r>
      <w:r w:rsidR="00213F51">
        <w:t>astmele</w:t>
      </w:r>
      <w:r w:rsidR="00213F51" w:rsidRPr="00D032BE">
        <w:t xml:space="preserve"> </w:t>
      </w:r>
      <w:r w:rsidRPr="00D032BE">
        <w:t>varieeruda, tuleks soovituses</w:t>
      </w:r>
      <w:r w:rsidR="00847867">
        <w:t xml:space="preserve"> </w:t>
      </w:r>
      <w:r w:rsidRPr="00D032BE">
        <w:t>11 sätestatud andmete säilitamise nõudeid kohaldada igasugusele kogutavale teabele.</w:t>
      </w:r>
    </w:p>
    <w:p w:rsidR="00D032BE" w:rsidRPr="00D032BE" w:rsidRDefault="00D032BE" w:rsidP="00D032BE">
      <w:pPr>
        <w:pStyle w:val="Kehatekstloend"/>
      </w:pPr>
      <w:r w:rsidRPr="00D032BE">
        <w:t xml:space="preserve">7. </w:t>
      </w:r>
      <w:r w:rsidRPr="00D032BE">
        <w:tab/>
      </w:r>
      <w:r w:rsidRPr="00D032BE">
        <w:rPr>
          <w:rFonts w:ascii="Calibri" w:hAnsi="Calibri" w:cs="Calibri"/>
          <w:b/>
          <w:color w:val="348093"/>
        </w:rPr>
        <w:t>Järelevalve ja riskide seire</w:t>
      </w:r>
      <w:r w:rsidRPr="00D032BE">
        <w:t xml:space="preserve"> – järelevalveasutused (või asjaomaste mittefinantsteenuseid pakkuvate määratud ettevõtjate ja kutsetöötajate s</w:t>
      </w:r>
      <w:r w:rsidR="006F4DF2">
        <w:t>ektorite isereguleeruvad organisatsioonid</w:t>
      </w:r>
      <w:r w:rsidRPr="00D032BE">
        <w:t xml:space="preserve">) peaksid tagama, et </w:t>
      </w:r>
      <w:r w:rsidR="006043CB">
        <w:t>finantsasutus</w:t>
      </w:r>
      <w:r w:rsidRPr="00D032BE">
        <w:t>ed ja mittefinantsteenuseid pakkuvad määratud ettevõtjad ja kutsetöötajad täidavad allpool sätestatud kohustusi tulemuslikult. Seda ülesannet täites peaksid järelevalveasu</w:t>
      </w:r>
      <w:r w:rsidR="006F4DF2">
        <w:t>tused ja isereguleeruvad organisatsioonid</w:t>
      </w:r>
      <w:r w:rsidRPr="00D032BE">
        <w:t xml:space="preserve"> vastavalt soovituste</w:t>
      </w:r>
      <w:r w:rsidR="00847867">
        <w:t xml:space="preserve"> </w:t>
      </w:r>
      <w:r w:rsidRPr="00D032BE">
        <w:t xml:space="preserve">26 ja 28 tõlgendavatele märkustele vaatama läbi </w:t>
      </w:r>
      <w:r w:rsidR="006043CB">
        <w:t>finantsasutus</w:t>
      </w:r>
      <w:r w:rsidRPr="00D032BE">
        <w:t>te ja mittefinantsteenuseid pakkuvate määratud ettevõtjate ja kutsetöötajate koostatud rahapesu ja terrorismi rahastamise riskiprofiile ja riskihinnanguid ning selle läbivaatuse tulemusi arvesse võtma.</w:t>
      </w:r>
    </w:p>
    <w:p w:rsidR="00D032BE" w:rsidRPr="00D032BE" w:rsidRDefault="00D032BE" w:rsidP="00D032BE">
      <w:pPr>
        <w:pStyle w:val="A-pealkiri"/>
      </w:pPr>
      <w:r w:rsidRPr="00D032BE">
        <w:t xml:space="preserve">B. </w:t>
      </w:r>
      <w:r w:rsidRPr="00D032BE">
        <w:tab/>
      </w:r>
      <w:r w:rsidR="006043CB">
        <w:t>Finantsasutus</w:t>
      </w:r>
      <w:r w:rsidRPr="00D032BE">
        <w:t>te ja mittefinantsteenuseid pakkuvate määratud ettevõtjate ja kutsetöötajate kohustused ja otsused</w:t>
      </w:r>
    </w:p>
    <w:p w:rsidR="00D032BE" w:rsidRPr="00D032BE" w:rsidRDefault="00D032BE" w:rsidP="00D032BE">
      <w:pPr>
        <w:pStyle w:val="Kehatekstloend"/>
      </w:pPr>
      <w:r w:rsidRPr="00D032BE">
        <w:t xml:space="preserve">8. </w:t>
      </w:r>
      <w:r w:rsidRPr="00D032BE">
        <w:tab/>
      </w:r>
      <w:r w:rsidRPr="00D032BE">
        <w:rPr>
          <w:rFonts w:ascii="Calibri" w:hAnsi="Calibri" w:cs="Calibri"/>
          <w:b/>
          <w:color w:val="348093"/>
        </w:rPr>
        <w:t xml:space="preserve">Riskide hindamine </w:t>
      </w:r>
      <w:r w:rsidRPr="00D032BE">
        <w:t xml:space="preserve">– </w:t>
      </w:r>
      <w:r w:rsidR="006043CB">
        <w:t>finantsasutus</w:t>
      </w:r>
      <w:r w:rsidRPr="00D032BE">
        <w:t xml:space="preserve">ed ja mittefinantsteenuseid pakkuvad määratud ettevõtjad ja kutsetöötajad peaksid olema kohustatud astuma asjakohaseid samme oma rahapesu ja terrorismi rahastamise riskide kindlakstegemiseks ja hindamiseks (seoses klientide, riikide või geograafiliste piirkondadega ning toodete, teenuste, tehingute ja tarnekanalitega). Nad peaksid need hindamised dokumenteerima, et tõendada asjaolusid, millele nad tuginevad, hoidma need hinnangud ajakohastena ja kehtestama asjakohased mehhanismid riskihindamisandmete esitamiseks pädevatele asutustele </w:t>
      </w:r>
      <w:r w:rsidR="006F4DF2">
        <w:t>ja isereguleeruvatele organisatsioonidele</w:t>
      </w:r>
      <w:r w:rsidRPr="00D032BE">
        <w:t xml:space="preserve">. Mis tahes rahapesu ja terrorismi rahastamise riskide hindamise olemus ja ulatus peaks olema vastavuses </w:t>
      </w:r>
      <w:r w:rsidRPr="00D032BE">
        <w:lastRenderedPageBreak/>
        <w:t xml:space="preserve">äritegevuse olemuse ja suurusega. </w:t>
      </w:r>
      <w:r w:rsidR="006043CB">
        <w:t>Finantsasutus</w:t>
      </w:r>
      <w:r w:rsidRPr="00D032BE">
        <w:t>ed ja mittefinantsteenuseid pakkuvad määratud ettevõtjad ja kutsetöötajad peaksid alati mõistma oma rahapesu ja terrorismi rahastamise riske, ning kui sektorile omased riskid on selgelt kindlaks tehtud ja arusaamine nendest on hea, võivad pädevad asut</w:t>
      </w:r>
      <w:r w:rsidR="006F4DF2">
        <w:t>used või isereguleeruvad organisatsioonid</w:t>
      </w:r>
      <w:r w:rsidRPr="00D032BE">
        <w:t xml:space="preserve"> otsustada, et teatud konkreetsed dokumenteeritud riskihindamised ei ole nõutavad.</w:t>
      </w:r>
    </w:p>
    <w:p w:rsidR="00D032BE" w:rsidRPr="00D032BE" w:rsidRDefault="00D032BE" w:rsidP="00D032BE">
      <w:pPr>
        <w:pStyle w:val="Kehatekstloend"/>
      </w:pPr>
      <w:r w:rsidRPr="00D032BE">
        <w:t xml:space="preserve">9. </w:t>
      </w:r>
      <w:r w:rsidRPr="00D032BE">
        <w:tab/>
      </w:r>
      <w:r w:rsidRPr="00D032BE">
        <w:rPr>
          <w:rFonts w:ascii="Calibri" w:hAnsi="Calibri" w:cs="Calibri"/>
          <w:b/>
          <w:color w:val="348093"/>
        </w:rPr>
        <w:t>Riskide juhtimine ja vähendamine</w:t>
      </w:r>
      <w:r w:rsidRPr="00D032BE">
        <w:t xml:space="preserve"> – </w:t>
      </w:r>
      <w:r w:rsidR="006043CB">
        <w:t>finantsasutus</w:t>
      </w:r>
      <w:r w:rsidRPr="00D032BE">
        <w:t xml:space="preserve">ed ja mittefinantsteenuseid pakkuvad määratud ettevõtjad ja kutsetöötajad peaksid olema kohustatud kehtestama tegevusjuhised, kontrollmehhanismid ja menetlused, mis võimaldavad neil (riigi või </w:t>
      </w:r>
      <w:r w:rsidR="006043CB">
        <w:t>finantsasutus</w:t>
      </w:r>
      <w:r w:rsidRPr="00D032BE">
        <w:t>e või mittefinantsteenuseid pakkuva määratud ettevõtja või kutsetöötaja poolt) kindlakstehtud riske tulemuslikult juhtida ja vähendada. Nad peaksid olema kohustatud teostama nende kontrollmehhanismide rakendamise üle seiret ja neid vajaduse korral tugevdama. Tegevusjuhised, kontrollmehhanismid ja menetlused peaksid olema juhtkonna poolt heaks kiidetud ning riskide (kas suuremate või väiksemate) vähendamiseks rakendatavad meetmed peaksid olema vastavuses siseriiklike nõuetega ning pädevate asutu</w:t>
      </w:r>
      <w:r w:rsidR="006F4DF2">
        <w:t>ste ja isereguleeruvate organisatsioonidele</w:t>
      </w:r>
      <w:r w:rsidRPr="00D032BE">
        <w:t xml:space="preserve"> antavate juhistega.</w:t>
      </w:r>
    </w:p>
    <w:p w:rsidR="00D032BE" w:rsidRPr="00D032BE" w:rsidRDefault="00D032BE" w:rsidP="00D032BE">
      <w:pPr>
        <w:pStyle w:val="Kehatekstloend"/>
      </w:pPr>
      <w:r w:rsidRPr="00D032BE">
        <w:t xml:space="preserve">10. </w:t>
      </w:r>
      <w:r w:rsidRPr="00D032BE">
        <w:tab/>
      </w:r>
      <w:r w:rsidRPr="00D032BE">
        <w:rPr>
          <w:rFonts w:ascii="Calibri" w:hAnsi="Calibri" w:cs="Calibri"/>
          <w:b/>
          <w:color w:val="348093"/>
        </w:rPr>
        <w:t>Kõrge</w:t>
      </w:r>
      <w:r w:rsidR="004E6984">
        <w:rPr>
          <w:rFonts w:ascii="Calibri" w:hAnsi="Calibri" w:cs="Calibri"/>
          <w:b/>
          <w:color w:val="348093"/>
        </w:rPr>
        <w:t>m</w:t>
      </w:r>
      <w:r w:rsidRPr="00D032BE">
        <w:rPr>
          <w:rFonts w:ascii="Calibri" w:hAnsi="Calibri" w:cs="Calibri"/>
          <w:b/>
          <w:color w:val="348093"/>
        </w:rPr>
        <w:t xml:space="preserve"> riski</w:t>
      </w:r>
      <w:r w:rsidR="00213F51">
        <w:rPr>
          <w:rFonts w:ascii="Calibri" w:hAnsi="Calibri" w:cs="Calibri"/>
          <w:b/>
          <w:color w:val="348093"/>
        </w:rPr>
        <w:t>aste</w:t>
      </w:r>
      <w:r w:rsidRPr="00D032BE">
        <w:rPr>
          <w:rFonts w:ascii="Calibri" w:hAnsi="Calibri" w:cs="Calibri"/>
          <w:b/>
          <w:color w:val="348093"/>
        </w:rPr>
        <w:t xml:space="preserve"> </w:t>
      </w:r>
      <w:r w:rsidRPr="00D032BE">
        <w:t>– kõrge</w:t>
      </w:r>
      <w:r w:rsidR="004E6984">
        <w:t>ma</w:t>
      </w:r>
      <w:r w:rsidRPr="00D032BE">
        <w:t xml:space="preserve"> </w:t>
      </w:r>
      <w:r w:rsidR="00213F51" w:rsidRPr="00D032BE">
        <w:t>riski</w:t>
      </w:r>
      <w:r w:rsidR="00213F51">
        <w:t>aste</w:t>
      </w:r>
      <w:r w:rsidR="00213F51" w:rsidRPr="00D032BE">
        <w:t xml:space="preserve"> </w:t>
      </w:r>
      <w:r w:rsidRPr="00D032BE">
        <w:t xml:space="preserve">kindlakstegemise korral peaksid </w:t>
      </w:r>
      <w:r w:rsidR="006043CB">
        <w:t>finantsasutus</w:t>
      </w:r>
      <w:r w:rsidRPr="00D032BE">
        <w:t>ed ja mittefinantsteenuseid pakkuvad määratud ettevõtjad ja kutsetöötajad olema kohustatud rakendama riskide juhtimiseks ja vähendamiseks tugevdatud meetmeid.</w:t>
      </w:r>
    </w:p>
    <w:p w:rsidR="00D032BE" w:rsidRPr="00D032BE" w:rsidRDefault="00D032BE" w:rsidP="00D032BE">
      <w:pPr>
        <w:pStyle w:val="Kehatekstloend"/>
      </w:pPr>
      <w:r w:rsidRPr="00D032BE">
        <w:t xml:space="preserve">11. </w:t>
      </w:r>
      <w:r w:rsidRPr="00D032BE">
        <w:tab/>
      </w:r>
      <w:r w:rsidRPr="00D032BE">
        <w:rPr>
          <w:rFonts w:ascii="Calibri" w:hAnsi="Calibri" w:cs="Calibri"/>
          <w:b/>
          <w:color w:val="348093"/>
        </w:rPr>
        <w:t>Madala riski</w:t>
      </w:r>
      <w:r w:rsidR="00213F51">
        <w:rPr>
          <w:rFonts w:ascii="Calibri" w:hAnsi="Calibri" w:cs="Calibri"/>
          <w:b/>
          <w:color w:val="348093"/>
        </w:rPr>
        <w:t>aste</w:t>
      </w:r>
      <w:r w:rsidRPr="00D032BE">
        <w:t xml:space="preserve"> – madal </w:t>
      </w:r>
      <w:r w:rsidR="00213F51" w:rsidRPr="00D032BE">
        <w:t>riski</w:t>
      </w:r>
      <w:r w:rsidR="00213F51">
        <w:t>aste</w:t>
      </w:r>
      <w:r w:rsidR="00213F51" w:rsidRPr="00D032BE">
        <w:t xml:space="preserve"> </w:t>
      </w:r>
      <w:r w:rsidRPr="00D032BE">
        <w:t xml:space="preserve">kindlakstegemise korral võivad riigid lubada </w:t>
      </w:r>
      <w:r w:rsidR="006043CB">
        <w:t>finantsasutus</w:t>
      </w:r>
      <w:r w:rsidRPr="00D032BE">
        <w:t>tel ja mittefinantsteenuseid pakkuvatel määratud ettevõtjatel ja kutsetöötajatel rakendada nende riskide juhtimiseks ja vähendamiseks lihtsustatud meetmeid.</w:t>
      </w:r>
    </w:p>
    <w:p w:rsidR="00D032BE" w:rsidRPr="00D032BE" w:rsidRDefault="00D032BE" w:rsidP="00D032BE">
      <w:pPr>
        <w:pStyle w:val="Kehatekstloend"/>
      </w:pPr>
      <w:r w:rsidRPr="00D032BE">
        <w:t xml:space="preserve">12. </w:t>
      </w:r>
      <w:r w:rsidRPr="00D032BE">
        <w:tab/>
        <w:t xml:space="preserve">Riskide hindamisel peaksid </w:t>
      </w:r>
      <w:r w:rsidR="006043CB">
        <w:t>finantsasutus</w:t>
      </w:r>
      <w:r w:rsidRPr="00D032BE">
        <w:t xml:space="preserve">ed ja mittefinantsteenuseid pakkuvad määratud ettevõtjad ja kutsetöötajad enne üldise </w:t>
      </w:r>
      <w:r w:rsidR="00213F51" w:rsidRPr="00D032BE">
        <w:t>riski</w:t>
      </w:r>
      <w:r w:rsidR="00213F51">
        <w:t>astme</w:t>
      </w:r>
      <w:r w:rsidR="00213F51" w:rsidRPr="00D032BE">
        <w:t xml:space="preserve"> </w:t>
      </w:r>
      <w:r w:rsidRPr="00D032BE">
        <w:t xml:space="preserve">ja asjakohaste riskivähendusmeetmete ulatuse kindlaksmääramist arvesse võtma kõiki asjassepuutuvaid riskitegureid. </w:t>
      </w:r>
      <w:r w:rsidR="006043CB">
        <w:t>Finantsasutus</w:t>
      </w:r>
      <w:r w:rsidRPr="00D032BE">
        <w:t xml:space="preserve">ed ja mittefinantsteenuseid pakkuvad määratud ettevõtjad ja kutsetöötajad võivad eri riskitegurite puhul rakendatavate meetmete ulatust varieerida sõltuvalt riskide liigist ja </w:t>
      </w:r>
      <w:r w:rsidR="008F0DB8">
        <w:t xml:space="preserve">astmest </w:t>
      </w:r>
      <w:r w:rsidRPr="00D032BE">
        <w:t>(nt konkreetses olukorras võivad nad rakendada tavapäraseid hoolsusmeetmeid, aga jooksva seire käigus tugevdatud hoolsusmeetmeid või vastupidi).</w:t>
      </w:r>
    </w:p>
    <w:p w:rsidR="00D032BE" w:rsidRPr="00D032BE" w:rsidRDefault="00D032BE" w:rsidP="00D032BE">
      <w:pPr>
        <w:rPr>
          <w:rFonts w:ascii="Cambria" w:hAnsi="Cambria"/>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3 TÕLGENDAV MÄRKUS</w:t>
      </w:r>
      <w:r w:rsidRPr="00D032BE">
        <w:br/>
        <w:t>(RAHAPESU KURITEGU)</w:t>
      </w:r>
    </w:p>
    <w:p w:rsidR="00D032BE" w:rsidRPr="00D032BE" w:rsidRDefault="00D032BE" w:rsidP="00D032BE">
      <w:pPr>
        <w:pStyle w:val="Kehatekstloend"/>
      </w:pPr>
      <w:r w:rsidRPr="00D032BE">
        <w:t xml:space="preserve">1. </w:t>
      </w:r>
      <w:r w:rsidRPr="00D032BE">
        <w:tab/>
        <w:t>Riigid peaksid sätestama kriminaalvastutuse rahapesu eest 1998. aasta narkootiliste ja psühhotroopsete ainete ebaseadusliku ringluse vastase Ühinenud Rahvaste Organisatsiooni konventsiooni (edaspidi „Viini konventsioon”) ja 2000. aasta rahvusvahelise organiseeritud kuritegevuse vastu võitlemise Ühinenud Rahvaste Organisatsiooni konventsiooni (edaspidi „</w:t>
      </w:r>
      <w:proofErr w:type="spellStart"/>
      <w:r w:rsidRPr="00D032BE">
        <w:t>Palermo</w:t>
      </w:r>
      <w:proofErr w:type="spellEnd"/>
      <w:r w:rsidRPr="00D032BE">
        <w:t xml:space="preserve"> konventsioon”) alusel.</w:t>
      </w:r>
    </w:p>
    <w:p w:rsidR="00D032BE" w:rsidRPr="00D032BE" w:rsidRDefault="00D032BE" w:rsidP="00D032BE">
      <w:pPr>
        <w:pStyle w:val="Kehatekstloend"/>
      </w:pPr>
      <w:r w:rsidRPr="00D032BE">
        <w:t xml:space="preserve">2. </w:t>
      </w:r>
      <w:r w:rsidRPr="00D032BE">
        <w:tab/>
        <w:t>Riigid peaksid rakendama kriminaalvastutust rahapesu eest kõikide oluliste rikkumiste puhul, et hõlmata võimalikult laia eelkuritegude ringi. Eelkuritegusid kirjeldades võib viidata kõikidele õigusrikkumistele või teatavale künnisele, mis on seotud kas raskete õigusrikkumiste kategooriaga või eelkuriteo eest ettenähtud vabadusekaotusega (künnise meetod), või eelkuritegude loetelule või nende meetodite kombinatsioonile.</w:t>
      </w:r>
    </w:p>
    <w:p w:rsidR="00D032BE" w:rsidRPr="00D032BE" w:rsidRDefault="00D032BE" w:rsidP="00D032BE">
      <w:pPr>
        <w:pStyle w:val="Kehatekstloend"/>
      </w:pPr>
      <w:r w:rsidRPr="00D032BE">
        <w:t xml:space="preserve">3. </w:t>
      </w:r>
      <w:r w:rsidRPr="00D032BE">
        <w:tab/>
        <w:t xml:space="preserve">Kui riigid </w:t>
      </w:r>
      <w:r w:rsidR="00F04FDB">
        <w:t>rakendavad</w:t>
      </w:r>
      <w:r w:rsidR="00F04FDB" w:rsidRPr="00D032BE">
        <w:t xml:space="preserve"> </w:t>
      </w:r>
      <w:r w:rsidRPr="00D032BE">
        <w:t>künnise meetodit, peaksid eelkuriteod hõlmama vähemalt selliseid õigusrikkumisi, mis kuuluvad siseriikliku õiguse kohaselt raskete õigusrikkumiste kategooriasse, või õigusrikkumisi, mille eest on maksimaalse karistusena ette nähtud vähemalt üheaastane vabadusekaotus, või kui siseriiklikus õigussüsteemis on ette nähtud minimaalne künnis, millest alates õigusrikkumised kvalifitseeritakse kuritegudena, peaksid eelkuriteod hõlmama kõiki õigusrikkumisi, mille eest on ette nähtud vähemalt kuuekuuline vabadusekaotus.</w:t>
      </w:r>
    </w:p>
    <w:p w:rsidR="00D032BE" w:rsidRPr="00D032BE" w:rsidRDefault="00D032BE" w:rsidP="00D032BE">
      <w:pPr>
        <w:pStyle w:val="Kehatekstloend"/>
      </w:pPr>
      <w:r w:rsidRPr="00D032BE">
        <w:t xml:space="preserve">4. </w:t>
      </w:r>
      <w:r w:rsidRPr="00D032BE">
        <w:tab/>
        <w:t>Olenemata valitud meetodist peaks iga riik vähemalt hõlmama õigusrikkumisi igas kindlaksmääratud õigusrikkumiste kategoorias. Rahapesu kuritegu peaks hõlmama igat liiki vara, mis otseselt või kaudselt kujutab endast kuritegevusest saadud tulu, sõltumata selle vara väärtusest. Vara kuritegeliku päritolu tõendamisel ei peaks olema vajalik isiku eelnev eelkuriteos süüdimõistmine.</w:t>
      </w:r>
    </w:p>
    <w:p w:rsidR="00D032BE" w:rsidRPr="00D032BE" w:rsidRDefault="00D032BE" w:rsidP="00D032BE">
      <w:pPr>
        <w:pStyle w:val="Kehatekstloend"/>
      </w:pPr>
      <w:r w:rsidRPr="00D032BE">
        <w:t xml:space="preserve">5. </w:t>
      </w:r>
      <w:r w:rsidRPr="00D032BE">
        <w:tab/>
        <w:t>Rahapesu eelkuritegude hulka peaksid kuuluma teises riigis sooritatud teod, mida asjaomases riigis loetakse õigusrikkumisteks ja mis oleks loetud eelkuritegudeks, kui need oleks pandud toime oma riigis. Riigid võivad ainsa eeltingimusena sätestada, et tegu oleks loetud eelkuriteoks, kui see oleks pandud toime oma riigis.</w:t>
      </w:r>
    </w:p>
    <w:p w:rsidR="00D032BE" w:rsidRPr="00D032BE" w:rsidRDefault="00D032BE" w:rsidP="00D032BE">
      <w:pPr>
        <w:pStyle w:val="Kehatekstloend"/>
      </w:pPr>
      <w:r w:rsidRPr="00D032BE">
        <w:t xml:space="preserve">6. </w:t>
      </w:r>
      <w:r w:rsidRPr="00D032BE">
        <w:tab/>
        <w:t>Riigid võivad sätestada, et vastutust rahapesu eest ei rakendata eelkuriteo sooritanud isikute suhtes, kui seda nõuavad siseriikliku õiguse aluspõhimõtted.</w:t>
      </w:r>
    </w:p>
    <w:p w:rsidR="00D032BE" w:rsidRPr="00D032BE" w:rsidRDefault="00D032BE" w:rsidP="00D032BE">
      <w:pPr>
        <w:pStyle w:val="Kehatekstloend"/>
      </w:pPr>
      <w:r w:rsidRPr="00D032BE">
        <w:t xml:space="preserve">7. </w:t>
      </w:r>
      <w:r w:rsidRPr="00D032BE">
        <w:tab/>
        <w:t>Riigid peaksid tagama, et</w:t>
      </w:r>
      <w:r w:rsidR="00990BBF">
        <w:t>:</w:t>
      </w:r>
    </w:p>
    <w:p w:rsidR="00D032BE" w:rsidRPr="00D032BE" w:rsidRDefault="00D032BE" w:rsidP="00D032BE">
      <w:pPr>
        <w:pStyle w:val="a-thtloend"/>
      </w:pPr>
      <w:r w:rsidRPr="00D032BE">
        <w:t xml:space="preserve">a) </w:t>
      </w:r>
      <w:r w:rsidRPr="00D032BE">
        <w:tab/>
        <w:t xml:space="preserve">rahapesus seisneva õigusrikkumise tõendamiseks vajaliku tahtluse </w:t>
      </w:r>
      <w:r w:rsidR="00990BBF">
        <w:t>tuvastamine</w:t>
      </w:r>
      <w:r w:rsidRPr="00D032BE">
        <w:t xml:space="preserve"> on võimalik objektiivsete faktiliste asjaolude põhjal;</w:t>
      </w:r>
    </w:p>
    <w:p w:rsidR="00D032BE" w:rsidRPr="00D032BE" w:rsidRDefault="00D032BE" w:rsidP="00D032BE">
      <w:pPr>
        <w:pStyle w:val="a-thtloend"/>
      </w:pPr>
      <w:r w:rsidRPr="00D032BE">
        <w:t xml:space="preserve">b) </w:t>
      </w:r>
      <w:r w:rsidRPr="00D032BE">
        <w:tab/>
        <w:t xml:space="preserve">rahapesus süüdi mõistetud füüsiliste isikute suhtes rakendatakse tõhusaid, proportsionaalseid ja hoiatavaid </w:t>
      </w:r>
      <w:r w:rsidR="00B86CDE" w:rsidRPr="00E079EA">
        <w:t>karistusi</w:t>
      </w:r>
      <w:r w:rsidRPr="00D032BE">
        <w:t>;</w:t>
      </w:r>
    </w:p>
    <w:p w:rsidR="00D032BE" w:rsidRPr="00D032BE" w:rsidRDefault="00D032BE" w:rsidP="00D032BE">
      <w:pPr>
        <w:pStyle w:val="a-thtloend"/>
      </w:pPr>
      <w:r w:rsidRPr="00D032BE">
        <w:lastRenderedPageBreak/>
        <w:t xml:space="preserve">c) </w:t>
      </w:r>
      <w:r w:rsidRPr="00D032BE">
        <w:tab/>
        <w:t>juriidilistele isikute suhtes rakendatakse kriminaalvastutust ja -karistusi või juhul, kui see ei ole võimalik (siseriikliku õiguse aluspõ</w:t>
      </w:r>
      <w:r w:rsidR="00990BBF">
        <w:t>himõtetest tulenevalt), tsiviil-</w:t>
      </w:r>
      <w:r w:rsidRPr="00D032BE">
        <w:t xml:space="preserve"> või haldusvastutust ja </w:t>
      </w:r>
      <w:r w:rsidR="00990BBF">
        <w:t>haldus</w:t>
      </w:r>
      <w:r w:rsidRPr="00D032BE">
        <w:t xml:space="preserve">karistusi. See ei tohiks välistada samal ajal toimuvaid kriminaal-, tsiviil- või haldusmenetlusi juriidiliste isikute suhtes riikides, kus kehtib mitu sellise vastutuse vormi. Selliste meetmete võtmine ei tohiks piirata kriminaalvastutuse rakendamist füüsiliste isikute suhtes. Kõik karistused peaksid olema </w:t>
      </w:r>
      <w:r w:rsidR="004F64DC">
        <w:t>tõhusad</w:t>
      </w:r>
      <w:r w:rsidRPr="00D032BE">
        <w:t>, proportsionaalsed ja hoiatavad;</w:t>
      </w:r>
    </w:p>
    <w:p w:rsidR="00D032BE" w:rsidRPr="00D032BE" w:rsidRDefault="00D032BE" w:rsidP="00D032BE">
      <w:pPr>
        <w:pStyle w:val="a-thtloend"/>
      </w:pPr>
    </w:p>
    <w:p w:rsidR="00D032BE" w:rsidRPr="00D032BE" w:rsidRDefault="00D032BE" w:rsidP="00D032BE">
      <w:pPr>
        <w:pStyle w:val="a-thtloend"/>
      </w:pPr>
      <w:r w:rsidRPr="00D032BE">
        <w:t xml:space="preserve">d) </w:t>
      </w:r>
      <w:r w:rsidRPr="00D032BE">
        <w:tab/>
        <w:t>sätestatakse rahapesu kuriteoga seonduvad õigusrikkumised, sh kuriteo toimepanekus osalemine, kaasatus selle toimepanekusse või kuritegelik kokkulepe seda toime panna, kuriteo toimepaneku katse, sellele kaasaaitamine ja sellele kihutamine, selle soodustamine ja nõustamine, kui see ei ole siseriikliku õiguse aluspõhimõtete kohaselt keelatud.</w:t>
      </w:r>
    </w:p>
    <w:p w:rsidR="00D032BE" w:rsidRPr="00D032BE" w:rsidRDefault="00D032BE" w:rsidP="00D032BE">
      <w:pPr>
        <w:rPr>
          <w:rFonts w:ascii="Cambria" w:hAnsi="Cambria"/>
          <w:sz w:val="21"/>
          <w:szCs w:val="21"/>
          <w:lang w:val="et-EE"/>
        </w:rPr>
      </w:pPr>
      <w:r w:rsidRPr="00D032BE">
        <w:rPr>
          <w:lang w:val="et-EE"/>
        </w:rPr>
        <w:br w:type="page"/>
      </w:r>
    </w:p>
    <w:p w:rsidR="00D032BE" w:rsidRPr="00D032BE" w:rsidRDefault="00D032BE" w:rsidP="00D032BE">
      <w:pPr>
        <w:pStyle w:val="Pealkiri2"/>
      </w:pPr>
      <w:r w:rsidRPr="00D032BE">
        <w:lastRenderedPageBreak/>
        <w:t>SOOVITUSTE</w:t>
      </w:r>
      <w:r w:rsidR="00847867">
        <w:t xml:space="preserve"> </w:t>
      </w:r>
      <w:r w:rsidRPr="00D032BE">
        <w:t xml:space="preserve">4 JA 38 TÕLGENDAV MÄRKUS </w:t>
      </w:r>
      <w:r w:rsidRPr="00D032BE">
        <w:br/>
        <w:t>(KONFISKEERIMINE JA AJUTISED MEETMED)</w:t>
      </w:r>
    </w:p>
    <w:p w:rsidR="00D032BE" w:rsidRPr="00D032BE" w:rsidRDefault="00D032BE" w:rsidP="00D032BE">
      <w:pPr>
        <w:pStyle w:val="kehatekst"/>
        <w:ind w:left="0"/>
      </w:pPr>
      <w:r w:rsidRPr="00D032BE">
        <w:t xml:space="preserve">Riigid peaksid kehtestama mehhanismid, mis võimaldavad nende pädevatel asutustel blokeeritud, arestitud või konfiskeeritud vara </w:t>
      </w:r>
      <w:r w:rsidR="004F64DC">
        <w:t xml:space="preserve">efektiivselt </w:t>
      </w:r>
      <w:r w:rsidRPr="00D032BE">
        <w:t>hallata ja vajaduse korral käsutada. Need mehhanismid peaksid ole ma kohaldatavad nii siseriiklike menetluste kontekstis kui ka välisriikide taotluste alusel.</w:t>
      </w:r>
    </w:p>
    <w:p w:rsidR="00D032BE" w:rsidRPr="00D032BE" w:rsidRDefault="00D032BE" w:rsidP="00D032BE">
      <w:pPr>
        <w:rPr>
          <w:rFonts w:ascii="Cambria" w:hAnsi="Cambria"/>
          <w:sz w:val="21"/>
          <w:szCs w:val="21"/>
          <w:lang w:val="et-EE"/>
        </w:rPr>
      </w:pPr>
      <w:r w:rsidRPr="00D032BE">
        <w:rPr>
          <w:lang w:val="et-EE"/>
        </w:rPr>
        <w:br w:type="page"/>
      </w:r>
      <w:r w:rsidR="00990BBF">
        <w:rPr>
          <w:lang w:val="et-EE"/>
        </w:rPr>
        <w:lastRenderedPageBreak/>
        <w:t xml:space="preserve">                                                                                                                                                                                                                                                                                                                                                     </w:t>
      </w:r>
    </w:p>
    <w:p w:rsidR="00D032BE" w:rsidRPr="00D032BE" w:rsidRDefault="00D032BE" w:rsidP="00D032BE">
      <w:pPr>
        <w:pStyle w:val="Pealkiri2"/>
      </w:pPr>
      <w:r w:rsidRPr="00D032BE">
        <w:t xml:space="preserve">SOOVITUSE 5 TÕLGENDAV MÄRKUS </w:t>
      </w:r>
      <w:r w:rsidRPr="00D032BE">
        <w:br/>
        <w:t>(TERRORISMI RAHASTAMISE KURITEGU)</w:t>
      </w:r>
    </w:p>
    <w:p w:rsidR="00D032BE" w:rsidRPr="00D032BE" w:rsidRDefault="00D032BE" w:rsidP="00D032BE">
      <w:pPr>
        <w:pStyle w:val="A-pealkiri"/>
      </w:pPr>
      <w:r w:rsidRPr="00D032BE">
        <w:t xml:space="preserve">A. </w:t>
      </w:r>
      <w:r w:rsidRPr="00D032BE">
        <w:tab/>
        <w:t>Eesmärgid</w:t>
      </w:r>
    </w:p>
    <w:p w:rsidR="00D032BE" w:rsidRPr="00D032BE" w:rsidRDefault="00D032BE" w:rsidP="00D032BE">
      <w:pPr>
        <w:pStyle w:val="Kehatekstloend"/>
      </w:pPr>
      <w:r w:rsidRPr="00D032BE">
        <w:t xml:space="preserve">1. </w:t>
      </w:r>
      <w:r w:rsidRPr="00D032BE">
        <w:tab/>
        <w:t>Soovitus</w:t>
      </w:r>
      <w:r w:rsidR="00847867">
        <w:t xml:space="preserve"> </w:t>
      </w:r>
      <w:r w:rsidRPr="00D032BE">
        <w:t>5 töötati välja eesmärgiga tagada, et riikidel oleks seaduslik pädevus võtta terrorismi rahastavaid isikuid kohtulikule vastutusele ja rakendada nende suhtes kriminaalkaristusi. Arvestades tihedat seost rahvusvahelise terrorismi ja muu hulgas rahapesu vahel, on soovituse</w:t>
      </w:r>
      <w:r w:rsidR="00847867">
        <w:t xml:space="preserve"> </w:t>
      </w:r>
      <w:r w:rsidRPr="00D032BE">
        <w:t>5 teine eesmärk rõhutada seda seost, kohustades riike määratlema terrorismi rahastamist rahapesu eelkuriteona.</w:t>
      </w:r>
    </w:p>
    <w:p w:rsidR="00D032BE" w:rsidRPr="00D032BE" w:rsidRDefault="00D032BE" w:rsidP="00D032BE">
      <w:pPr>
        <w:pStyle w:val="A-pealkiri"/>
      </w:pPr>
      <w:r w:rsidRPr="00D032BE">
        <w:t xml:space="preserve">B. </w:t>
      </w:r>
      <w:r w:rsidRPr="00D032BE">
        <w:tab/>
        <w:t>Terrorismi rahastamise kuriteo iseärasused</w:t>
      </w:r>
    </w:p>
    <w:p w:rsidR="00D032BE" w:rsidRPr="00D032BE" w:rsidRDefault="00D032BE" w:rsidP="00D032BE">
      <w:pPr>
        <w:pStyle w:val="Kehatekstloend"/>
      </w:pPr>
      <w:r w:rsidRPr="00D032BE">
        <w:t xml:space="preserve">2. </w:t>
      </w:r>
      <w:r w:rsidRPr="00D032BE">
        <w:tab/>
        <w:t>Terrorismi rahastamise kuritegu peaks laienema igale isikule, kes mis tahes vahenditega ja otseselt või kaudselt ning tahtlikult eraldab või kogub rahalisi vahendeid ebaseadusliku kavatsusega, et neid vahendeid tuleks kasutada, või teadmisega, et neid kasutatakse kas täielikult või osaliselt a) terrorikuriteo/terrorikuritegude toimepanekuks, b) terroristlike ühenduste poolt või c) üksikute terroristide poolt.</w:t>
      </w:r>
    </w:p>
    <w:p w:rsidR="00D032BE" w:rsidRPr="00D032BE" w:rsidRDefault="00D032BE" w:rsidP="00D032BE">
      <w:pPr>
        <w:pStyle w:val="Kehatekstloend"/>
      </w:pPr>
      <w:r w:rsidRPr="00D032BE">
        <w:t xml:space="preserve">3. </w:t>
      </w:r>
      <w:r w:rsidRPr="00D032BE">
        <w:tab/>
        <w:t xml:space="preserve">Terrorismi rahastamise eest kriminaalvastutuse sätestamine üksnes rahastamisele kaasaaitamise ja kihutamise, rahastamise katse või kuritegeliku kokkuleppe kujul ei ole </w:t>
      </w:r>
      <w:r w:rsidR="00990BBF">
        <w:t>piisav, saavutamaks vastavus</w:t>
      </w:r>
      <w:r w:rsidRPr="00D032BE">
        <w:t xml:space="preserve"> käesoleva soovitusega.</w:t>
      </w:r>
    </w:p>
    <w:p w:rsidR="00D032BE" w:rsidRPr="00D032BE" w:rsidRDefault="00D032BE" w:rsidP="00D032BE">
      <w:pPr>
        <w:pStyle w:val="Kehatekstloend"/>
      </w:pPr>
      <w:r w:rsidRPr="00D032BE">
        <w:t xml:space="preserve">4. </w:t>
      </w:r>
      <w:r w:rsidRPr="00D032BE">
        <w:tab/>
        <w:t>Terrorismi rahastamise kuritegu peaks laienema mis tahes rahalistele vahenditele olenemata sellest, kas need pärinevad seaduslikust või ebaseaduslikust allikast.</w:t>
      </w:r>
    </w:p>
    <w:p w:rsidR="00D032BE" w:rsidRPr="00D032BE" w:rsidRDefault="00D032BE" w:rsidP="00D032BE">
      <w:pPr>
        <w:pStyle w:val="Kehatekstloend"/>
      </w:pPr>
      <w:r w:rsidRPr="00D032BE">
        <w:t xml:space="preserve">5. </w:t>
      </w:r>
      <w:r w:rsidRPr="00D032BE">
        <w:tab/>
        <w:t>Terrorismi rahastamise kuriteo puhul ei peaks olema eelduseks, et neid rahalisi vahendeid a) on tegelikult kasutatud terrorikuriteo/terrorikuritegude toimepanekuks või toimepaneku katses või b) saab seostada terrorikuriteo/konkreetsete terrorikuritegudega.</w:t>
      </w:r>
    </w:p>
    <w:p w:rsidR="00D032BE" w:rsidRPr="00D032BE" w:rsidRDefault="00D032BE" w:rsidP="00D032BE">
      <w:pPr>
        <w:pStyle w:val="Kehatekstloend"/>
      </w:pPr>
      <w:r w:rsidRPr="00D032BE">
        <w:t xml:space="preserve">6. </w:t>
      </w:r>
      <w:r w:rsidRPr="00D032BE">
        <w:tab/>
        <w:t>Riigid peaksid tagama, et terrorismi rahastamise kuriteo tõendamiseks nõutavat tahtlust või teadmist oleks võimalik järeldada objektiivsetest faktilistest asjaoludest.</w:t>
      </w:r>
    </w:p>
    <w:p w:rsidR="00D032BE" w:rsidRPr="00D032BE" w:rsidRDefault="00D032BE" w:rsidP="00D032BE">
      <w:pPr>
        <w:pStyle w:val="Kehatekstloend"/>
      </w:pPr>
      <w:r w:rsidRPr="00D032BE">
        <w:t xml:space="preserve">7. </w:t>
      </w:r>
      <w:r w:rsidRPr="00D032BE">
        <w:tab/>
        <w:t xml:space="preserve">Terrorismi rahastamises süüdi mõistetud füüsiliste isikute suhtes tuleks kohaldada </w:t>
      </w:r>
      <w:r w:rsidR="004F64DC">
        <w:t>tõhusaid</w:t>
      </w:r>
      <w:r w:rsidRPr="00D032BE">
        <w:t>, proportsionaalseid ja hoiatavaid karistusi.</w:t>
      </w:r>
    </w:p>
    <w:p w:rsidR="00D032BE" w:rsidRPr="00D032BE" w:rsidRDefault="00D032BE" w:rsidP="00D032BE">
      <w:pPr>
        <w:pStyle w:val="Kehatekstloend"/>
      </w:pPr>
      <w:r w:rsidRPr="00D032BE">
        <w:t xml:space="preserve">8. </w:t>
      </w:r>
      <w:r w:rsidRPr="00D032BE">
        <w:tab/>
        <w:t xml:space="preserve">Juriidilistele isikute suhtes tuleks rakendada kriminaalvastutust ja -karistusi või juhul, kui see ei ole võimalik (siseriikliku õiguse aluspõhimõtetest tulenevalt), tsiviil- või haldusvastutust ja -karistusi. See ei tohiks välistada samal ajal toimuvaid kriminaal-, tsiviil- või haldusmenetlusi juriidiliste isikute suhtes riikides, kus kehtib mitu sellise vastutuse vormi. Selliste meetmete võtmine ei tohiks piirata kriminaalvastutuse rakendamist füüsiliste isikute suhtes. Kõik karistused peaksid olema </w:t>
      </w:r>
      <w:r w:rsidR="004F64DC">
        <w:t>tõhusad</w:t>
      </w:r>
      <w:r w:rsidRPr="00D032BE">
        <w:t>, proportsionaalsed ja hoiatavad.</w:t>
      </w:r>
    </w:p>
    <w:p w:rsidR="00D032BE" w:rsidRPr="00D032BE" w:rsidRDefault="00D032BE" w:rsidP="00D032BE">
      <w:pPr>
        <w:pStyle w:val="Kehatekstloend"/>
      </w:pPr>
      <w:r w:rsidRPr="00D032BE">
        <w:lastRenderedPageBreak/>
        <w:t xml:space="preserve">9. </w:t>
      </w:r>
      <w:r w:rsidRPr="00D032BE">
        <w:tab/>
        <w:t>Kuriteoks tuleks lugeda ka terrorismi rahastamise kuriteo toimepaneku katse.</w:t>
      </w:r>
    </w:p>
    <w:p w:rsidR="00D032BE" w:rsidRPr="00D032BE" w:rsidRDefault="00D032BE" w:rsidP="00D032BE">
      <w:pPr>
        <w:pStyle w:val="Kehatekstloend"/>
      </w:pPr>
      <w:r w:rsidRPr="00D032BE">
        <w:t xml:space="preserve">10. </w:t>
      </w:r>
      <w:r w:rsidRPr="00D032BE">
        <w:tab/>
        <w:t>Kuriteoks tuleks l</w:t>
      </w:r>
      <w:r w:rsidR="00990BBF">
        <w:t>ugeda ka iga j</w:t>
      </w:r>
      <w:r w:rsidRPr="00D032BE">
        <w:t>ärgmine tegevus:</w:t>
      </w:r>
    </w:p>
    <w:p w:rsidR="00D032BE" w:rsidRPr="00D032BE" w:rsidRDefault="00D032BE" w:rsidP="00D032BE">
      <w:pPr>
        <w:pStyle w:val="a-thtloend"/>
      </w:pPr>
      <w:r w:rsidRPr="00D032BE">
        <w:t xml:space="preserve">a) </w:t>
      </w:r>
      <w:r w:rsidRPr="00D032BE">
        <w:tab/>
        <w:t>osalemine käesoleva tõlgendava märkuse lõigetes 2 või 9 nimetatud õigusrikkumise toimepanekus;</w:t>
      </w:r>
    </w:p>
    <w:p w:rsidR="00D032BE" w:rsidRPr="00D032BE" w:rsidRDefault="00D032BE" w:rsidP="00D032BE">
      <w:pPr>
        <w:pStyle w:val="a-thtloend"/>
      </w:pPr>
      <w:r w:rsidRPr="00D032BE">
        <w:t xml:space="preserve">b) </w:t>
      </w:r>
      <w:r w:rsidRPr="00D032BE">
        <w:tab/>
        <w:t>käesoleva tõlgendava märkuse lõigetes 2 või 9 nimetatud õigusrikkumise toimepaneku korraldamine või teistele vastavasisuliste korralduste andmine;</w:t>
      </w:r>
    </w:p>
    <w:p w:rsidR="00D032BE" w:rsidRPr="00D032BE" w:rsidRDefault="00D032BE" w:rsidP="00D032BE">
      <w:pPr>
        <w:pStyle w:val="a-thtloend"/>
      </w:pPr>
      <w:r w:rsidRPr="00D032BE">
        <w:t xml:space="preserve">c) </w:t>
      </w:r>
      <w:r w:rsidRPr="00D032BE">
        <w:tab/>
        <w:t>kaasaaitamine ühele või mitmele ühisel eesmärgil tegutseva inimrühma poolt toimepandud õigusrikkumisele, mis on sätestatud käesoleva tõlgendava märkuse lõigetes 2 või 9.</w:t>
      </w:r>
    </w:p>
    <w:p w:rsidR="00D032BE" w:rsidRPr="00D032BE" w:rsidRDefault="00D032BE" w:rsidP="00D032BE">
      <w:pPr>
        <w:pStyle w:val="a-thtloend"/>
        <w:ind w:firstLine="1"/>
      </w:pPr>
      <w:r w:rsidRPr="00D032BE">
        <w:t xml:space="preserve">Selline kaasaaitamine peab olema tahtlik ja sooritatud kas i) eesmärgiga soodustada asjaomase rühma kriminaalset tegevust või eesmärki, kui sellise tegevuse või eesmärgiga kaasneb terrorismi rahastamise kuriteo toimepanek, või </w:t>
      </w:r>
      <w:proofErr w:type="spellStart"/>
      <w:r w:rsidRPr="00D032BE">
        <w:t>ii</w:t>
      </w:r>
      <w:proofErr w:type="spellEnd"/>
      <w:r w:rsidRPr="00D032BE">
        <w:t>) olles teadlik rühma kavatsusest panna toime terrorismi rahastamise kuritegu.</w:t>
      </w:r>
    </w:p>
    <w:p w:rsidR="00D032BE" w:rsidRPr="00D032BE" w:rsidRDefault="00D032BE" w:rsidP="00D032BE">
      <w:pPr>
        <w:pStyle w:val="Kehatekstloend"/>
      </w:pPr>
      <w:r w:rsidRPr="00D032BE">
        <w:t xml:space="preserve">11. </w:t>
      </w:r>
      <w:r w:rsidRPr="00D032BE">
        <w:tab/>
        <w:t xml:space="preserve">Terrorismi rahastamise kuritegu tuleks kohaldada sõltumata sellest, kas isik on väidetavalt pannud toime </w:t>
      </w:r>
      <w:proofErr w:type="spellStart"/>
      <w:r w:rsidRPr="00D032BE">
        <w:t>õigusrikkumise(d</w:t>
      </w:r>
      <w:proofErr w:type="spellEnd"/>
      <w:r w:rsidRPr="00D032BE">
        <w:t>) samas riigis, kus asub terrorist / terroristlik ühendus või pandi toime / pannakse toime terrorikuritegu, või mõnes teises riigis.</w:t>
      </w:r>
    </w:p>
    <w:p w:rsidR="00D032BE" w:rsidRPr="00D032BE" w:rsidRDefault="00D032BE" w:rsidP="00D032BE">
      <w:pPr>
        <w:rPr>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6 TÕLGENDAV MÄRKUS</w:t>
      </w:r>
      <w:r w:rsidRPr="00D032BE">
        <w:br/>
        <w:t xml:space="preserve">(TERRORISMI JA TERRORISMI RAHASTAMISEGA SEOTUD </w:t>
      </w:r>
      <w:r w:rsidR="002D4AC1">
        <w:t>SANKTSIOONID</w:t>
      </w:r>
      <w:r w:rsidRPr="00D032BE">
        <w:t>)</w:t>
      </w:r>
    </w:p>
    <w:p w:rsidR="00D032BE" w:rsidRPr="00D032BE" w:rsidRDefault="00D032BE" w:rsidP="00D032BE">
      <w:pPr>
        <w:pStyle w:val="A-pealkiri"/>
        <w:tabs>
          <w:tab w:val="left" w:pos="720"/>
          <w:tab w:val="left" w:pos="1440"/>
          <w:tab w:val="left" w:pos="6513"/>
        </w:tabs>
      </w:pPr>
      <w:r w:rsidRPr="00D032BE">
        <w:t xml:space="preserve">A. </w:t>
      </w:r>
      <w:r w:rsidRPr="00D032BE">
        <w:tab/>
        <w:t>EESMÄRK</w:t>
      </w:r>
      <w:r w:rsidRPr="00D032BE">
        <w:tab/>
      </w:r>
    </w:p>
    <w:p w:rsidR="00D032BE" w:rsidRPr="00D032BE" w:rsidRDefault="00D032BE" w:rsidP="00D032BE">
      <w:pPr>
        <w:pStyle w:val="Kehatekstloend"/>
      </w:pPr>
      <w:r w:rsidRPr="00D032BE">
        <w:t xml:space="preserve">1. </w:t>
      </w:r>
      <w:r w:rsidRPr="00D032BE">
        <w:tab/>
        <w:t>Soovituse</w:t>
      </w:r>
      <w:r w:rsidR="00847867">
        <w:t xml:space="preserve"> </w:t>
      </w:r>
      <w:r w:rsidRPr="00D032BE">
        <w:t>6 kohaselt on iga riik kohustatud rakendama sihtotstarbelisi finantskaristusi, et järgida ÜRO Julgeolekunõukogu resolutsioone, mille kohaselt peavad riigid viivitamatult blokeerima rahalised vahendid või muu vara, mis kuulub i) mõnele isikule</w:t>
      </w:r>
      <w:r w:rsidRPr="00D032BE">
        <w:rPr>
          <w:rStyle w:val="Allmrkuseviide"/>
        </w:rPr>
        <w:footnoteReference w:id="2"/>
      </w:r>
      <w:r w:rsidRPr="00D032BE">
        <w:t xml:space="preserve"> või üksusele, kelle on määranud ÜRO Julgeolekunõukogu (edaspidi „Julgeolekunõukogu”) vastavalt ÜRO põhikirja VII peatükile, sh vastavalt Julgeolekunõukogu resolutsioonile 1267 (1999) ja sellele järgnevatele resolutsioonidele</w:t>
      </w:r>
      <w:r w:rsidRPr="00D032BE">
        <w:rPr>
          <w:rStyle w:val="Allmrkuseviide"/>
        </w:rPr>
        <w:footnoteReference w:id="3"/>
      </w:r>
      <w:r w:rsidRPr="00D032BE">
        <w:t xml:space="preserve"> või </w:t>
      </w:r>
      <w:proofErr w:type="spellStart"/>
      <w:r w:rsidRPr="00D032BE">
        <w:t>ii</w:t>
      </w:r>
      <w:proofErr w:type="spellEnd"/>
      <w:r w:rsidRPr="00D032BE">
        <w:t>) mõnele isikule või üksusele, kelle on määranud asjaomane riik vastavalt Julgeolekunõukogu resolutsioonile 1373 (2001), ning tagama, et rahalisi vahendeid ega muud vara ei tehta otseselt või kaudselt kättesaadavaks ühelegi sellisele isikule või üksusele või ühegi sellise isiku või üksuse kasuks.</w:t>
      </w:r>
    </w:p>
    <w:p w:rsidR="00D032BE" w:rsidRPr="00D032BE" w:rsidRDefault="00D032BE" w:rsidP="00D032BE">
      <w:pPr>
        <w:pStyle w:val="Kehatekstloend"/>
      </w:pPr>
      <w:r w:rsidRPr="00D032BE">
        <w:t xml:space="preserve">2. </w:t>
      </w:r>
      <w:r w:rsidRPr="00D032BE">
        <w:tab/>
        <w:t>Tuleb rõhutada, et ühegi soovituses</w:t>
      </w:r>
      <w:r w:rsidR="00847867">
        <w:t xml:space="preserve"> </w:t>
      </w:r>
      <w:r w:rsidRPr="00D032BE">
        <w:t>6 sätestatud kohustuse eesmärk ei ole asendada teisi meetmeid või kohustusi, mis võivad juba olla kehtestatud rahaliste vahendite või muu vara kohtlemiseks seoses kriminaal-, tsiviil- või haldusuurimise või -menetlusega vastavalt soovitusele</w:t>
      </w:r>
      <w:r w:rsidR="00847867">
        <w:t xml:space="preserve"> </w:t>
      </w:r>
      <w:r w:rsidRPr="00D032BE">
        <w:t>4 (konfiskeerimine ja ajutised meetmed)</w:t>
      </w:r>
      <w:r w:rsidRPr="00D032BE">
        <w:rPr>
          <w:rStyle w:val="Allmrkuseviide"/>
        </w:rPr>
        <w:footnoteReference w:id="4"/>
      </w:r>
      <w:r w:rsidRPr="00D032BE">
        <w:t>. Soovituses</w:t>
      </w:r>
      <w:r w:rsidR="00847867">
        <w:t xml:space="preserve"> </w:t>
      </w:r>
      <w:r w:rsidRPr="00D032BE">
        <w:t>6 sätestatud meetmed võivad täiendada kriminaalmenetlust määratud isiku või üksuse vastu ning pädev asutus või kohus võib neid rakendada, ent sellise menetluse olemasolu ei ole nende rakendamise eeltingimuseks. Soovituses</w:t>
      </w:r>
      <w:r w:rsidR="00847867">
        <w:t xml:space="preserve"> </w:t>
      </w:r>
      <w:r w:rsidRPr="00D032BE">
        <w:t xml:space="preserve">6 keskendutakse seevastu ennetusmeetmetele, mis on vajalikud ja ainulaadsed seoses rahaliste vahendite või muu vara terroristlikele ühendustele ülemineku või nende eesmärkidel kasutamise peatamisega. Terrorismi rahastamise </w:t>
      </w:r>
      <w:r w:rsidR="00A35E9F">
        <w:t>tõkestamise</w:t>
      </w:r>
      <w:r w:rsidRPr="00D032BE">
        <w:t xml:space="preserve"> tulemuslike meetmete piiride määratlemisel või nende laiaulatusliku toetuse soodustamisel peavad riigid </w:t>
      </w:r>
      <w:r w:rsidRPr="00D032BE">
        <w:lastRenderedPageBreak/>
        <w:t>austama ka inimõigusi, õigusriigi põhimõtteid ja süütute kolmandate isikute õigusi.</w:t>
      </w:r>
    </w:p>
    <w:p w:rsidR="00D032BE" w:rsidRPr="00D032BE" w:rsidRDefault="00D032BE" w:rsidP="00D032BE">
      <w:pPr>
        <w:pStyle w:val="Kehatekstloend"/>
      </w:pPr>
      <w:r w:rsidRPr="00D032BE">
        <w:br w:type="page"/>
      </w:r>
    </w:p>
    <w:p w:rsidR="00D032BE" w:rsidRPr="00D032BE" w:rsidRDefault="00D032BE" w:rsidP="00D032BE">
      <w:pPr>
        <w:pStyle w:val="A-pealkiri"/>
      </w:pPr>
      <w:r w:rsidRPr="00D032BE">
        <w:lastRenderedPageBreak/>
        <w:t xml:space="preserve">B. </w:t>
      </w:r>
      <w:r w:rsidRPr="00D032BE">
        <w:tab/>
        <w:t>TERRORISTLIKKU TEGEVUST RAHASTAVATE VÕI TOETAVATE ISIKUTE JA ÜKSUSTE TUVASTAMINE JA MÄÄRAMINE</w:t>
      </w:r>
    </w:p>
    <w:p w:rsidR="00D032BE" w:rsidRPr="00D032BE" w:rsidRDefault="00D032BE" w:rsidP="00D032BE">
      <w:pPr>
        <w:pStyle w:val="Kehatekstloend"/>
      </w:pPr>
      <w:r w:rsidRPr="00D032BE">
        <w:t xml:space="preserve">3. </w:t>
      </w:r>
      <w:r w:rsidRPr="00D032BE">
        <w:tab/>
        <w:t xml:space="preserve">Resolutsiooni 1267 (1999) ja sellele järgnevate resolutsioonide kohaselt teostab </w:t>
      </w:r>
      <w:proofErr w:type="spellStart"/>
      <w:r w:rsidRPr="00D032BE">
        <w:t>Al-Qaidaga</w:t>
      </w:r>
      <w:proofErr w:type="spellEnd"/>
      <w:r w:rsidRPr="00D032BE">
        <w:t xml:space="preserve"> seotud määramised 1267 komitee ning </w:t>
      </w:r>
      <w:proofErr w:type="spellStart"/>
      <w:r w:rsidRPr="00D032BE">
        <w:t>Talibani</w:t>
      </w:r>
      <w:proofErr w:type="spellEnd"/>
      <w:r w:rsidRPr="00D032BE">
        <w:t xml:space="preserve"> ja sellega Afganistanis kaasnevate ohtudega seotud määramised 1988 komitee, kusjuures mõlemad komiteed tegutsevad vastavalt ÜRO põhikirja VII peatükile. Resolutsiooni 1373 (2001) kohaselt on siseriiklikul või rahvusvahelisel tasandil määrajaks riik või riigid nende enda ettepaneku alusel või teise riigi taotluse põhjal, kui taotluse saanud riik on vastavalt kohaldatavatele õiguspõhimõtetele kindel, et taotletavat määramist toetab põhjendatud kahtlus või usk, et määratav isik või üksus vastab punktis E kirjeldatud ja resolutsioonis 1373 (2001) sätestatud kriteeriumitele.</w:t>
      </w:r>
    </w:p>
    <w:p w:rsidR="00D032BE" w:rsidRPr="00D032BE" w:rsidRDefault="00D032BE" w:rsidP="00D032BE">
      <w:pPr>
        <w:pStyle w:val="Kehatekstloend"/>
      </w:pPr>
      <w:r w:rsidRPr="00D032BE">
        <w:t xml:space="preserve">4. </w:t>
      </w:r>
      <w:r w:rsidRPr="00D032BE">
        <w:tab/>
        <w:t>Riikidel peavad olema volitused ja tõhusad menetlused või mehhanismid resolutsioonis 1267 (1999) ja sellele järgnevates resolutsioonides käsitletud isikute ja üksuste tuvastamiseks ning nende määramise ettepaneku algatamiseks kooskõlas nende Julgeolekunõukogu resolutsioonides sätestatud kohustustega</w:t>
      </w:r>
      <w:r w:rsidRPr="00D032BE">
        <w:rPr>
          <w:rStyle w:val="Allmrkuseviide"/>
        </w:rPr>
        <w:footnoteReference w:id="5"/>
      </w:r>
      <w:r w:rsidRPr="00D032BE">
        <w:t>. Sellised volitused ja menetlused või mehhanismid on ülimalt olulised Julgeolekunõukogule isikute ja üksuste määramise ettepanekute tegemiseks Julgeolekunõukogu loetelul põhinevate programmide alusel vastavalt kõnealustele Julgeolekunõukogu resolutsioonidele. Samuti peavad riikidel olema volitused ja tõhusad menetlused või mehhanismid resolutsioonis S/RES/1373 (2001) käsitletud isikute ja üksuste tuvastamiseks ning määramise algatamiseks kooskõlas kõnealuses Julgeolekunõukogu resolutsioonis sätestatud kohustustega. Sellised volitused ja menetlused või mehhanismid on ülimalt olulised punktis E kirjeldatud ja resolutsioonis 1373 (2001) sätestatud kriteeriumitele vastavate isikute ja üksuste tuvastamiseks. Riigis kehtestatud kord resolutsiooni 1267 (1999) ja sellele järgnevate resolutsioonide ning resolutsiooni 1373 (2001) rakendamiseks peaks hõlmama järgmisi vajalikke elemente:</w:t>
      </w:r>
    </w:p>
    <w:p w:rsidR="00D032BE" w:rsidRPr="00D032BE" w:rsidRDefault="00D032BE" w:rsidP="00D032BE">
      <w:pPr>
        <w:pStyle w:val="a-thtloend"/>
      </w:pPr>
      <w:r w:rsidRPr="00D032BE">
        <w:t xml:space="preserve">a) </w:t>
      </w:r>
      <w:r w:rsidRPr="00D032BE">
        <w:tab/>
        <w:t xml:space="preserve">Riigid peaksid määrama pädeva asutuse või kohtu, mis vastutab järgmise eest: </w:t>
      </w:r>
    </w:p>
    <w:p w:rsidR="00D032BE" w:rsidRPr="00D032BE" w:rsidRDefault="00D032BE" w:rsidP="00D032BE">
      <w:pPr>
        <w:pStyle w:val="i-thtloeng"/>
      </w:pPr>
      <w:r w:rsidRPr="00D032BE">
        <w:t xml:space="preserve">i) </w:t>
      </w:r>
      <w:r w:rsidRPr="00D032BE">
        <w:tab/>
        <w:t>1267 komiteele ettepanekute esitamine selliste isikute või üksuste asjakohaseks määramiseks, kes vastavad Julgeolekunõukogu resolutsioonis 1989 (2011) (</w:t>
      </w:r>
      <w:proofErr w:type="spellStart"/>
      <w:r w:rsidRPr="00D032BE">
        <w:t>Al-Qaida</w:t>
      </w:r>
      <w:proofErr w:type="spellEnd"/>
      <w:r w:rsidRPr="00D032BE">
        <w:t xml:space="preserve"> kohta) ja sellega seotud resolutsioonides sätestatud konkreetsetele määramiskriteeriumitele, kui see asutus otsustab seda teha ja usub, et tal on olemas piisavad tõendid määramiskriteeriumitele vastavuse kinnitamiseks;</w:t>
      </w:r>
    </w:p>
    <w:p w:rsidR="00D032BE" w:rsidRPr="00D032BE" w:rsidRDefault="00D032BE" w:rsidP="00D032BE">
      <w:pPr>
        <w:pStyle w:val="i-thtloeng"/>
      </w:pPr>
      <w:proofErr w:type="spellStart"/>
      <w:r w:rsidRPr="00D032BE">
        <w:lastRenderedPageBreak/>
        <w:t>ii</w:t>
      </w:r>
      <w:proofErr w:type="spellEnd"/>
      <w:r w:rsidRPr="00D032BE">
        <w:t xml:space="preserve">) </w:t>
      </w:r>
      <w:r w:rsidRPr="00D032BE">
        <w:tab/>
        <w:t>1988 komiteele ettepanekute tegemine nende isikute või üksuste asjakohaseks määramiseks, kes vastavad Julgeolekunõukogu resolutsioonis 1988 (2011) (</w:t>
      </w:r>
      <w:proofErr w:type="spellStart"/>
      <w:r w:rsidRPr="00D032BE">
        <w:t>Talibani</w:t>
      </w:r>
      <w:proofErr w:type="spellEnd"/>
      <w:r w:rsidRPr="00D032BE">
        <w:t xml:space="preserve"> ja </w:t>
      </w:r>
      <w:proofErr w:type="spellStart"/>
      <w:r w:rsidRPr="00D032BE">
        <w:t>Talibaniga</w:t>
      </w:r>
      <w:proofErr w:type="spellEnd"/>
      <w:r w:rsidRPr="00D032BE">
        <w:t xml:space="preserve"> seotud isikute ja üksuste kohta, kes ohustavad Afganistani rahu, stabiilsust ja julgeolekut) ja sellega seotud resolutsioonides sätestatud konkreetsetele määramiskriteeriumitele, kui see asutus otsustab seda teha ja usub, et tal on olemas piisavad tõendid määramiskriteeriumitele vastavuse kinnitamiseks; ja</w:t>
      </w:r>
    </w:p>
    <w:p w:rsidR="00D032BE" w:rsidRPr="00D032BE" w:rsidRDefault="00D032BE" w:rsidP="00D032BE">
      <w:pPr>
        <w:pStyle w:val="i-thtloeng"/>
      </w:pPr>
      <w:proofErr w:type="spellStart"/>
      <w:r w:rsidRPr="00D032BE">
        <w:t>iii</w:t>
      </w:r>
      <w:proofErr w:type="spellEnd"/>
      <w:r w:rsidRPr="00D032BE">
        <w:t xml:space="preserve">) </w:t>
      </w:r>
      <w:r w:rsidRPr="00D032BE">
        <w:tab/>
        <w:t>resolutsioonis 1373 (2001) sätestatud konkreetsetele määramiskriteeriumitele vastavate isikute või üksuste määramine kas riigi enda tehtud ettepaneku alusel või pärast teise riigi taotluse läbivaatamist ja vajaduse korral täitmist, kui taotluse saanud riik on vastavalt kohaldatavatele õiguspõhimõtetele kindel, et taotletavat määramist toetab riigi põhjendatud kahtlus või usk, et määratav isik või üksus vastab punktis E kirjeldatud ja resolutsioonis 1373 (2001) sätestatud määramiskriteeriumitele.</w:t>
      </w:r>
    </w:p>
    <w:p w:rsidR="00D032BE" w:rsidRPr="00D032BE" w:rsidRDefault="00D032BE" w:rsidP="00D032BE">
      <w:pPr>
        <w:pStyle w:val="a-thtloend"/>
      </w:pPr>
      <w:r w:rsidRPr="00D032BE">
        <w:t xml:space="preserve">b) </w:t>
      </w:r>
      <w:r w:rsidRPr="00D032BE">
        <w:tab/>
        <w:t xml:space="preserve">Riikidel peaksid olema </w:t>
      </w:r>
      <w:proofErr w:type="spellStart"/>
      <w:r w:rsidRPr="00D032BE">
        <w:t>mehhanism(id</w:t>
      </w:r>
      <w:proofErr w:type="spellEnd"/>
      <w:r w:rsidRPr="00D032BE">
        <w:t>) määratavate isikute või üksuste tuvastamiseks vastavalt resolutsioonis 1988 (2011), resolutsioonis 1989 (2011) ja nendega seotud resolutsioonides ning resolutsioonis 1373 (2001) sätestatud määramiskriteeriumitele (Julgeolekukomitee asjaomaste resolutsioonide konkreetsed määramiskriteeriumid on esitatud punktis E). See hõlmab volitusi ja tõhusaid menetlusi või mehhanisme teiste riikide blokeerimiskorra kohaselt vastavalt resolutsioonile 1373 (2001) algatatud meetmete läbivaatamiseks ja vajaduse korral jõustamiseks. Riikidevahelise tõhusa koostöö kindlustamiseks peaksid riigid tagama, et taotluse saamisel selgitatakse kohe välja, kas riik on vastavalt rakendatavatele rahvusvahelistele ja siseriiklikele põhimõtetele kindel, et taotlust toetab riigi põhjendatud kahtlus või usk, et määratav isik või üksus vastab punktis E kirjeldatud ja resolutsioonis 1373 (2011) sätestatud määramiskriteeriumitele.</w:t>
      </w:r>
    </w:p>
    <w:p w:rsidR="00D032BE" w:rsidRPr="00D032BE" w:rsidRDefault="00D032BE" w:rsidP="00D032BE">
      <w:pPr>
        <w:pStyle w:val="a-thtloend"/>
      </w:pPr>
      <w:r w:rsidRPr="00D032BE">
        <w:t xml:space="preserve">c) </w:t>
      </w:r>
      <w:r w:rsidRPr="00D032BE">
        <w:tab/>
        <w:t>Pädeval asutusel/pädevatel asutustel peaksid olema asjakohased seaduslikud volitused ja menetlused või mehhanismid, et koguda ja küsida kõikidest asjakohastest allikatest võimalikult põhjalikku teavet selliste isikute ja üksuste tuvastamiseks, kelle puhul eksisteerib põhjendatud kahtlus või usk, et nad vastavad asjaomastes Julgeolekunõukogu resolutsioonides sätestatud määramiskriteeriumitele.</w:t>
      </w:r>
    </w:p>
    <w:p w:rsidR="00D032BE" w:rsidRPr="00D032BE" w:rsidRDefault="00D032BE" w:rsidP="00D032BE">
      <w:pPr>
        <w:pStyle w:val="a-thtloend"/>
      </w:pPr>
      <w:r w:rsidRPr="0015141A">
        <w:t xml:space="preserve">d) </w:t>
      </w:r>
      <w:r w:rsidRPr="0015141A">
        <w:tab/>
        <w:t xml:space="preserve">Isikute või üksuste määramise või määramisettepaneku tegemise otsustamisel peaksid riigid rakendama „põhjendatud kahtluse” või „põhjendatud usu” tõendusmäära. Resolutsioonis 1373 (2001) sätestatud määramiste puhul kohaldab iga riigi pädev asutus oma </w:t>
      </w:r>
      <w:r w:rsidRPr="0015141A">
        <w:lastRenderedPageBreak/>
        <w:t xml:space="preserve">õigussüsteemi õigusnormi nende tõendite liigi ja koguse kohta, mis on vajalikud otsustamaks, kas eksisteerib „põhjendatud kahtlus” või „põhjendatud usk” isiku või üksuse määramiseks ning blokeerimiskorra jõustamiseks. See ei olene sellest, kas määramisettepaneku on teinud asjaomane riik ise või seda taotleb mõni teine riik. Määramise (ettepaneku) eeltingimuseks ei tohiks olla </w:t>
      </w:r>
      <w:r w:rsidR="00B86CDE" w:rsidRPr="00E079EA">
        <w:t>käimasolev kriminaalmenetlus</w:t>
      </w:r>
      <w:r w:rsidRPr="0015141A">
        <w:t>.</w:t>
      </w:r>
    </w:p>
    <w:p w:rsidR="00D032BE" w:rsidRPr="00D032BE" w:rsidRDefault="00D032BE" w:rsidP="00D032BE">
      <w:pPr>
        <w:pStyle w:val="a-thtloend"/>
      </w:pPr>
      <w:r w:rsidRPr="00D032BE">
        <w:t xml:space="preserve">e) </w:t>
      </w:r>
      <w:r w:rsidRPr="00D032BE">
        <w:tab/>
        <w:t xml:space="preserve">1267 komiteele nimede esitamisel </w:t>
      </w:r>
      <w:proofErr w:type="spellStart"/>
      <w:r w:rsidRPr="00D032BE">
        <w:t>Al-Qaida</w:t>
      </w:r>
      <w:proofErr w:type="spellEnd"/>
      <w:r w:rsidRPr="00D032BE">
        <w:t xml:space="preserve"> sanktsioonide loetellu kandmiseks vastavalt resolutsioonile 1267 (1999) ja sellele järgnevatele resolutsioonidele peaksid riigid</w:t>
      </w:r>
    </w:p>
    <w:p w:rsidR="00D032BE" w:rsidRPr="00D032BE" w:rsidRDefault="00D032BE" w:rsidP="00D032BE">
      <w:pPr>
        <w:pStyle w:val="i-thtloeng"/>
      </w:pPr>
      <w:r w:rsidRPr="00D032BE">
        <w:t xml:space="preserve">i) </w:t>
      </w:r>
      <w:r w:rsidRPr="00D032BE">
        <w:tab/>
        <w:t>järgima 1267 komitee kehtestatud loetellu kandmise menetlusi ja standardvorme;</w:t>
      </w:r>
    </w:p>
    <w:p w:rsidR="00D032BE" w:rsidRPr="00D032BE" w:rsidRDefault="00D032BE" w:rsidP="00D032BE">
      <w:pPr>
        <w:pStyle w:val="i-thtloeng"/>
      </w:pPr>
      <w:proofErr w:type="spellStart"/>
      <w:r w:rsidRPr="00D032BE">
        <w:t>ii</w:t>
      </w:r>
      <w:proofErr w:type="spellEnd"/>
      <w:r w:rsidRPr="00D032BE">
        <w:t xml:space="preserve">) </w:t>
      </w:r>
      <w:r w:rsidRPr="00D032BE">
        <w:tab/>
        <w:t xml:space="preserve">esitama väljapakutud nime kohta võimalikult palju teavet, eelkõige piisavalt teavet isikute, rühmituste, ettevõtjate ja üksuste täpseks ja </w:t>
      </w:r>
      <w:r w:rsidR="00B363D3">
        <w:t>edukaks</w:t>
      </w:r>
      <w:r w:rsidR="00B363D3" w:rsidRPr="00D032BE">
        <w:t xml:space="preserve"> </w:t>
      </w:r>
      <w:r w:rsidRPr="00D032BE">
        <w:t xml:space="preserve">tuvastamiseks ning võimalikult suures ulatuses Interpoli nõutavat teavet </w:t>
      </w:r>
      <w:r w:rsidR="00B86CDE" w:rsidRPr="00E079EA">
        <w:t>eriteate</w:t>
      </w:r>
      <w:r w:rsidRPr="00D032BE">
        <w:t xml:space="preserve"> väljastamiseks;</w:t>
      </w:r>
    </w:p>
    <w:p w:rsidR="00D032BE" w:rsidRPr="00D032BE" w:rsidRDefault="00D032BE" w:rsidP="00D032BE">
      <w:pPr>
        <w:pStyle w:val="i-thtloeng"/>
      </w:pPr>
      <w:proofErr w:type="spellStart"/>
      <w:r w:rsidRPr="00D032BE">
        <w:t>iii</w:t>
      </w:r>
      <w:proofErr w:type="spellEnd"/>
      <w:r w:rsidRPr="00D032BE">
        <w:t>)</w:t>
      </w:r>
      <w:r w:rsidRPr="00D032BE">
        <w:tab/>
        <w:t xml:space="preserve">esitama seisukoha, mis sisaldab võimalikult üksikasjalikku teavet loetellu kandmise aluste kohta, </w:t>
      </w:r>
      <w:r w:rsidR="00847867">
        <w:t>sh</w:t>
      </w:r>
      <w:r w:rsidRPr="00D032BE">
        <w:t>: konkreetset teavet, mis toetab isiku või üksuse vastavust asjaomastele määramiskriteeriumitele (Julgeolekukomitee asjaomaste resolutsioonide konkreetsed määramiskriteeriumid on esitatud punktis E); teabe iseloomu kirjeldust; sellise toetava teabe või selliste dokumentide kirjeldust, mida on võimalik esitada; ja teavet väljapakutud määratava isiku või üksuse ja mõne juba määratud isiku või üksuse vahelise seose kohta. See seisukohta peaks saama taotluse alusel kättesaadavaks teha, välja arvatud osad, mille liikmesriik on määratlenud 1267 komiteele konfidentsiaalsetena; ja</w:t>
      </w:r>
    </w:p>
    <w:p w:rsidR="00D032BE" w:rsidRPr="00D032BE" w:rsidRDefault="00D032BE" w:rsidP="00D032BE">
      <w:pPr>
        <w:pStyle w:val="i-thtloeng"/>
      </w:pPr>
      <w:proofErr w:type="spellStart"/>
      <w:r w:rsidRPr="00D032BE">
        <w:t>iv</w:t>
      </w:r>
      <w:proofErr w:type="spellEnd"/>
      <w:r w:rsidRPr="00D032BE">
        <w:t xml:space="preserve">) </w:t>
      </w:r>
      <w:r w:rsidRPr="00D032BE">
        <w:tab/>
        <w:t>märkima, kas riigi staatust määrava riigina on lubatud avaldada.</w:t>
      </w:r>
    </w:p>
    <w:p w:rsidR="00D032BE" w:rsidRPr="00D032BE" w:rsidRDefault="00D032BE" w:rsidP="00D032BE">
      <w:pPr>
        <w:pStyle w:val="a-thtloend"/>
      </w:pPr>
      <w:r w:rsidRPr="00D032BE">
        <w:t xml:space="preserve">f) </w:t>
      </w:r>
      <w:r w:rsidRPr="00D032BE">
        <w:tab/>
        <w:t xml:space="preserve">1988 komiteele nimede esitamisel </w:t>
      </w:r>
      <w:proofErr w:type="spellStart"/>
      <w:r w:rsidRPr="00D032BE">
        <w:t>Talibani</w:t>
      </w:r>
      <w:proofErr w:type="spellEnd"/>
      <w:r w:rsidRPr="00D032BE">
        <w:t xml:space="preserve"> sanktsioonide loetellu kandmiseks vastavalt resolutsioonile 1988 (2011) ja sellele järgnevatele resolutsioonidele peaksid riigid tegema järgmist:</w:t>
      </w:r>
    </w:p>
    <w:p w:rsidR="00D032BE" w:rsidRPr="00D032BE" w:rsidRDefault="00D032BE" w:rsidP="00D032BE">
      <w:pPr>
        <w:pStyle w:val="i-thtloeng"/>
      </w:pPr>
      <w:r w:rsidRPr="00D032BE">
        <w:t xml:space="preserve">i) </w:t>
      </w:r>
      <w:r w:rsidRPr="00D032BE">
        <w:tab/>
        <w:t>järgima 1988 komitee kehtestatud loetellu kandmise menetlusi;</w:t>
      </w:r>
    </w:p>
    <w:p w:rsidR="00D032BE" w:rsidRPr="00D032BE" w:rsidRDefault="00D032BE" w:rsidP="00D032BE">
      <w:pPr>
        <w:pStyle w:val="i-thtloeng"/>
      </w:pPr>
      <w:proofErr w:type="spellStart"/>
      <w:r w:rsidRPr="00D032BE">
        <w:t>ii</w:t>
      </w:r>
      <w:proofErr w:type="spellEnd"/>
      <w:r w:rsidRPr="00D032BE">
        <w:t xml:space="preserve">) </w:t>
      </w:r>
      <w:r w:rsidRPr="00D032BE">
        <w:tab/>
        <w:t xml:space="preserve">esitama väljapakutud nime kohta võimalikult palju teavet, eelkõige piisavalt teavet isikute, rühmituste, ettevõtjate ja üksuste täpseks ja </w:t>
      </w:r>
      <w:r w:rsidR="00B363D3">
        <w:t>edukaks</w:t>
      </w:r>
      <w:r w:rsidR="00B363D3" w:rsidRPr="00D032BE">
        <w:t xml:space="preserve"> </w:t>
      </w:r>
      <w:r w:rsidRPr="00D032BE">
        <w:t xml:space="preserve">tuvastamiseks ning võimalikult suures ulatuses Interpoli nõutavat teavet </w:t>
      </w:r>
      <w:r w:rsidR="00B86CDE" w:rsidRPr="00E079EA">
        <w:t>eriteate</w:t>
      </w:r>
      <w:r w:rsidRPr="00D032BE">
        <w:t xml:space="preserve"> väljastamiseks; ja</w:t>
      </w:r>
    </w:p>
    <w:p w:rsidR="00D032BE" w:rsidRPr="00D032BE" w:rsidRDefault="00D032BE" w:rsidP="00D032BE">
      <w:pPr>
        <w:pStyle w:val="i-thtloeng"/>
      </w:pPr>
      <w:proofErr w:type="spellStart"/>
      <w:r w:rsidRPr="00D032BE">
        <w:t>iii</w:t>
      </w:r>
      <w:proofErr w:type="spellEnd"/>
      <w:r w:rsidRPr="00D032BE">
        <w:t xml:space="preserve">) esitama seisukoha, mis sisaldab võimalikult üksikasjalikku teavet loetellu kandmise aluste kohta, </w:t>
      </w:r>
      <w:r w:rsidR="00847867">
        <w:t>sh</w:t>
      </w:r>
      <w:r w:rsidRPr="00D032BE">
        <w:t xml:space="preserve">: konkreetset teavet, mis toetab isiku või üksuse vastavust asjaomastele määramiskriteeriumitele </w:t>
      </w:r>
      <w:r w:rsidRPr="00D032BE">
        <w:lastRenderedPageBreak/>
        <w:t>(Julgeolekukomitee asjaomaste resolutsioonide konkreetsed määramiskriteeriumid on esitatud punktis E); teabe iseloomu kirjeldust; sellise toetava teabe või selliste dokumentide kirjeldust, mida on võimalik esitada; ja teavet väljapakutud määratava isiku või üksuse ja mõne juba määratud isiku või üksuse vahelise seose kohta. See seisukohta peaks saama taotluse alusel kättesaadavaks teha, välja arvatud osad, mille liikmesriik on määratlenud 1988 komiteele konfidentsiaalsetena.</w:t>
      </w:r>
    </w:p>
    <w:p w:rsidR="00D032BE" w:rsidRPr="00D032BE" w:rsidRDefault="00D032BE" w:rsidP="00D032BE">
      <w:pPr>
        <w:pStyle w:val="a-thtloend"/>
      </w:pPr>
      <w:r w:rsidRPr="00D032BE">
        <w:t xml:space="preserve">g) </w:t>
      </w:r>
      <w:r w:rsidRPr="00D032BE">
        <w:tab/>
        <w:t xml:space="preserve">Teiselt riigilt vastavalt resolutsioonile 1373 (2001) rakendatud blokeerimiskorra alusel algatatud meetmete jõustamist taotledes peaks meetme algatanud riik esitama võimalikult üksikasjalikku teavet väljapakutud nime kohta, eelkõige piisavat teavet isikute või üksuste täpseks ja </w:t>
      </w:r>
      <w:r w:rsidR="00B363D3">
        <w:t>edukaks</w:t>
      </w:r>
      <w:r w:rsidR="00B363D3" w:rsidRPr="00D032BE">
        <w:t xml:space="preserve"> </w:t>
      </w:r>
      <w:r w:rsidRPr="00D032BE">
        <w:t>tuvastamiseks ning konkreetset teavet, mis toetab isiku või üksuse vastavust asjaomastele määramiskriteeriumitele (Julgeolekukomitee asjaomaste resolutsioonide konkreetsed määramiskriteeriumid on esitatud punktis E).</w:t>
      </w:r>
    </w:p>
    <w:p w:rsidR="00D032BE" w:rsidRPr="00D032BE" w:rsidRDefault="00D032BE" w:rsidP="00D032BE">
      <w:pPr>
        <w:pStyle w:val="a-thtloend"/>
      </w:pPr>
      <w:r w:rsidRPr="00D032BE">
        <w:t>h)</w:t>
      </w:r>
      <w:r w:rsidRPr="00D032BE">
        <w:tab/>
        <w:t>Riigid peaksid kehtestama menetlused, mis võimaldavad ühepoolselt abinõude rakendamist isiku või üksuse vastu, kes on tuvastatud ja kelle määramist (määramisettepanekut) kaalutakse.</w:t>
      </w:r>
    </w:p>
    <w:p w:rsidR="00D032BE" w:rsidRPr="00D032BE" w:rsidRDefault="00D032BE" w:rsidP="00D032BE">
      <w:pPr>
        <w:pStyle w:val="A-pealkiri"/>
      </w:pPr>
      <w:r w:rsidRPr="00D032BE">
        <w:t xml:space="preserve">C. </w:t>
      </w:r>
      <w:r w:rsidRPr="00D032BE">
        <w:tab/>
        <w:t>MÄÄRATUD ISIKUTE JA ÜKSUSTE RAHALISTE VAHENDITE VÕI MUU VARA BLOKEERIMINE JA SELLEGA KAUPLEMISE KEELAMINE</w:t>
      </w:r>
    </w:p>
    <w:p w:rsidR="00D032BE" w:rsidRPr="00D032BE" w:rsidRDefault="00D032BE" w:rsidP="00D032BE">
      <w:pPr>
        <w:pStyle w:val="Kehatekstloend"/>
      </w:pPr>
      <w:r w:rsidRPr="00D032BE">
        <w:t xml:space="preserve">5. </w:t>
      </w:r>
      <w:r w:rsidRPr="00D032BE">
        <w:tab/>
        <w:t>Riikidel on kohustus rakendada 1267 komitee ja 1988 komitee (resolutsiooni 1267 (1999) ja sellele järgnevate resolutsioonide puhul) määratud isikute ja üksuste suhtes viivitamatult sihtotstarbelisi finantskaristusi, kui need komiteed tegutsevad ÜRO põhikirja VIII peatüki alusel. Resolutsiooni 1373 (2001) puhul tuleneb riikide kohustus, mille kohaselt tuleb rakendada määratud isikute ja üksuste rahaliste vahendite või muu vara suhtes blokeerimismeetmeid või keelata sellise varaga kauplemine, rahvusvahelisel või siseriiklikul tasandil määramisest kas riigi enda ettepanekul või teiste riigi taotlusel, kui taotluse saanud riik on vastavalt kohaldatavatele õiguspõhimõtetele kindel, et taotletavat määramist toetab põhjendatud kahtlus või usk, et määratav isik või üksus vastab punktis E kirjeldatud ja resolutsioonis 1373 (2001) sätestatud määramiskriteeriumitele.</w:t>
      </w:r>
    </w:p>
    <w:p w:rsidR="00D032BE" w:rsidRPr="00D032BE" w:rsidRDefault="00D032BE" w:rsidP="00D032BE">
      <w:pPr>
        <w:pStyle w:val="Kehatekstloend"/>
      </w:pPr>
      <w:r w:rsidRPr="00D032BE">
        <w:t xml:space="preserve">6. </w:t>
      </w:r>
      <w:r w:rsidRPr="00D032BE">
        <w:tab/>
        <w:t xml:space="preserve">Riigid peaksid kehtestama vajalikud seaduslikud volitused ja määrama siseriikliku pädeva asutuse, mis vastutab sihtotstarbeliste finantskaristuste </w:t>
      </w:r>
      <w:r w:rsidR="00B86CDE" w:rsidRPr="00E079EA">
        <w:t>kehtestamise</w:t>
      </w:r>
      <w:r w:rsidR="00F04FDB">
        <w:t xml:space="preserve"> ja </w:t>
      </w:r>
      <w:r w:rsidRPr="00D032BE">
        <w:t>rakendamise eest, kooskõlas järgmiste standardite ja menetlustega:</w:t>
      </w:r>
    </w:p>
    <w:p w:rsidR="00D032BE" w:rsidRPr="00D032BE" w:rsidRDefault="00D032BE" w:rsidP="00D032BE">
      <w:pPr>
        <w:pStyle w:val="a-thtloend"/>
      </w:pPr>
      <w:r w:rsidRPr="00D032BE">
        <w:lastRenderedPageBreak/>
        <w:t xml:space="preserve">a) </w:t>
      </w:r>
      <w:r w:rsidRPr="00D032BE">
        <w:tab/>
        <w:t>Riigid</w:t>
      </w:r>
      <w:r w:rsidRPr="00D032BE">
        <w:rPr>
          <w:rStyle w:val="Allmrkuseviide"/>
        </w:rPr>
        <w:footnoteReference w:id="6"/>
      </w:r>
      <w:r w:rsidRPr="00D032BE">
        <w:t xml:space="preserve"> peaksid kohustama kõiki riigis asuvaid füüsilisi ja juriidilisi isikuid määratud isikute ja üksuste rahalised vahendid ning muu vara viivitamatult ja ilma ette teatamata blokeerima. See kohustus peaks hõlmama: kõiki rahalisi vahendeid või muud vara, mis on määratud isiku või üksuse omandis või kontrolli all, ning mitte ainult selliseid vahendeid ja vara, mida on võimalik seostada konkreetse terrorikuriteo, vandenõu või ohuga; otseselt või kaudselt määratud isikute või üksuste omandis või kaasomandis või kontrolli all olevaid rahalisi vahendeid või muid varasid; ning otseselt või kaudselt määratud isikute või üksuste omandis või kontrolli all olevatest rahalistest vahenditest või muust varast tulenenud või saadud rahalisi vahendeid või muud vara ning ka selliste määratud isikute või üksuste nimel või juhtimisel tegutsevate isikute või üksuste rahalisi vahendeid või muud vara.</w:t>
      </w:r>
    </w:p>
    <w:p w:rsidR="00D032BE" w:rsidRPr="00D032BE" w:rsidRDefault="00D032BE" w:rsidP="00D032BE">
      <w:pPr>
        <w:pStyle w:val="a-thtloend"/>
      </w:pPr>
      <w:r w:rsidRPr="00D032BE">
        <w:t xml:space="preserve">b) </w:t>
      </w:r>
      <w:r w:rsidRPr="00D032BE">
        <w:tab/>
        <w:t>Riigid peaksid keelama oma kodanikel või riigi jurisdiktsioonis asuvatel isikutel ja üksustel teha mis tahes rahalisi vahendeid või muud vara, majanduslikke ressursse või finants- või muid seotud teenuseid kas otseselt või kaudselt täielikult või ühiselt kättesaadavaks määratud isikutele või üksustele, otseselt või kaudselt määratud isikute või üksuste omandis või kontrolli all olevatele üksustele ning määratud isikute või üksuste nimel või juhtimisel tegutsevatele isikutele ja üksustele, kui selleks ei ole vastavalt asjaomastele Julgeolekunõukogu resolutsioonidele (vt allpool punkt E) antud luba, volitust või muud teadet.</w:t>
      </w:r>
    </w:p>
    <w:p w:rsidR="00D032BE" w:rsidRPr="00D032BE" w:rsidRDefault="00D032BE" w:rsidP="00D032BE">
      <w:pPr>
        <w:pStyle w:val="a-thtloend"/>
      </w:pPr>
      <w:r w:rsidRPr="00D032BE">
        <w:t xml:space="preserve">c) </w:t>
      </w:r>
      <w:r w:rsidRPr="00D032BE">
        <w:tab/>
        <w:t xml:space="preserve">Riigid peaksid kehtestama mehhanismid finantssektori ja mittefinantsteenuseid pakkuvate määratud ettevõtjate ja kutsetöötajate teavitamiseks määramistest viivitamatult pärast selliste meetmete rakendamist ning blokeerimiskorra raames meetmete rakendamise kohustuste kohta selgete juhtnööride andmiseks eelkõige </w:t>
      </w:r>
      <w:r w:rsidR="006043CB">
        <w:t>finantsasutus</w:t>
      </w:r>
      <w:r w:rsidRPr="00D032BE">
        <w:t>tele ja teistele isikutele või üksustele, sh mittefinantsteenuseid pakkuvatele ettevõtjatele ja kutsetöötajatele, kelle valduses asjaomased rahalised vahendid või muu vara võib olla.</w:t>
      </w:r>
    </w:p>
    <w:p w:rsidR="00D032BE" w:rsidRPr="00D032BE" w:rsidRDefault="00D032BE" w:rsidP="00D032BE">
      <w:pPr>
        <w:pStyle w:val="a-thtloend"/>
      </w:pPr>
      <w:r w:rsidRPr="00D032BE">
        <w:t xml:space="preserve">d) </w:t>
      </w:r>
      <w:r w:rsidRPr="00D032BE">
        <w:tab/>
        <w:t xml:space="preserve">Riigid peaksid kohustama </w:t>
      </w:r>
      <w:r w:rsidR="006043CB">
        <w:t>finantsasutus</w:t>
      </w:r>
      <w:r w:rsidRPr="00D032BE">
        <w:t>i ja mittefinantsteenuseid pakkuvaid määratud ettevõtjaid ja kutsetöötajaid</w:t>
      </w:r>
      <w:r w:rsidRPr="00D032BE">
        <w:rPr>
          <w:rStyle w:val="Allmrkuseviide"/>
        </w:rPr>
        <w:footnoteReference w:id="7"/>
      </w:r>
      <w:r w:rsidRPr="00D032BE">
        <w:t xml:space="preserve"> teatama pädevatele asutustele asjaomaste Julgeolekunõukogu resolutsioonide keelamisnõuetega kooskõlas blokeeritud varadest või rakendatud </w:t>
      </w:r>
      <w:r w:rsidRPr="00D032BE">
        <w:lastRenderedPageBreak/>
        <w:t>meetmetest, sh tehingute teostamise katsetest, ning tagama, et pädevad asutused kasutavad sellist teavet tulemuslikult.</w:t>
      </w:r>
    </w:p>
    <w:p w:rsidR="00D032BE" w:rsidRPr="00D032BE" w:rsidRDefault="00D032BE" w:rsidP="00D032BE">
      <w:pPr>
        <w:pStyle w:val="a-thtloend"/>
      </w:pPr>
      <w:r w:rsidRPr="00D032BE">
        <w:t xml:space="preserve">e) </w:t>
      </w:r>
      <w:r w:rsidRPr="00D032BE">
        <w:tab/>
        <w:t>Soovituses</w:t>
      </w:r>
      <w:r w:rsidR="00847867">
        <w:t xml:space="preserve"> </w:t>
      </w:r>
      <w:r w:rsidRPr="00D032BE">
        <w:t>6 sätestatud kohustuste täitmisel peaksid riigid rakendama tõhusaid meetmeid heas usus tegutsevate heausksete kolmandate isikute õiguste kaitsmiseks.</w:t>
      </w:r>
    </w:p>
    <w:p w:rsidR="00D032BE" w:rsidRPr="00D032BE" w:rsidRDefault="00D032BE" w:rsidP="00D032BE">
      <w:pPr>
        <w:pStyle w:val="A-pealkiri"/>
      </w:pPr>
      <w:r w:rsidRPr="00D032BE">
        <w:t xml:space="preserve">D. </w:t>
      </w:r>
      <w:r w:rsidRPr="00D032BE">
        <w:tab/>
        <w:t>LOETELUST KUSTUTAMINE, RAHALISTE VAHENDITE VÕI MUU VARA VABASTAMINE JA BLOKEERITUD RAHALISTELE VAHENDITELE VÕI MUULE VARALE JUURDEPÄÄSU TAGAMINE</w:t>
      </w:r>
    </w:p>
    <w:p w:rsidR="00D032BE" w:rsidRPr="00D032BE" w:rsidRDefault="00D032BE" w:rsidP="00D032BE">
      <w:pPr>
        <w:pStyle w:val="Kehatekstloend"/>
      </w:pPr>
      <w:r w:rsidRPr="00D032BE">
        <w:t xml:space="preserve">7. </w:t>
      </w:r>
      <w:r w:rsidRPr="00D032BE">
        <w:tab/>
        <w:t xml:space="preserve">Riigid peaksid välja töötama ja rakendama avalikkusele teadaolevad menetlused määratud isikute loetelust kustutamise taotluste Julgeolekunõukogule esitamiseks seoses resolutsiooni 1267 (1999) ja sellele järgnevate resolutsioonide alusel määratud isikute ja üksustega, kes riigi hinnangul ei vasta või enam ei vasta määramiskriteeriumitele. Kui 1267 komitee või 1988 komitee on isiku või üksuse loetelust kustutanud, siis blokeerimise kohustust enam ei eksisteeri. Loetelust kustutamise taotluste korral, mis on seotud </w:t>
      </w:r>
      <w:proofErr w:type="spellStart"/>
      <w:r w:rsidRPr="00D032BE">
        <w:t>Al-Qaidaga</w:t>
      </w:r>
      <w:proofErr w:type="spellEnd"/>
      <w:r w:rsidRPr="00D032BE">
        <w:t xml:space="preserve">, peaksid need menetlused ja kriteeriumid olema kooskõlas 1267 komitee poolt vastavalt Julgeolekunõukogu resolutsioonidele 1730 (2006), 1735 (2006), 1822 (2008), 1904 (2009), 1989 (2011) ja neile järgnevatele resolutsioonidele kehtestatud menetlustega. Loetelust kustutamise taotluste korral, mis on seotud </w:t>
      </w:r>
      <w:proofErr w:type="spellStart"/>
      <w:r w:rsidRPr="00D032BE">
        <w:t>Talibani</w:t>
      </w:r>
      <w:proofErr w:type="spellEnd"/>
      <w:r w:rsidRPr="00D032BE">
        <w:t xml:space="preserve"> ja sellega seotud ohtudega rahule, stabiilsusele ja julgeolekule Afganistanis, peaksid need menetlused ja kriteeriumid olema kooskõlas 1988 komitee poolt vastavalt Julgeolekunõukogu resolutsioonidele 1730 (2006), 1735 (2006), 1822 (2008), 1904 (2009), 1988 (2011) ja neile järgnevatele resolutsioonidele kehtestatud menetlustega.</w:t>
      </w:r>
    </w:p>
    <w:p w:rsidR="00D032BE" w:rsidRPr="00D032BE" w:rsidRDefault="00D032BE" w:rsidP="00D032BE">
      <w:pPr>
        <w:pStyle w:val="Kehatekstloend"/>
      </w:pPr>
      <w:r w:rsidRPr="00D032BE">
        <w:t xml:space="preserve">8. </w:t>
      </w:r>
      <w:r w:rsidRPr="00D032BE">
        <w:tab/>
        <w:t>Resolutsiooni 1373 (2001) kohaselt määratud isikute ja üksuste puhul peaksid riigid kehtestama asjakohased seaduslikud volitused ja menetlused või mehhanismid nende isikute ja üksuste loetelust kustutamiseks ja nende rahaliste vahendite või muu vara vabastamiseks, kes enam ei vasta määramiskriteeriumitele. Riigid peaksid kehtestama menetlused vastavasisulise taotluse korral määramisotsuse läbivaatamiseks kohtu või muu sõltumatu pädeva asutuse poolt.</w:t>
      </w:r>
    </w:p>
    <w:p w:rsidR="00D032BE" w:rsidRPr="00D032BE" w:rsidRDefault="00D032BE" w:rsidP="00D032BE">
      <w:pPr>
        <w:pStyle w:val="Kehatekstloend"/>
      </w:pPr>
      <w:r w:rsidRPr="00D032BE">
        <w:t xml:space="preserve">9. </w:t>
      </w:r>
      <w:r w:rsidRPr="00D032BE">
        <w:tab/>
        <w:t>Seoses selliste isikute või üksustega, kellel on määratud isikute või üksustega sama või sarnane nimi ja keda on blokeerimiskorda kohaldades tahtmatult kahjustatud (valepositiivsed), peaksid riigid välja töötama ja rakendama avalikkusele teadaolevad menetlused selliste isikute või üksuste rahaliste vahendite või muu vara õigeaegseks vabastamiseks, kui on tõendatud, et asjaomane isik või üksus ei ole määratud isik või üksus.</w:t>
      </w:r>
    </w:p>
    <w:p w:rsidR="00D032BE" w:rsidRPr="00D032BE" w:rsidRDefault="00D032BE" w:rsidP="00D032BE">
      <w:pPr>
        <w:pStyle w:val="Kehatekstloend"/>
      </w:pPr>
      <w:r w:rsidRPr="00D032BE">
        <w:t xml:space="preserve">10. </w:t>
      </w:r>
      <w:r w:rsidRPr="00D032BE">
        <w:tab/>
        <w:t xml:space="preserve">Kui riigid on otsustanud, et Julgeolekunõukogu või ühe tema sanktsioonide komitee määratud isikute ja üksuste rahalised vahendid või muu vara on vajalik põhikulude katmiseks, teatavat liiki lõivude, kulude ja teenustasude maksmiseks </w:t>
      </w:r>
      <w:r w:rsidRPr="00D032BE">
        <w:lastRenderedPageBreak/>
        <w:t>või erakorraliste kulude katmiseks, peaksid riigid võimaldama juurdepääsu sellistele rahalistele vahenditele või muule varale vastavalt resolutsioonis 1452 (2002) ja sellele järgnevates resolutsioonides sätestatud menetlustele. Riigid peaksid samadel alustel võimaldama juurdepääsu sellistele rahalistele vahenditele ja muule varale, kui blokeerimismeetmeid rakendatakse vastavalt resolutsioonidele 1373 (2001) ja 1963 (2010) rahvusvaheliselt või siseriiklikult määratud isikute ja üksuste suhtes.</w:t>
      </w:r>
    </w:p>
    <w:p w:rsidR="00D032BE" w:rsidRPr="00D032BE" w:rsidRDefault="00D032BE" w:rsidP="00D032BE">
      <w:pPr>
        <w:pStyle w:val="Kehatekstloend"/>
      </w:pPr>
      <w:r w:rsidRPr="00D032BE">
        <w:t xml:space="preserve">11. </w:t>
      </w:r>
      <w:r w:rsidRPr="00D032BE">
        <w:tab/>
        <w:t xml:space="preserve">Riigid peaksid tagama sellise mehhanismi olemasolu, mille kaudu määratud isik või üksus saab oma määramist vaidlustada ja esitada selle läbivaatamiseks pädevale asutusele või kohtule. Seoses </w:t>
      </w:r>
      <w:proofErr w:type="spellStart"/>
      <w:r w:rsidRPr="00D032BE">
        <w:t>Al-Qaida</w:t>
      </w:r>
      <w:proofErr w:type="spellEnd"/>
      <w:r w:rsidRPr="00D032BE">
        <w:t xml:space="preserve"> sanktsioonide loetelu kohaselt tehtud määramisega peaksid riigid teavitama määratud isikuid ja üksusi võimalusest pöörduda loetelust kustutamise taotluse aktsepteerimiseks ÜRO ombudsmani büroosse.</w:t>
      </w:r>
    </w:p>
    <w:p w:rsidR="00D032BE" w:rsidRPr="00D032BE" w:rsidRDefault="00D032BE" w:rsidP="00D032BE">
      <w:pPr>
        <w:pStyle w:val="Kehatekstloend"/>
      </w:pPr>
      <w:r w:rsidRPr="00D032BE">
        <w:t xml:space="preserve">12. </w:t>
      </w:r>
      <w:r w:rsidRPr="00D032BE">
        <w:tab/>
        <w:t xml:space="preserve">Riigid peaksid kehtestama mehhanismid finantssektori ja mittefinantsteenuseid pakkuvate määratud ettevõtjate või kutsetöötajate teavitamiseks loetelust kustutamisest ja vahendite vabastamisest viivitamatult pärast selliste meetmete rakendamist ning andma loetelust kustutamise või vahendite vabastamise meetme rakendamise kohustuse kohta piisavaid juhtnööre eelkõige </w:t>
      </w:r>
      <w:r w:rsidR="006043CB">
        <w:t>finantsasutus</w:t>
      </w:r>
      <w:r w:rsidRPr="00D032BE">
        <w:t>tele ja teistele isikutele ja üksustele, sh mittefinantsteenuseid pakkuvatele määratud ettevõtjatele ja kutsetöötajatele, kelle valduses asjaomased rahalised vahendid või muu vara võib olla.</w:t>
      </w:r>
    </w:p>
    <w:p w:rsidR="00D032BE" w:rsidRPr="00D032BE" w:rsidRDefault="00D032BE" w:rsidP="00D032BE">
      <w:pPr>
        <w:pStyle w:val="A-pealkiri"/>
      </w:pPr>
      <w:r w:rsidRPr="00D032BE">
        <w:t xml:space="preserve">E. </w:t>
      </w:r>
      <w:r w:rsidRPr="00D032BE">
        <w:tab/>
        <w:t>ÜHENDATUD RAHVASTE ORGANISATSIOONI MÄÄRAMISKRITEERIUMID</w:t>
      </w:r>
    </w:p>
    <w:p w:rsidR="00D032BE" w:rsidRPr="00D032BE" w:rsidRDefault="00D032BE" w:rsidP="00D032BE">
      <w:pPr>
        <w:pStyle w:val="Kehatekstloend"/>
      </w:pPr>
      <w:r w:rsidRPr="00D032BE">
        <w:t xml:space="preserve">13. </w:t>
      </w:r>
      <w:r w:rsidRPr="00D032BE">
        <w:tab/>
        <w:t>ÜRO asjaomastes resolutsioonides määratletud määramiskriteeriumid on järgmised.</w:t>
      </w:r>
    </w:p>
    <w:p w:rsidR="00D032BE" w:rsidRPr="00D032BE" w:rsidRDefault="00D032BE" w:rsidP="00D032BE">
      <w:pPr>
        <w:pStyle w:val="a-thtloend"/>
        <w:rPr>
          <w:rFonts w:ascii="Calibri" w:hAnsi="Calibri" w:cs="Calibri"/>
          <w:b/>
          <w:color w:val="348093"/>
        </w:rPr>
      </w:pPr>
      <w:r w:rsidRPr="00D032BE">
        <w:t xml:space="preserve">a) </w:t>
      </w:r>
      <w:r w:rsidRPr="00D032BE">
        <w:tab/>
      </w:r>
      <w:r w:rsidRPr="00D032BE">
        <w:rPr>
          <w:rFonts w:ascii="Calibri" w:hAnsi="Calibri" w:cs="Calibri"/>
          <w:b/>
          <w:color w:val="348093"/>
        </w:rPr>
        <w:t>Julgeolekunõukogu resolutsioonid 1267 (1999), 1989 (2011) ja neile järgnevad resolutsioonid</w:t>
      </w:r>
      <w:r w:rsidRPr="00D032BE">
        <w:rPr>
          <w:rStyle w:val="Allmrkuseviide"/>
        </w:rPr>
        <w:footnoteReference w:id="8"/>
      </w:r>
      <w:r w:rsidRPr="00D032BE">
        <w:t>:</w:t>
      </w:r>
    </w:p>
    <w:p w:rsidR="00D032BE" w:rsidRPr="00D032BE" w:rsidRDefault="00D032BE" w:rsidP="00D032BE">
      <w:pPr>
        <w:pStyle w:val="i-thtloeng"/>
      </w:pPr>
      <w:r w:rsidRPr="00D032BE">
        <w:t xml:space="preserve">i) </w:t>
      </w:r>
      <w:r w:rsidRPr="00D032BE">
        <w:tab/>
        <w:t xml:space="preserve">iga isik või üksus, kes osaleb </w:t>
      </w:r>
      <w:proofErr w:type="spellStart"/>
      <w:r w:rsidRPr="00D032BE">
        <w:t>Al-Qaida</w:t>
      </w:r>
      <w:proofErr w:type="spellEnd"/>
      <w:r w:rsidRPr="00D032BE">
        <w:t xml:space="preserve"> või selle mis tahes rühmituse, kõrvalrühmituse, nendest eraldunud või nendest tekkinud rühmituse tegude või tegevuse rahastamises, kavandamises, hõlbustamises, ettevalmistamises või elluviimises koos nendega, nende nime all, nende huvides või nende toetuseks, või tarnib, müüb või edastab relvi ja nendega seotud varustust või värbab liikmeid eespool nimetatuile või teostab muid neid toetavaid tegusid või tegevust</w:t>
      </w:r>
      <w:r w:rsidRPr="00D032BE">
        <w:rPr>
          <w:rStyle w:val="Allmrkuseviide"/>
        </w:rPr>
        <w:footnoteReference w:id="9"/>
      </w:r>
      <w:r w:rsidRPr="00D032BE">
        <w:t>; või</w:t>
      </w:r>
    </w:p>
    <w:p w:rsidR="00D032BE" w:rsidRPr="00D032BE" w:rsidRDefault="00D032BE" w:rsidP="00D032BE">
      <w:pPr>
        <w:pStyle w:val="i-thtloeng"/>
      </w:pPr>
      <w:proofErr w:type="spellStart"/>
      <w:r w:rsidRPr="00D032BE">
        <w:lastRenderedPageBreak/>
        <w:t>ii</w:t>
      </w:r>
      <w:proofErr w:type="spellEnd"/>
      <w:r w:rsidRPr="00D032BE">
        <w:t xml:space="preserve">) </w:t>
      </w:r>
      <w:r w:rsidRPr="00D032BE">
        <w:tab/>
        <w:t>iga ettevõtja, kes on lõike 13 punkti a alapunktis i määratletud isiku või üksuse või nende nimel või juhtimisel tegutseva isiku otseses või kaudses omandis või kontrolli all.</w:t>
      </w:r>
    </w:p>
    <w:p w:rsidR="00D032BE" w:rsidRPr="00D032BE" w:rsidRDefault="00D032BE" w:rsidP="00D032BE">
      <w:pPr>
        <w:pStyle w:val="a-thtloend"/>
      </w:pPr>
      <w:r w:rsidRPr="00D032BE">
        <w:t xml:space="preserve">b) </w:t>
      </w:r>
      <w:r w:rsidRPr="00D032BE">
        <w:tab/>
      </w:r>
      <w:r w:rsidRPr="00D032BE">
        <w:rPr>
          <w:rFonts w:ascii="Calibri" w:hAnsi="Calibri" w:cs="Calibri"/>
          <w:b/>
          <w:color w:val="348093"/>
        </w:rPr>
        <w:t>Julgeolekunõukogu resolutsioonid 1267 (1999), 1988 (2011) ja neile järgnevad resolutsioonid</w:t>
      </w:r>
      <w:r w:rsidRPr="00D032BE">
        <w:t>:</w:t>
      </w:r>
    </w:p>
    <w:p w:rsidR="00D032BE" w:rsidRPr="00D032BE" w:rsidRDefault="00D032BE" w:rsidP="00D032BE">
      <w:pPr>
        <w:pStyle w:val="i-thtloeng"/>
      </w:pPr>
      <w:r w:rsidRPr="00D032BE">
        <w:t xml:space="preserve">i) </w:t>
      </w:r>
      <w:r w:rsidRPr="00D032BE">
        <w:tab/>
        <w:t xml:space="preserve">iga isik või üksus, kes osaleb Afganistanis rahu, stabiilsust ja julgeolekut ohustavate määratud ja muude </w:t>
      </w:r>
      <w:proofErr w:type="spellStart"/>
      <w:r w:rsidRPr="00D032BE">
        <w:t>Talibaniga</w:t>
      </w:r>
      <w:proofErr w:type="spellEnd"/>
      <w:r w:rsidRPr="00D032BE">
        <w:t xml:space="preserve"> seotud isikute, rühmituste, ettevõtjate ja üksuste tegude või tegevuse rahastamises, kavandamises, hõlbustamises, ettevalmistamises või elluviimises koos nendega, nende nime all, nende huvides või nende toetuseks, või tarnib, müüb või edastab relvi ja nendega seotud varustust või värbab liikmeid eespool nimetatuile või teostab muid neid toetavaid tegusid või tegevust; või</w:t>
      </w:r>
    </w:p>
    <w:p w:rsidR="00D032BE" w:rsidRPr="00D032BE" w:rsidRDefault="00D032BE" w:rsidP="00D032BE">
      <w:pPr>
        <w:pStyle w:val="i-thtloeng"/>
      </w:pPr>
      <w:proofErr w:type="spellStart"/>
      <w:r w:rsidRPr="00D032BE">
        <w:t>ii</w:t>
      </w:r>
      <w:proofErr w:type="spellEnd"/>
      <w:r w:rsidRPr="00D032BE">
        <w:t xml:space="preserve">) </w:t>
      </w:r>
      <w:r w:rsidRPr="00D032BE">
        <w:tab/>
        <w:t>iga ettevõtja, kes on lõike 13 punkti b alapunktis i määratletud isiku või üksuse või nende nimel või juhtimisel tegutseva isiku otseses või kaudses omandis või kontrolli all.</w:t>
      </w:r>
    </w:p>
    <w:p w:rsidR="00D032BE" w:rsidRPr="00D032BE" w:rsidRDefault="00D032BE" w:rsidP="00D032BE">
      <w:pPr>
        <w:pStyle w:val="a-thtloend"/>
      </w:pPr>
      <w:r w:rsidRPr="00D032BE">
        <w:t xml:space="preserve">c) </w:t>
      </w:r>
      <w:r w:rsidRPr="00D032BE">
        <w:tab/>
      </w:r>
      <w:r w:rsidRPr="00D032BE">
        <w:rPr>
          <w:rFonts w:ascii="Calibri" w:hAnsi="Calibri" w:cs="Calibri"/>
          <w:b/>
          <w:color w:val="348093"/>
        </w:rPr>
        <w:t>Julgeolekunõukogu resolutsioon 1373 (2001)</w:t>
      </w:r>
      <w:r w:rsidRPr="00D032BE">
        <w:t>:</w:t>
      </w:r>
    </w:p>
    <w:p w:rsidR="00D032BE" w:rsidRPr="00D032BE" w:rsidRDefault="00D032BE" w:rsidP="00D032BE">
      <w:pPr>
        <w:pStyle w:val="i-thtloeng"/>
      </w:pPr>
      <w:r w:rsidRPr="00D032BE">
        <w:t xml:space="preserve">i) </w:t>
      </w:r>
      <w:r w:rsidRPr="00D032BE">
        <w:tab/>
        <w:t>iga isik või üksus, kes paneb toime või üritab toime panna terrorikuritegusid või kes aitab kaasa terrorikuritegude toimepanekule või osaleb nende toimepanekus;</w:t>
      </w:r>
    </w:p>
    <w:p w:rsidR="00D032BE" w:rsidRPr="00D032BE" w:rsidRDefault="00D032BE" w:rsidP="00D032BE">
      <w:pPr>
        <w:pStyle w:val="i-thtloeng"/>
      </w:pPr>
      <w:proofErr w:type="spellStart"/>
      <w:r w:rsidRPr="00D032BE">
        <w:t>ii</w:t>
      </w:r>
      <w:proofErr w:type="spellEnd"/>
      <w:r w:rsidRPr="00D032BE">
        <w:t xml:space="preserve">) </w:t>
      </w:r>
      <w:r w:rsidRPr="00D032BE">
        <w:tab/>
        <w:t>iga üksus, mis on lõike 13 punkti c alapunktis i määratletud isiku või üksuse otseses või kaudses omandis või kontrolli all; või</w:t>
      </w:r>
    </w:p>
    <w:p w:rsidR="00D032BE" w:rsidRPr="00D032BE" w:rsidRDefault="00D032BE" w:rsidP="00D032BE">
      <w:pPr>
        <w:pStyle w:val="i-thtloeng"/>
      </w:pPr>
      <w:proofErr w:type="spellStart"/>
      <w:r w:rsidRPr="00D032BE">
        <w:t>iii</w:t>
      </w:r>
      <w:proofErr w:type="spellEnd"/>
      <w:r w:rsidRPr="00D032BE">
        <w:t>) iga isik või üksus, kes tegutseb lõike 13 punkti c alapunktis i määratletud isiku või üksuse nimel või juhtimisel.</w:t>
      </w:r>
    </w:p>
    <w:p w:rsidR="00D032BE" w:rsidRPr="00D032BE" w:rsidRDefault="00D032BE" w:rsidP="00D032BE">
      <w:pPr>
        <w:rPr>
          <w:rFonts w:ascii="Cambria" w:hAnsi="Cambria"/>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7 TÕLGENDAV MÄRKUS</w:t>
      </w:r>
      <w:r w:rsidRPr="00D032BE">
        <w:br/>
        <w:t xml:space="preserve">(MASSIHÄVITUSRELVADE LEVIKUGA SEOTUD </w:t>
      </w:r>
      <w:r w:rsidR="002D4AC1">
        <w:t>SANKTSIOONID</w:t>
      </w:r>
      <w:r w:rsidRPr="00D032BE">
        <w:t>)</w:t>
      </w:r>
    </w:p>
    <w:p w:rsidR="00D032BE" w:rsidRPr="00D032BE" w:rsidRDefault="00D032BE" w:rsidP="00D032BE">
      <w:pPr>
        <w:pStyle w:val="A-pealkiri"/>
      </w:pPr>
      <w:r w:rsidRPr="00D032BE">
        <w:t xml:space="preserve">A. </w:t>
      </w:r>
      <w:r w:rsidRPr="00D032BE">
        <w:tab/>
        <w:t>EESMÄRK</w:t>
      </w:r>
    </w:p>
    <w:p w:rsidR="00D032BE" w:rsidRPr="00D032BE" w:rsidRDefault="00D032BE" w:rsidP="00D032BE">
      <w:pPr>
        <w:pStyle w:val="Kehatekstloend"/>
      </w:pPr>
      <w:r w:rsidRPr="00D032BE">
        <w:t xml:space="preserve">1. </w:t>
      </w:r>
      <w:r w:rsidRPr="00D032BE">
        <w:tab/>
        <w:t>Soovituse</w:t>
      </w:r>
      <w:r w:rsidR="00847867">
        <w:t xml:space="preserve"> </w:t>
      </w:r>
      <w:r w:rsidRPr="00D032BE">
        <w:t xml:space="preserve">7 kohaselt on riigid kohustatud </w:t>
      </w:r>
      <w:r w:rsidR="00B363D3">
        <w:t>rakendama</w:t>
      </w:r>
      <w:r w:rsidR="00B363D3" w:rsidRPr="00D032BE">
        <w:t xml:space="preserve"> </w:t>
      </w:r>
      <w:r w:rsidRPr="00D032BE">
        <w:t>sihtotstarbelisi finantskaristusi</w:t>
      </w:r>
      <w:r w:rsidRPr="00D032BE">
        <w:rPr>
          <w:rStyle w:val="Allmrkuseviide"/>
        </w:rPr>
        <w:footnoteReference w:id="10"/>
      </w:r>
      <w:r w:rsidRPr="00D032BE">
        <w:t xml:space="preserve"> et järgida ÜRO Julgeolekunõukogu resolutsioone, mille kohaselt peavad riigid viivitamatul blokeerima rahalised vahendid või muu vara, mis kuulub mõnele isikule</w:t>
      </w:r>
      <w:r w:rsidRPr="00D032BE">
        <w:rPr>
          <w:rStyle w:val="Allmrkuseviide"/>
        </w:rPr>
        <w:footnoteReference w:id="11"/>
      </w:r>
      <w:r w:rsidRPr="00D032BE">
        <w:t xml:space="preserve"> või üksusele, kelle on määranud ÜRO Julgeolekunõukogu vastavalt ÜRO põhikirja VII peatükile kooskõlas Julgeolekunõukogu resolutsioonidega, milles käsitletakse massihävitusrelvade leviku rahastamise ennetamist ja tõkestamist</w:t>
      </w:r>
      <w:r w:rsidRPr="00D032BE">
        <w:rPr>
          <w:rStyle w:val="Allmrkuseviide"/>
        </w:rPr>
        <w:footnoteReference w:id="12"/>
      </w:r>
      <w:r w:rsidRPr="00D032BE">
        <w:t>, ning tagama, et rahalisi vahendeid ega muud vara ei tehta otseselt või kaudselt kättesaadavaks ühelegi sellisele isikule või üksusele või ühegi sellise isiku või üksuse kasuks.</w:t>
      </w:r>
    </w:p>
    <w:p w:rsidR="00D032BE" w:rsidRPr="00D032BE" w:rsidRDefault="00D032BE" w:rsidP="00D032BE">
      <w:pPr>
        <w:pStyle w:val="Kehatekstloend"/>
      </w:pPr>
      <w:r w:rsidRPr="00D032BE">
        <w:t xml:space="preserve">2. </w:t>
      </w:r>
      <w:r w:rsidRPr="00D032BE">
        <w:tab/>
        <w:t>Tuleb rõhutada, et ühegi soovituses</w:t>
      </w:r>
      <w:r w:rsidR="00847867">
        <w:t xml:space="preserve"> </w:t>
      </w:r>
      <w:r w:rsidRPr="00D032BE">
        <w:t>7 sätestatud kohustuse eesmärk ei ole asendada teisi meetmeid või kohustusi, mis võivad juba olla kehtestatud rahaliste vahendite või muu varaga ümberkäimise suhtes seoses kriminaal-, tsiviil- või haldusuurimise või -menetlusega vastavalt rahvusvahelistele lepingutele või J</w:t>
      </w:r>
      <w:r w:rsidR="00B86CDE" w:rsidRPr="00E079EA">
        <w:t>ulgeolekunõukogu</w:t>
      </w:r>
      <w:r w:rsidRPr="00D032BE">
        <w:t xml:space="preserve"> resolutsioonidele, milles käsitletakse massihävitusrelvade leviku tõkestamist</w:t>
      </w:r>
      <w:r w:rsidRPr="00D032BE">
        <w:rPr>
          <w:rStyle w:val="Allmrkuseviide"/>
        </w:rPr>
        <w:footnoteReference w:id="13"/>
      </w:r>
      <w:r w:rsidRPr="00D032BE">
        <w:t>. Soovituses</w:t>
      </w:r>
      <w:r w:rsidR="00847867">
        <w:t xml:space="preserve"> </w:t>
      </w:r>
      <w:r w:rsidRPr="00D032BE">
        <w:t>7 keskendutakse ennetusmeetmetele, mis on vajalikud ja ainulaadsed seoses rahaliste vahendite või muu vara massihävitusrelvade levitajatele või massihävitusrelvade levitamiseks ülemineku või nendel eesmärkidel kasutamise peatamisega vastavalt ÜRO Julgeolekunõukogu (edaspidi „Julgeolekunõukogu“) kehtestatud nõuetele.</w:t>
      </w:r>
    </w:p>
    <w:p w:rsidR="00D032BE" w:rsidRPr="00D032BE" w:rsidRDefault="00D032BE" w:rsidP="00D032BE">
      <w:pPr>
        <w:pStyle w:val="A-pealkiri"/>
      </w:pPr>
      <w:r w:rsidRPr="00D032BE">
        <w:lastRenderedPageBreak/>
        <w:t xml:space="preserve">B </w:t>
      </w:r>
      <w:r w:rsidRPr="00D032BE">
        <w:tab/>
        <w:t>MÄÄRAMINE</w:t>
      </w:r>
    </w:p>
    <w:p w:rsidR="00D032BE" w:rsidRPr="00D032BE" w:rsidRDefault="00D032BE" w:rsidP="00D032BE">
      <w:pPr>
        <w:pStyle w:val="Kehatekstloend"/>
      </w:pPr>
      <w:r w:rsidRPr="00D032BE">
        <w:t xml:space="preserve">3. </w:t>
      </w:r>
      <w:r w:rsidRPr="00D032BE">
        <w:tab/>
        <w:t>Määramise kehtestab Julgeolekunõukogu asjaomaste resolutsioonide lisades või otsustavad selle üle nende resolutsioonide kohaselt moodustatud Julgeolekunõukogu komiteed. ÜRO liikmesriikidel ei ole konkreetset kohustust Julgeolekunõukogu asjaomastele komiteedele määramisettepanekuid esitada. Praktikas aga tuginevad komiteed eeskätt liikmesriikide määramistaotlustele. Julgeolekunõukogu resolutsioonidega 1718 (2006) ja 1737(2006) nähakse ette, et asjaomased komiteed avaldavad vastavalt vajadusele suunised nende resolutsioonidega kehtestatud meetmete rakendamise hõlbustamiseks.</w:t>
      </w:r>
    </w:p>
    <w:p w:rsidR="00D032BE" w:rsidRPr="00D032BE" w:rsidRDefault="00D032BE" w:rsidP="00D032BE">
      <w:pPr>
        <w:pStyle w:val="Kehatekstloend"/>
      </w:pPr>
      <w:r w:rsidRPr="00D032BE">
        <w:t xml:space="preserve">4. </w:t>
      </w:r>
      <w:r w:rsidRPr="00D032BE">
        <w:tab/>
        <w:t>Riigid võiksid kaaluda volituste ja tõhusate menetluste või mehhanismide kehtestamist Julgeolekunõukogule isikute ja üksuste määramise ettepanekute esitamiseks kooskõlas Julgeolekunõukogu asjaomaste resolutsioonidega, millega rakendatakse sihtotstarbelisi finantskaristusi seoses massihävitusrelvade leviku rahastamisega. Sellega seoses võiksid riigid kaaluda järgmist:</w:t>
      </w:r>
    </w:p>
    <w:p w:rsidR="00D032BE" w:rsidRPr="00D032BE" w:rsidRDefault="00D032BE" w:rsidP="00D032BE">
      <w:pPr>
        <w:pStyle w:val="a-thtloend"/>
      </w:pPr>
      <w:r w:rsidRPr="00D032BE">
        <w:t xml:space="preserve">a) </w:t>
      </w:r>
      <w:r w:rsidRPr="00D032BE">
        <w:tab/>
        <w:t>kas täitev- või kohtuvõimu pädeva asutuse / pädevate asutuste määramist, mis vastutab/vastutavad:</w:t>
      </w:r>
    </w:p>
    <w:p w:rsidR="00D032BE" w:rsidRPr="00D032BE" w:rsidRDefault="00D032BE" w:rsidP="00D032BE">
      <w:pPr>
        <w:pStyle w:val="i-thtloeng"/>
      </w:pPr>
      <w:r w:rsidRPr="00D032BE">
        <w:t xml:space="preserve">i) </w:t>
      </w:r>
      <w:r w:rsidRPr="00D032BE">
        <w:tab/>
        <w:t>1718 sanktsioonide komiteele ettepanekute esitamise eest nende isikute või üksuste asjakohaseks määramiseks, kes vastavad resolutsioonis 1718 (2006) ja sellele järgnevates resolutsioonides</w:t>
      </w:r>
      <w:r w:rsidRPr="00D032BE">
        <w:rPr>
          <w:rStyle w:val="Allmrkuseviide"/>
        </w:rPr>
        <w:footnoteReference w:id="14"/>
      </w:r>
      <w:r w:rsidRPr="00D032BE">
        <w:t xml:space="preserve"> sätestatud konkreetsetele määramiskriteeriumitele, kui see asutus otsustab seda teha ja usub, et tal on olemas piisavad tõendid määramiskriteeriumitele vastavuse kinnitamiseks (Julgeolekunõukogu asjaomaste resolutsioonidega seotud konkreetsed määramiskriteeriumid on esitatud punktis E); ja</w:t>
      </w:r>
    </w:p>
    <w:p w:rsidR="00D032BE" w:rsidRPr="00D032BE" w:rsidRDefault="00D032BE" w:rsidP="00D032BE">
      <w:pPr>
        <w:pStyle w:val="i-thtloeng"/>
      </w:pPr>
      <w:proofErr w:type="spellStart"/>
      <w:r w:rsidRPr="00D032BE">
        <w:t>ii</w:t>
      </w:r>
      <w:proofErr w:type="spellEnd"/>
      <w:r w:rsidRPr="00D032BE">
        <w:t xml:space="preserve">) </w:t>
      </w:r>
      <w:r w:rsidRPr="00D032BE">
        <w:tab/>
        <w:t>1737 sanktsioonide komiteele ettepanekute esitamise eest nende isikute või üksuste asjakohaseks määramiseks, kes vastavad resolutsioonis 1737 (2006) ja sellele järgnevates resolutsioonides</w:t>
      </w:r>
      <w:r w:rsidRPr="00D032BE">
        <w:rPr>
          <w:rStyle w:val="Allmrkuseviide"/>
        </w:rPr>
        <w:footnoteReference w:id="15"/>
      </w:r>
      <w:r w:rsidRPr="00D032BE">
        <w:t xml:space="preserve"> sätestatud määramiskriteeriumitele, kui see asutus otsustab seda teha ja usub, et tal on olemas piisavad tõendid määramiskriteeriumitele vastavuse kinnitamiseks (Julgeolekunõukogu asjaomaste resolutsioonidega seotud konkreetsed määramiskriteeriumid on esitatud punktis E);</w:t>
      </w:r>
    </w:p>
    <w:p w:rsidR="00D032BE" w:rsidRPr="00D032BE" w:rsidRDefault="00D032BE" w:rsidP="00D032BE">
      <w:pPr>
        <w:pStyle w:val="a-thtloend"/>
      </w:pPr>
      <w:r w:rsidRPr="00D032BE">
        <w:lastRenderedPageBreak/>
        <w:t xml:space="preserve">b) </w:t>
      </w:r>
      <w:r w:rsidRPr="00D032BE">
        <w:tab/>
      </w:r>
      <w:proofErr w:type="spellStart"/>
      <w:r w:rsidRPr="00D032BE">
        <w:t>mehhanismi(de</w:t>
      </w:r>
      <w:proofErr w:type="spellEnd"/>
      <w:r w:rsidRPr="00D032BE">
        <w:t>) kehtestamist määratavate isikute või üksuste tuvastamiseks vastavalt resolutsioonides 1718 (2006), 1737 (2006) ja neile järgnevates resolutsioonides sätestatud määramiskriteeriumitele (Julgeolekunõukogu asjaomaste resolutsioonide konkreetsed määramiskriteeriumid on esitatud punktis E). Nende menetlustega tuleks tagada määramisettepaneku tegemiseks põhjendatud kahtluse või usu olemasolu kindlakstegemine kooskõlas rahvusvaheliste või siseriiklike põhimõtetega;</w:t>
      </w:r>
    </w:p>
    <w:p w:rsidR="00D032BE" w:rsidRPr="00D032BE" w:rsidRDefault="00D032BE" w:rsidP="00D032BE">
      <w:pPr>
        <w:pStyle w:val="a-thtloend"/>
      </w:pPr>
      <w:r w:rsidRPr="00D032BE">
        <w:t xml:space="preserve">c) </w:t>
      </w:r>
      <w:r w:rsidRPr="00D032BE">
        <w:tab/>
        <w:t>asjakohaste seaduslike volituste ja menetluste või mehhanismide kehtestamist, et koguda ja küsida kõikidest asjakohastest allikatest võimalikult põhjalikku teavet selliste üksuste ja isikute tuvastamiseks, kelle puhul eksisteerib põhjendatud kahtlus või usk, et nad vastavad asjaomastes Julgeolekunõukogu resolutsioonides sätestatud määramiskriteeriumitele.</w:t>
      </w:r>
    </w:p>
    <w:p w:rsidR="00D032BE" w:rsidRPr="00D032BE" w:rsidRDefault="00D032BE" w:rsidP="00D032BE">
      <w:pPr>
        <w:pStyle w:val="a-thtloend"/>
      </w:pPr>
      <w:r w:rsidRPr="00D032BE">
        <w:t xml:space="preserve">d) </w:t>
      </w:r>
      <w:r w:rsidRPr="00D032BE">
        <w:tab/>
        <w:t xml:space="preserve">käesoleva tõlgendava märkuse punktis E kirjeldatud kriteeriumite arvessevõtmist isikute või üksuste määramise ettepaneku tegemise otsustamisel. Määramisettepanekute suhtes kohaldab iga riigi pädev asutus oma õigussüsteemi õigusnormi, võttes arvesse </w:t>
      </w:r>
      <w:r w:rsidR="005860B5">
        <w:t>inimõigusi</w:t>
      </w:r>
      <w:r w:rsidRPr="00D032BE">
        <w:t xml:space="preserve">, </w:t>
      </w:r>
      <w:r w:rsidR="005860B5" w:rsidRPr="00D032BE">
        <w:t xml:space="preserve">austust </w:t>
      </w:r>
      <w:r w:rsidRPr="00D032BE">
        <w:t xml:space="preserve">õigusriigi põhimõtete </w:t>
      </w:r>
      <w:r w:rsidR="005860B5">
        <w:t xml:space="preserve">vastu </w:t>
      </w:r>
      <w:r w:rsidRPr="00D032BE">
        <w:t xml:space="preserve">ja </w:t>
      </w:r>
      <w:r w:rsidR="005860B5">
        <w:t>tunnustades süüta</w:t>
      </w:r>
      <w:r w:rsidRPr="00D032BE">
        <w:t xml:space="preserve"> ko</w:t>
      </w:r>
      <w:r w:rsidR="005860B5">
        <w:t>lmandate isikute õigusi</w:t>
      </w:r>
      <w:r w:rsidRPr="00D032BE">
        <w:t>;</w:t>
      </w:r>
    </w:p>
    <w:p w:rsidR="00D032BE" w:rsidRPr="00D032BE" w:rsidRDefault="00D032BE" w:rsidP="00D032BE">
      <w:pPr>
        <w:pStyle w:val="a-thtloend"/>
      </w:pPr>
      <w:r w:rsidRPr="00D032BE">
        <w:t xml:space="preserve">e) </w:t>
      </w:r>
      <w:r w:rsidRPr="00D032BE">
        <w:tab/>
        <w:t>resolutsiooni 1718 (2006) ja sellele järgnevate resolutsioonide alusel 1718 sanktsioonide komiteele või resolutsiooni 1737 (2006) ja sellele järgnevate resolutsioonide alusel 1737 sanktsioonide komiteele nimede esitamisel edastama võimalikult üksikasjalikku</w:t>
      </w:r>
    </w:p>
    <w:p w:rsidR="00D032BE" w:rsidRPr="00D032BE" w:rsidRDefault="00D032BE" w:rsidP="00D032BE">
      <w:pPr>
        <w:pStyle w:val="i-thtloeng"/>
      </w:pPr>
      <w:r w:rsidRPr="00D032BE">
        <w:t xml:space="preserve">i) </w:t>
      </w:r>
      <w:r w:rsidRPr="00D032BE">
        <w:tab/>
        <w:t xml:space="preserve">teavet väljapakutud nime kohta, eelkõige piisavalt teavet isikute ja üksuste täpseks ja </w:t>
      </w:r>
      <w:r w:rsidR="00B86CDE" w:rsidRPr="00E079EA">
        <w:t>edukaks</w:t>
      </w:r>
      <w:r w:rsidRPr="00D032BE">
        <w:t xml:space="preserve"> tuvastamiseks; ja</w:t>
      </w:r>
    </w:p>
    <w:p w:rsidR="00D032BE" w:rsidRPr="00D032BE" w:rsidRDefault="00D032BE" w:rsidP="00D032BE">
      <w:pPr>
        <w:pStyle w:val="i-thtloeng"/>
      </w:pPr>
      <w:proofErr w:type="spellStart"/>
      <w:r w:rsidRPr="00D032BE">
        <w:t>ii</w:t>
      </w:r>
      <w:proofErr w:type="spellEnd"/>
      <w:r w:rsidRPr="00D032BE">
        <w:t xml:space="preserve">) </w:t>
      </w:r>
      <w:r w:rsidRPr="00D032BE">
        <w:tab/>
        <w:t>konkreetset teavet, mis toetab isiku või üksuse vastavust asjaomastele määramiskriteeriumitele (Julgeolekunõukogu asjaomaste resolutsioonide konkreetsed määramiskriteeriumid on esitatud punktis E);</w:t>
      </w:r>
    </w:p>
    <w:p w:rsidR="00D032BE" w:rsidRPr="00D032BE" w:rsidRDefault="00D032BE" w:rsidP="00D032BE">
      <w:pPr>
        <w:pStyle w:val="a-thtloend"/>
      </w:pPr>
      <w:r w:rsidRPr="00D032BE">
        <w:t xml:space="preserve">f) </w:t>
      </w:r>
      <w:r w:rsidRPr="00D032BE">
        <w:tab/>
        <w:t>menetluste kehtestamist, mis võimaldavad vajaduse korral ühepoolselt abinõude rakendamist isiku või üksuse vastu, kes on tuvastatud ja kelle määramise ettepanekut kaalutakse.</w:t>
      </w:r>
    </w:p>
    <w:p w:rsidR="00D032BE" w:rsidRPr="00D032BE" w:rsidRDefault="00D032BE" w:rsidP="00D032BE">
      <w:pPr>
        <w:pStyle w:val="A-pealkiri"/>
      </w:pPr>
      <w:r w:rsidRPr="00D032BE">
        <w:t xml:space="preserve">C. </w:t>
      </w:r>
      <w:r w:rsidRPr="00D032BE">
        <w:tab/>
        <w:t>MÄÄRATUD ISIKUTE JA ÜKSUSTE RAHALISTE VAHENDITE VÕI MUU VARA BLOKEERIMINE JA SELLEGA KAUPLEMISE KEELAMINE</w:t>
      </w:r>
    </w:p>
    <w:p w:rsidR="00D032BE" w:rsidRPr="00D032BE" w:rsidRDefault="00D032BE" w:rsidP="00D032BE">
      <w:pPr>
        <w:pStyle w:val="Kehatekstloend"/>
      </w:pPr>
      <w:r w:rsidRPr="00D032BE">
        <w:t xml:space="preserve">5. </w:t>
      </w:r>
      <w:r w:rsidRPr="00D032BE">
        <w:tab/>
        <w:t>Riikidel on kohustus rakendada viivitamatult sihtotstarbelisi finantskaristusi isikute ja üksuste suhtes, kes on määratud</w:t>
      </w:r>
    </w:p>
    <w:p w:rsidR="00D032BE" w:rsidRPr="00D032BE" w:rsidRDefault="00D032BE" w:rsidP="00D032BE">
      <w:pPr>
        <w:pStyle w:val="a-thtloend"/>
      </w:pPr>
      <w:r w:rsidRPr="00D032BE">
        <w:lastRenderedPageBreak/>
        <w:t xml:space="preserve">a) </w:t>
      </w:r>
      <w:r w:rsidRPr="00D032BE">
        <w:tab/>
        <w:t>resolutsiooni 1718 (2006) ja sellele järgnevate resolutsioonide puhul Julgeolekunõukogu poolt asjaomaste resolutsioonide lisades või Julgeolekunõukogu 1718 sanktsioonide komitee poolt; ja</w:t>
      </w:r>
    </w:p>
    <w:p w:rsidR="00D032BE" w:rsidRPr="00D032BE" w:rsidRDefault="00D032BE" w:rsidP="00D032BE">
      <w:pPr>
        <w:pStyle w:val="a-thtloend"/>
      </w:pPr>
      <w:r w:rsidRPr="00D032BE">
        <w:t xml:space="preserve">b) </w:t>
      </w:r>
      <w:r w:rsidRPr="00D032BE">
        <w:tab/>
        <w:t>resolutsiooni 1737 (2006) ja sellele järgnevate resolutsioonide puhul Julgeolekunõukogu poolt asjaomaste resolutsioonide lisades või Julgeolekunõukogu 1737 sanktsioonide komitee poolt, kui need komiteed tegutsevad ÜRO põhikirja VII peatüki alusel.</w:t>
      </w:r>
    </w:p>
    <w:p w:rsidR="00D032BE" w:rsidRPr="00D032BE" w:rsidRDefault="00D032BE" w:rsidP="00D032BE">
      <w:pPr>
        <w:pStyle w:val="Kehatekstloend"/>
      </w:pPr>
      <w:r w:rsidRPr="00D032BE">
        <w:t xml:space="preserve">6. </w:t>
      </w:r>
      <w:r w:rsidRPr="00D032BE">
        <w:tab/>
        <w:t>Riigid peaksid kehtestama vajalikud seaduslikud volitused ja määrama siseriikliku pädeva asutuse, mis vastutab sihtotstarbeliste finantskaristuste rakendamise ja jõustamise eest, kooskõlas järgmiste standardite ja menetlustega.</w:t>
      </w:r>
    </w:p>
    <w:p w:rsidR="00D032BE" w:rsidRPr="00D032BE" w:rsidRDefault="00D032BE" w:rsidP="00D032BE">
      <w:pPr>
        <w:pStyle w:val="a-thtloend"/>
      </w:pPr>
      <w:r w:rsidRPr="00D032BE">
        <w:t xml:space="preserve">a) </w:t>
      </w:r>
      <w:r w:rsidRPr="00D032BE">
        <w:tab/>
        <w:t>Riigid</w:t>
      </w:r>
      <w:r w:rsidRPr="00D032BE">
        <w:rPr>
          <w:vertAlign w:val="superscript"/>
        </w:rPr>
        <w:footnoteReference w:id="16"/>
      </w:r>
      <w:r w:rsidRPr="00D032BE">
        <w:t xml:space="preserve"> peaksid kohustama kõiki riigis asuvaid füüsilisi ja juriidilisi isikuid määratud isikute ja üksuste rahalised vahendid ja muu vara viivitamatult ja ilma ette teatamata blokeerima. See kohustus peaks hõlmama: kõiki rahalisi vahendeid või muud vara, mis on määratud isiku või üksuse omandis või kontrolli all, ning mitte ainult selliseid vahendeid ja vara, mida on võimalik seostada konkreetse teo, vandenõu või massihävitusrelvade leviku ohuga; otseselt või kaudselt määratud isikute või üksuste omandis või kaasomandis või kontrolli all olevaid rahalisi vahendeid või muid varasid; ja otseselt või kaudselt määratud isikute või üksuste omandis või kontrolli all olevatest rahalistest vahenditest või muust varast tulenenud või saadud rahalisi vahendeid või muud vara ning ka selliste määratud isikute või üksuste nimel või juhtimisel tegutsevate isikute või üksuste rahalisi vahendeid või muud vara.</w:t>
      </w:r>
    </w:p>
    <w:p w:rsidR="00D032BE" w:rsidRPr="00D032BE" w:rsidRDefault="00D032BE" w:rsidP="00D032BE">
      <w:pPr>
        <w:pStyle w:val="a-thtloend"/>
      </w:pPr>
      <w:r w:rsidRPr="00D032BE">
        <w:t xml:space="preserve">b) </w:t>
      </w:r>
      <w:r w:rsidRPr="00D032BE">
        <w:tab/>
        <w:t>Riigid peaksid tagama, et nende kodanikel või nende territooriumil asuvatel mis tahes isikutel või üksustel ei ole võimalik teha rahalisi vahendeid või muid varasid kättesaadavaks määratud isikutele või üksustele või nende kasuks, kui selleks ei ole vastavalt asjaomastele Julgeolekunõukogu resolutsioonidele (vt allpool punkt E) antud luba, volitust või muud teadet.</w:t>
      </w:r>
    </w:p>
    <w:p w:rsidR="00D032BE" w:rsidRPr="00D032BE" w:rsidRDefault="00D032BE" w:rsidP="00D032BE">
      <w:pPr>
        <w:pStyle w:val="a-thtloend"/>
      </w:pPr>
      <w:r w:rsidRPr="00D032BE">
        <w:t xml:space="preserve">c) </w:t>
      </w:r>
      <w:r w:rsidRPr="00D032BE">
        <w:tab/>
        <w:t xml:space="preserve">Riigid peaksid kehtestama mehhanismid finantssektori ja mittefinantsteenuseid pakkuvate määratud ettevõtjate ja kutsetöötajate teavitamiseks määramistest viivitamatult pärast selliste meetmete rakendamist ning blokeerimiskorra raames meetmete rakendamise kohustuste kohta selgete juhtnööride andmiseks eelkõige </w:t>
      </w:r>
      <w:r w:rsidR="006043CB">
        <w:t>finantsasutus</w:t>
      </w:r>
      <w:r w:rsidRPr="00D032BE">
        <w:t xml:space="preserve">tele ja teistele isikutele või üksustele, sh </w:t>
      </w:r>
      <w:r w:rsidRPr="00D032BE">
        <w:lastRenderedPageBreak/>
        <w:t>mittefinantsteenuseid pakkuvatele ettevõtjatele ja kutsetöötajatele, kelle valduses asjaomased rahalised vahendid või muu vara võib olla.</w:t>
      </w:r>
    </w:p>
    <w:p w:rsidR="00D032BE" w:rsidRPr="00D032BE" w:rsidRDefault="00D032BE" w:rsidP="00D032BE">
      <w:pPr>
        <w:pStyle w:val="a-thtloend"/>
      </w:pPr>
      <w:r w:rsidRPr="00D032BE">
        <w:t xml:space="preserve">d) </w:t>
      </w:r>
      <w:r w:rsidRPr="00D032BE">
        <w:tab/>
        <w:t xml:space="preserve">Riigid peaksid kohustama </w:t>
      </w:r>
      <w:r w:rsidR="006043CB">
        <w:t>finantsasutus</w:t>
      </w:r>
      <w:r w:rsidRPr="00D032BE">
        <w:t>i ja mittefinantsteenuseid pakkuvaid määratud ettevõtjaid ja kutsetöötajaid</w:t>
      </w:r>
      <w:r w:rsidRPr="00D032BE">
        <w:rPr>
          <w:rStyle w:val="Allmrkuseviide"/>
        </w:rPr>
        <w:footnoteReference w:id="17"/>
      </w:r>
      <w:r w:rsidRPr="00D032BE">
        <w:t xml:space="preserve"> teatama pädevatele asutustele asjaomaste Julgeolekunõukogu resolutsioonide keelamisnõuetega kooskõlas blokeeritud varadest või rakendatud meetmetest, sh tehingute teostamise katsetest, ning tagama, et pädevad asutused kasutavad sellist teavet tulemuslikult.</w:t>
      </w:r>
    </w:p>
    <w:p w:rsidR="00D032BE" w:rsidRPr="00D032BE" w:rsidRDefault="00D032BE" w:rsidP="00D032BE">
      <w:pPr>
        <w:pStyle w:val="a-thtloend"/>
      </w:pPr>
      <w:r w:rsidRPr="00D032BE">
        <w:t xml:space="preserve">e) </w:t>
      </w:r>
      <w:r w:rsidRPr="00D032BE">
        <w:tab/>
        <w:t>Soovituses</w:t>
      </w:r>
      <w:r w:rsidR="00847867">
        <w:t xml:space="preserve"> </w:t>
      </w:r>
      <w:r w:rsidRPr="00D032BE">
        <w:t>7 sätestatud kohustuste täitmisel peaksid riigid rakendama tõhusaid meetmeid heas usus tegutsevate heausksete kolmandate isikute õiguste kaitsmiseks.</w:t>
      </w:r>
    </w:p>
    <w:p w:rsidR="00D032BE" w:rsidRPr="00D032BE" w:rsidRDefault="00D032BE" w:rsidP="00D032BE">
      <w:pPr>
        <w:pStyle w:val="a-thtloend"/>
      </w:pPr>
      <w:r w:rsidRPr="00D032BE">
        <w:t xml:space="preserve">f) </w:t>
      </w:r>
      <w:r w:rsidRPr="00D032BE">
        <w:tab/>
        <w:t>Riigid peaksid rakendama asjakohaseid meetmeid, et kontrollida ja tagada soovituses</w:t>
      </w:r>
      <w:r w:rsidR="00847867">
        <w:t xml:space="preserve"> </w:t>
      </w:r>
      <w:r w:rsidRPr="00D032BE">
        <w:t xml:space="preserve">7 sätestatud kohustusi reguleerivate seaduste või muude täitmisele pööratavate vahendite täitmine </w:t>
      </w:r>
      <w:r w:rsidR="006043CB">
        <w:t>finantsasutus</w:t>
      </w:r>
      <w:r w:rsidRPr="00D032BE">
        <w:t xml:space="preserve">te ja mittefinantsteenuseid pakkuvate määratud ettevõtjate ja kutsetöötajate poolt. Selliste seaduste eiramise korral tuleks </w:t>
      </w:r>
      <w:r w:rsidR="00B363D3">
        <w:t>rakendada</w:t>
      </w:r>
      <w:r w:rsidRPr="00D032BE">
        <w:t xml:space="preserve"> tsiviil-, haldus- või kriminaalkaristusi.</w:t>
      </w:r>
    </w:p>
    <w:p w:rsidR="00D032BE" w:rsidRPr="00D032BE" w:rsidRDefault="00D032BE" w:rsidP="00D032BE">
      <w:pPr>
        <w:pStyle w:val="A-pealkiri"/>
      </w:pPr>
      <w:r w:rsidRPr="00D032BE">
        <w:t xml:space="preserve">D </w:t>
      </w:r>
      <w:r w:rsidRPr="00D032BE">
        <w:tab/>
        <w:t>LOETELUST KUSTUTAMINE, RAHALISTE VAHENDITE VÕI MUU VARA VABASTAMINE JA BLOKEERITUD RAHALISTELE VAHENDITELE VÕI MUULE VARALE JUURDEPÄÄSU TAGAMINE</w:t>
      </w:r>
    </w:p>
    <w:p w:rsidR="00D032BE" w:rsidRPr="00D032BE" w:rsidRDefault="00D032BE" w:rsidP="00D032BE">
      <w:pPr>
        <w:pStyle w:val="Kehatekstloend"/>
      </w:pPr>
      <w:r w:rsidRPr="00D032BE">
        <w:t xml:space="preserve">7. </w:t>
      </w:r>
      <w:r w:rsidRPr="00D032BE">
        <w:tab/>
        <w:t>Riigid peaksid välja töötama ja rakendama avalikkusele teadaolevad menetlused selliste määratud isikute loetelust kustutamise taotluste Julgeolekunõukogule esitamiseks, kes riigi hinnangul ei vasta või enam ei vasta määramiskriteeriumitele. Kui asjaomane sanktsioonide komitee on isiku või üksuse loetelust kustutanud, siis blokeerimise kohustust enam ei eksisteeri. Need menetlused ja kriteeriumid peaksid olema kooskõlas Julgeolekunõukogu vastavalt resolutsioonile 1730 (2006) ja sellele järgnevatele resolutsioonidele kehtestatud suuniste või menetlustega, sh selle resolutsiooni alusel moodustatud keskusega seotud suuniste või menetlustega. Riigid peaksid võimaldama loetellu kantud isikutel ja üksustel esitada loetelust kustutamise taotlusi resolutsiooni 1730 (2006) alusel moodustatud kustutamiskeskuses või teavitama määratud isikuid või üksusi võimalusest esitada taotlus otse keskusele.</w:t>
      </w:r>
    </w:p>
    <w:p w:rsidR="00D032BE" w:rsidRPr="00D032BE" w:rsidRDefault="00D032BE" w:rsidP="00D032BE">
      <w:pPr>
        <w:pStyle w:val="Kehatekstloend"/>
      </w:pPr>
      <w:r w:rsidRPr="00D032BE">
        <w:t xml:space="preserve">8. </w:t>
      </w:r>
      <w:r w:rsidRPr="00D032BE">
        <w:tab/>
        <w:t>Seoses selliste isikute või üksustega, kellel on määratud isikute või üksustega sama või sarnane nimi ja keda on blokeerimiskorda kohaldades tahtmatult kahjustatud (valepositiivsed), peaksid riigid välja töötama ja rakendama avalikkusele teadaolevad menetlused selliste isikute või üksuste rahaliste vahendite või muu vara õigeaegseks vabastamiseks, kui on tõestatud, et asjaomane isik või üksus ei ole määratud isik või üksus.</w:t>
      </w:r>
    </w:p>
    <w:p w:rsidR="00D032BE" w:rsidRPr="00D032BE" w:rsidRDefault="00D032BE" w:rsidP="00D032BE">
      <w:pPr>
        <w:pStyle w:val="Kehatekstloend"/>
      </w:pPr>
      <w:r w:rsidRPr="00D032BE">
        <w:lastRenderedPageBreak/>
        <w:t xml:space="preserve">9. </w:t>
      </w:r>
      <w:r w:rsidRPr="00D032BE">
        <w:tab/>
        <w:t>Kui riigid on kindlaks teinud, et resolutsioonides 1718 (2006) ja 1737 (2006) sätestatud tingimused erandi tegemiseks on täidetud, peaksid riigid võimaldama juurdepääsu rahalistele vahenditele või muule varale kooskõlas nendes sätestatud menetlustega.</w:t>
      </w:r>
    </w:p>
    <w:p w:rsidR="00D032BE" w:rsidRPr="00D032BE" w:rsidRDefault="00D032BE" w:rsidP="00D032BE">
      <w:pPr>
        <w:pStyle w:val="Kehatekstloend"/>
      </w:pPr>
      <w:r w:rsidRPr="00D032BE">
        <w:t xml:space="preserve">10. </w:t>
      </w:r>
      <w:r w:rsidRPr="00D032BE">
        <w:tab/>
        <w:t xml:space="preserve">Riigid peaksid lubama resolutsioonide 1718 (2006) või 1737 (2006) kohaselt blokeeritud kontodelt tasumisele kuuluvate intresside või muude tulude või nende kontode suhtes enne </w:t>
      </w:r>
      <w:r w:rsidR="00B86CDE" w:rsidRPr="00E079EA">
        <w:t>kõnealuse</w:t>
      </w:r>
      <w:r w:rsidRPr="00D032BE">
        <w:t xml:space="preserve"> resolutsiooni sätete kohaldamise kuupäeva tekkinud lepingutest, kokkulepetest või kohustustest tulenevate maksete kandmist nendele kontodele, tingimusel et selliste intresside, muude tulude ja maksete suhtes kohaldatakse jätkuvalt eespool viidatud sätteid ja need blokeeritakse.</w:t>
      </w:r>
    </w:p>
    <w:p w:rsidR="00D032BE" w:rsidRPr="00D032BE" w:rsidRDefault="00D032BE" w:rsidP="00D032BE">
      <w:pPr>
        <w:pStyle w:val="Kehatekstloend"/>
      </w:pPr>
      <w:r w:rsidRPr="00D032BE">
        <w:t xml:space="preserve">11. </w:t>
      </w:r>
      <w:r w:rsidRPr="00D032BE">
        <w:tab/>
        <w:t>Resolutsiooni 1737 (2006) kohaselt rakendatud blokeerimismeetmed ei tohi takistada määratud isikut või üksust teostamast enne selle isiku või üksuse loetellu kandmist sõlmitud lepingust tulenevaid mis tahes makseid, tingimusel et</w:t>
      </w:r>
    </w:p>
    <w:p w:rsidR="00D032BE" w:rsidRPr="00D032BE" w:rsidRDefault="00D032BE" w:rsidP="00D032BE">
      <w:pPr>
        <w:pStyle w:val="a-thtloend"/>
      </w:pPr>
      <w:r w:rsidRPr="00D032BE">
        <w:t xml:space="preserve">a) </w:t>
      </w:r>
      <w:r w:rsidRPr="00D032BE">
        <w:tab/>
        <w:t>asjaomased riigid on kindlaks teinud, et see leping ei ole seotud Julgeolekunõukogu asjaomases resolutsioonis viidatud ühegi keelatud eseme, materjali, seadme, kauba, tehnoloogia, abi, koolituse, finantsabi, investeeringu, vahenduse või teenusega;</w:t>
      </w:r>
    </w:p>
    <w:p w:rsidR="00D032BE" w:rsidRPr="00D032BE" w:rsidRDefault="00D032BE" w:rsidP="00D032BE">
      <w:pPr>
        <w:pStyle w:val="a-thtloend"/>
      </w:pPr>
      <w:r w:rsidRPr="00D032BE">
        <w:t xml:space="preserve">b) </w:t>
      </w:r>
      <w:r w:rsidRPr="00D032BE">
        <w:tab/>
        <w:t>asjaomased riigid on kindlaks teinud, et see makse ei ole otseselt või kaudselt kättesaadav resolutsiooni 1737 (2006) kohaselt määratud isikule või üksusele; ja</w:t>
      </w:r>
    </w:p>
    <w:p w:rsidR="00D032BE" w:rsidRPr="00D032BE" w:rsidRDefault="00D032BE" w:rsidP="00D032BE">
      <w:pPr>
        <w:pStyle w:val="a-thtloend"/>
      </w:pPr>
      <w:r w:rsidRPr="00D032BE">
        <w:t xml:space="preserve">c) </w:t>
      </w:r>
      <w:r w:rsidRPr="00D032BE">
        <w:tab/>
        <w:t>asjaomased riigid on teatanud 1737 sanktsioonide komiteele kümme päeva ette kavatsusest teha või vastu võtta selliseid makseid või vajaduse korral vabastada sel eesmärgil rahalisi vahendeid, muid finantsvarasid või majanduslikke ressursse</w:t>
      </w:r>
      <w:r w:rsidRPr="00D032BE">
        <w:rPr>
          <w:rStyle w:val="Allmrkuseviide"/>
        </w:rPr>
        <w:footnoteReference w:id="18"/>
      </w:r>
      <w:r w:rsidRPr="00D032BE">
        <w:t>.</w:t>
      </w:r>
    </w:p>
    <w:p w:rsidR="00D032BE" w:rsidRPr="00D032BE" w:rsidRDefault="00D032BE" w:rsidP="00D032BE">
      <w:pPr>
        <w:pStyle w:val="Kehatekstloend"/>
      </w:pPr>
      <w:r w:rsidRPr="00D032BE">
        <w:t xml:space="preserve">12. </w:t>
      </w:r>
      <w:r w:rsidRPr="00D032BE">
        <w:tab/>
        <w:t xml:space="preserve">Riigid peaksid kehtestama mehhanismid finantssektori ja mittefinantsteenuseid pakkuvate määratud ettevõtjate või kutsetöötajate teavitamiseks loetelust kustutamisest ja vahendite vabastamisest viivitamatult pärast selliste meetmete rakendamist ning andma loetelust kustutamise või vahendite vabastamise meetme rakendamise kohustuse kohta piisavaid juhtnööre eelkõige </w:t>
      </w:r>
      <w:r w:rsidR="006043CB">
        <w:t>finantsasutus</w:t>
      </w:r>
      <w:r w:rsidRPr="00D032BE">
        <w:t>tele ja teistele isikutele või üksustele, sh mittefinantsteenuseid pakkuvatele määratud ettevõtjatele ja kutsetöötajatele, kelle valduses asjaomased rahalised vahendid või muu vara võib olla.</w:t>
      </w:r>
    </w:p>
    <w:p w:rsidR="00D032BE" w:rsidRPr="00D032BE" w:rsidRDefault="00D032BE" w:rsidP="00D032BE">
      <w:pPr>
        <w:pStyle w:val="A-pealkiri"/>
      </w:pPr>
      <w:r w:rsidRPr="00D032BE">
        <w:t xml:space="preserve">E. </w:t>
      </w:r>
      <w:r w:rsidRPr="00D032BE">
        <w:tab/>
        <w:t>ÜHENDATUD RAHVASTE ORGANISATSIOONI MÄÄRAMISKRITEERIUMID</w:t>
      </w:r>
    </w:p>
    <w:p w:rsidR="00D032BE" w:rsidRPr="00D032BE" w:rsidRDefault="00D032BE" w:rsidP="00D032BE">
      <w:pPr>
        <w:pStyle w:val="Kehatekstloend"/>
      </w:pPr>
      <w:r w:rsidRPr="00D032BE">
        <w:t xml:space="preserve">13. </w:t>
      </w:r>
      <w:r w:rsidRPr="00D032BE">
        <w:tab/>
        <w:t>ÜRO asjaomastes resolutsioonides määratletud määramiskriteeriumid on järgmised:</w:t>
      </w:r>
    </w:p>
    <w:p w:rsidR="00D032BE" w:rsidRPr="00D032BE" w:rsidRDefault="00D032BE" w:rsidP="00D032BE">
      <w:pPr>
        <w:pStyle w:val="a-thtloend"/>
      </w:pPr>
      <w:r w:rsidRPr="00D032BE">
        <w:lastRenderedPageBreak/>
        <w:t xml:space="preserve">a) </w:t>
      </w:r>
      <w:r w:rsidRPr="00D032BE">
        <w:tab/>
      </w:r>
      <w:r w:rsidRPr="00D032BE">
        <w:rPr>
          <w:rFonts w:ascii="Calibri" w:hAnsi="Calibri" w:cs="Calibri"/>
          <w:b/>
          <w:color w:val="348093"/>
        </w:rPr>
        <w:t>Resolutsioon 1718 (2006)</w:t>
      </w:r>
      <w:r w:rsidRPr="00D032BE">
        <w:t>:</w:t>
      </w:r>
    </w:p>
    <w:p w:rsidR="00D032BE" w:rsidRPr="00D032BE" w:rsidRDefault="00D032BE" w:rsidP="00D032BE">
      <w:pPr>
        <w:pStyle w:val="i-thtloeng"/>
      </w:pPr>
      <w:r w:rsidRPr="00D032BE">
        <w:t xml:space="preserve">i) </w:t>
      </w:r>
      <w:r w:rsidRPr="00D032BE">
        <w:tab/>
        <w:t>iga isik või üksus, kes osaleb Korea Rahvademokraatliku Vabariigi (KRDV) tuumarelva-, ballistiliste kanderakettide või muude massihävitusrelvade alastes programmides;</w:t>
      </w:r>
    </w:p>
    <w:p w:rsidR="00D032BE" w:rsidRPr="00D032BE" w:rsidRDefault="00D032BE" w:rsidP="00D032BE">
      <w:pPr>
        <w:pStyle w:val="i-thtloeng"/>
      </w:pPr>
      <w:proofErr w:type="spellStart"/>
      <w:r w:rsidRPr="00D032BE">
        <w:t>ii</w:t>
      </w:r>
      <w:proofErr w:type="spellEnd"/>
      <w:r w:rsidRPr="00D032BE">
        <w:t xml:space="preserve">) </w:t>
      </w:r>
      <w:r w:rsidRPr="00D032BE">
        <w:tab/>
        <w:t>iga isik või üksus, kes toetab KRDV tuumarelva-, ballistiliste kanderakettide või muude massihävitusrelvade alaseid programme, sh ebaseaduslike vahendite abil;</w:t>
      </w:r>
    </w:p>
    <w:p w:rsidR="00D032BE" w:rsidRPr="00D032BE" w:rsidRDefault="00D032BE" w:rsidP="00D032BE">
      <w:pPr>
        <w:pStyle w:val="i-thtloeng"/>
      </w:pPr>
      <w:proofErr w:type="spellStart"/>
      <w:r w:rsidRPr="00D032BE">
        <w:t>iii</w:t>
      </w:r>
      <w:proofErr w:type="spellEnd"/>
      <w:r w:rsidRPr="00D032BE">
        <w:t xml:space="preserve">) iga isik või üksus, kes tegutseb lõike 13 punkti a alapunktis i või </w:t>
      </w:r>
      <w:proofErr w:type="spellStart"/>
      <w:r w:rsidRPr="00D032BE">
        <w:t>ii</w:t>
      </w:r>
      <w:proofErr w:type="spellEnd"/>
      <w:r w:rsidRPr="00D032BE">
        <w:t xml:space="preserve"> määratletud isiku või üksuse nimel või juhtimisel</w:t>
      </w:r>
      <w:r w:rsidRPr="00D032BE">
        <w:rPr>
          <w:rStyle w:val="Allmrkuseviide"/>
        </w:rPr>
        <w:footnoteReference w:id="19"/>
      </w:r>
      <w:r w:rsidRPr="00D032BE">
        <w:t>; või</w:t>
      </w:r>
    </w:p>
    <w:p w:rsidR="00D032BE" w:rsidRPr="00D032BE" w:rsidRDefault="00D032BE" w:rsidP="00D032BE">
      <w:pPr>
        <w:pStyle w:val="i-thtloeng"/>
      </w:pPr>
      <w:proofErr w:type="spellStart"/>
      <w:r w:rsidRPr="00D032BE">
        <w:t>iv</w:t>
      </w:r>
      <w:proofErr w:type="spellEnd"/>
      <w:r w:rsidRPr="00D032BE">
        <w:t xml:space="preserve">) </w:t>
      </w:r>
      <w:r w:rsidRPr="00D032BE">
        <w:tab/>
        <w:t xml:space="preserve">iga isik või üksus, kes on otseselt või kaudselt lõike 13 punkti a alapunktis i või </w:t>
      </w:r>
      <w:proofErr w:type="spellStart"/>
      <w:r w:rsidRPr="00D032BE">
        <w:t>ii</w:t>
      </w:r>
      <w:proofErr w:type="spellEnd"/>
      <w:r w:rsidRPr="00D032BE">
        <w:t xml:space="preserve"> määratletud isiku või üksuse omandis või kontrolli all</w:t>
      </w:r>
      <w:r w:rsidRPr="00D032BE">
        <w:rPr>
          <w:rStyle w:val="Allmrkuseviide"/>
        </w:rPr>
        <w:footnoteReference w:id="20"/>
      </w:r>
      <w:r w:rsidRPr="00D032BE">
        <w:t>.</w:t>
      </w:r>
    </w:p>
    <w:p w:rsidR="00D032BE" w:rsidRPr="00D032BE" w:rsidRDefault="00D032BE" w:rsidP="00D032BE">
      <w:pPr>
        <w:pStyle w:val="a-thtloend"/>
      </w:pPr>
      <w:r w:rsidRPr="00D032BE">
        <w:t xml:space="preserve">b) </w:t>
      </w:r>
      <w:r w:rsidRPr="00D032BE">
        <w:tab/>
      </w:r>
      <w:r w:rsidRPr="00D032BE">
        <w:rPr>
          <w:rFonts w:ascii="Calibri" w:hAnsi="Calibri" w:cs="Calibri"/>
          <w:b/>
          <w:color w:val="348093"/>
        </w:rPr>
        <w:t>Resolutsioonid 1737 (2006), 1747 (2007), 1803 (2008) ja 1929 (2010)</w:t>
      </w:r>
      <w:r w:rsidRPr="00D032BE">
        <w:t>:</w:t>
      </w:r>
    </w:p>
    <w:p w:rsidR="00D032BE" w:rsidRPr="00D032BE" w:rsidRDefault="00D032BE" w:rsidP="00D032BE">
      <w:pPr>
        <w:pStyle w:val="i-thtloeng"/>
      </w:pPr>
      <w:r w:rsidRPr="00D032BE">
        <w:t xml:space="preserve">i) </w:t>
      </w:r>
      <w:r w:rsidRPr="00D032BE">
        <w:tab/>
        <w:t>iga isik või üksus, kes osaleb tuumarelva leviku tõkestamise seisukohast tundlikus tuumaenergiaalases tegevuses või tuumarelva kandevahendite väljatöötamises Iraanis;</w:t>
      </w:r>
    </w:p>
    <w:p w:rsidR="00D032BE" w:rsidRPr="00D032BE" w:rsidRDefault="00D032BE" w:rsidP="00D032BE">
      <w:pPr>
        <w:pStyle w:val="i-thtloeng"/>
      </w:pPr>
      <w:proofErr w:type="spellStart"/>
      <w:r w:rsidRPr="00D032BE">
        <w:t>ii</w:t>
      </w:r>
      <w:proofErr w:type="spellEnd"/>
      <w:r w:rsidRPr="00D032BE">
        <w:t xml:space="preserve">) </w:t>
      </w:r>
      <w:r w:rsidRPr="00D032BE">
        <w:tab/>
        <w:t>iga isik või üksus, kes on otseselt seotud tuumarelva leviku tõkestamise seisukohast tundliku tuumaenergiaalase tegevuse või tuumarelva kandevahendite väljatöötamisega Iraanis või toetab neid tegevusi;</w:t>
      </w:r>
    </w:p>
    <w:p w:rsidR="00D032BE" w:rsidRPr="00D032BE" w:rsidRDefault="00D032BE" w:rsidP="00D032BE">
      <w:pPr>
        <w:pStyle w:val="i-thtloeng"/>
      </w:pPr>
      <w:proofErr w:type="spellStart"/>
      <w:r w:rsidRPr="00D032BE">
        <w:t>iii</w:t>
      </w:r>
      <w:proofErr w:type="spellEnd"/>
      <w:r w:rsidRPr="00D032BE">
        <w:t>)</w:t>
      </w:r>
      <w:r w:rsidRPr="00D032BE">
        <w:tab/>
        <w:t xml:space="preserve">iga isik või üksus, kes tegutseb lõike 13 punkti b alapunktis i ja/või </w:t>
      </w:r>
      <w:proofErr w:type="spellStart"/>
      <w:r w:rsidRPr="00D032BE">
        <w:t>ii</w:t>
      </w:r>
      <w:proofErr w:type="spellEnd"/>
      <w:r w:rsidRPr="00D032BE">
        <w:t xml:space="preserve"> määratletud isiku või üksuse või nende omandis või kontrolli all olevate üksuste nimel või juhtimisel;</w:t>
      </w:r>
    </w:p>
    <w:p w:rsidR="00D032BE" w:rsidRPr="00D032BE" w:rsidRDefault="00D032BE" w:rsidP="00D032BE">
      <w:pPr>
        <w:pStyle w:val="i-thtloeng"/>
      </w:pPr>
      <w:proofErr w:type="spellStart"/>
      <w:r w:rsidRPr="00D032BE">
        <w:t>iv</w:t>
      </w:r>
      <w:proofErr w:type="spellEnd"/>
      <w:r w:rsidRPr="00D032BE">
        <w:t xml:space="preserve">) </w:t>
      </w:r>
      <w:r w:rsidRPr="00D032BE">
        <w:tab/>
        <w:t>iga isik või üksus, kes tegutseb resolutsiooni S/RES/1929 (2010) kohaselt määratud islami revolutsioonilise kaardiväe isikute või üksuste nimel või juhtimisel;</w:t>
      </w:r>
    </w:p>
    <w:p w:rsidR="00D032BE" w:rsidRPr="00D032BE" w:rsidRDefault="00D032BE" w:rsidP="00D032BE">
      <w:pPr>
        <w:pStyle w:val="i-thtloeng"/>
      </w:pPr>
      <w:r w:rsidRPr="00D032BE">
        <w:t>v)</w:t>
      </w:r>
      <w:r w:rsidRPr="00D032BE">
        <w:tab/>
        <w:t>iga isik või üksus, kes on resolutsiooni S/RES/1929 (2010) kohaselt määratud islami revolutsioonilise kaardiväe isikute või üksuste omandis või kontrolli all, sh ebaseaduslike vahendite abil</w:t>
      </w:r>
      <w:r w:rsidRPr="00D032BE">
        <w:rPr>
          <w:rStyle w:val="Allmrkuseviide"/>
        </w:rPr>
        <w:footnoteReference w:id="21"/>
      </w:r>
      <w:r w:rsidRPr="00D032BE">
        <w:t>;</w:t>
      </w:r>
    </w:p>
    <w:p w:rsidR="00D032BE" w:rsidRPr="00D032BE" w:rsidRDefault="00D032BE" w:rsidP="00D032BE">
      <w:pPr>
        <w:pStyle w:val="i-thtloeng"/>
      </w:pPr>
      <w:proofErr w:type="spellStart"/>
      <w:r w:rsidRPr="00D032BE">
        <w:t>vi</w:t>
      </w:r>
      <w:proofErr w:type="spellEnd"/>
      <w:r w:rsidRPr="00D032BE">
        <w:t>) iga isik või üksus, kes tegutseb resolutsiooni S/RES/1929 (2010) kohaselt määratud Iraani Islamivabariigi laevandusettevõtja (</w:t>
      </w:r>
      <w:proofErr w:type="spellStart"/>
      <w:r w:rsidRPr="00D032BE">
        <w:rPr>
          <w:i/>
        </w:rPr>
        <w:t>Islamic</w:t>
      </w:r>
      <w:proofErr w:type="spellEnd"/>
      <w:r w:rsidRPr="00D032BE">
        <w:rPr>
          <w:i/>
        </w:rPr>
        <w:t xml:space="preserve"> </w:t>
      </w:r>
      <w:proofErr w:type="spellStart"/>
      <w:r w:rsidRPr="00D032BE">
        <w:rPr>
          <w:i/>
        </w:rPr>
        <w:t>Republic</w:t>
      </w:r>
      <w:proofErr w:type="spellEnd"/>
      <w:r w:rsidRPr="00D032BE">
        <w:rPr>
          <w:i/>
        </w:rPr>
        <w:t xml:space="preserve"> of Iran </w:t>
      </w:r>
      <w:proofErr w:type="spellStart"/>
      <w:r w:rsidRPr="00D032BE">
        <w:rPr>
          <w:i/>
        </w:rPr>
        <w:t>Shipping</w:t>
      </w:r>
      <w:proofErr w:type="spellEnd"/>
      <w:r w:rsidRPr="00D032BE">
        <w:rPr>
          <w:i/>
        </w:rPr>
        <w:t xml:space="preserve"> </w:t>
      </w:r>
      <w:proofErr w:type="spellStart"/>
      <w:r w:rsidRPr="00D032BE">
        <w:rPr>
          <w:i/>
        </w:rPr>
        <w:t>Lines</w:t>
      </w:r>
      <w:proofErr w:type="spellEnd"/>
      <w:r w:rsidRPr="00D032BE">
        <w:t>, edaspidi „IRISL”) üksuste nimel või juhtimisel;</w:t>
      </w:r>
    </w:p>
    <w:p w:rsidR="00D032BE" w:rsidRPr="00D032BE" w:rsidRDefault="00D032BE" w:rsidP="00D032BE">
      <w:pPr>
        <w:pStyle w:val="i-thtloeng"/>
      </w:pPr>
      <w:r w:rsidRPr="00D032BE">
        <w:lastRenderedPageBreak/>
        <w:t>vii)</w:t>
      </w:r>
      <w:r w:rsidRPr="00D032BE">
        <w:tab/>
        <w:t>üksused, mis on resolutsiooni S/RES/1929 (2010) kohaselt määratud Iraani Islamivabariigi laevandusettevõtja IRISL üksuste omandis või kontrolli all, sh ebaseaduslike vahendite abil; või</w:t>
      </w:r>
    </w:p>
    <w:p w:rsidR="00D032BE" w:rsidRPr="00D032BE" w:rsidRDefault="00D032BE" w:rsidP="00D032BE">
      <w:pPr>
        <w:pStyle w:val="i-thtloeng"/>
      </w:pPr>
      <w:proofErr w:type="spellStart"/>
      <w:r w:rsidRPr="00D032BE">
        <w:t>viii</w:t>
      </w:r>
      <w:proofErr w:type="spellEnd"/>
      <w:r w:rsidRPr="00D032BE">
        <w:t>)</w:t>
      </w:r>
      <w:r w:rsidRPr="00D032BE">
        <w:tab/>
        <w:t>iga isik või üksus, kelle puhul ÜRO Julgeolekunõukogu või komitee on kindlaks teinud, et ta on abistanud määratud isikuid või üksusi resolutsioonide S/RES/1737 (2006), S/RES/1747 (2007), S/RES/1803 (2008) või S/RES/1929 (2010) sanktsioonidest kõrvalehoidmisel või sätete rikkumisel.</w:t>
      </w:r>
    </w:p>
    <w:p w:rsidR="00D032BE" w:rsidRPr="00D032BE" w:rsidRDefault="00D032BE" w:rsidP="00D032BE">
      <w:pPr>
        <w:rPr>
          <w:rFonts w:ascii="Cambria" w:hAnsi="Cambria"/>
          <w:sz w:val="21"/>
          <w:szCs w:val="21"/>
          <w:lang w:val="et-EE"/>
        </w:rPr>
      </w:pPr>
      <w:r w:rsidRPr="00D032BE">
        <w:rPr>
          <w:lang w:val="et-EE"/>
        </w:rPr>
        <w:br w:type="page"/>
      </w:r>
    </w:p>
    <w:p w:rsidR="002D4AC1" w:rsidRDefault="00D63059" w:rsidP="00D032BE">
      <w:pPr>
        <w:pStyle w:val="Pealkiri2"/>
      </w:pPr>
      <w:r>
        <w:lastRenderedPageBreak/>
        <w:t xml:space="preserve">SOOVITUSE </w:t>
      </w:r>
      <w:r w:rsidR="002D4AC1">
        <w:t>8 TÕLGENDAV MÄRKUS</w:t>
      </w:r>
    </w:p>
    <w:p w:rsidR="00D032BE" w:rsidRPr="00D032BE" w:rsidRDefault="00D032BE" w:rsidP="00D032BE">
      <w:pPr>
        <w:pStyle w:val="Pealkiri2"/>
      </w:pPr>
      <w:r w:rsidRPr="00D032BE">
        <w:t>(MITTETULUNDUSÜHINGUD)</w:t>
      </w:r>
    </w:p>
    <w:p w:rsidR="00D032BE" w:rsidRPr="00D032BE" w:rsidRDefault="00D032BE" w:rsidP="00D032BE">
      <w:pPr>
        <w:pStyle w:val="A-pealkiri"/>
      </w:pPr>
      <w:r w:rsidRPr="00D032BE">
        <w:t xml:space="preserve">A. </w:t>
      </w:r>
      <w:r w:rsidRPr="00D032BE">
        <w:tab/>
        <w:t>SISSEJUHATUS</w:t>
      </w:r>
    </w:p>
    <w:p w:rsidR="00D032BE" w:rsidRPr="002A32CF" w:rsidRDefault="00D032BE" w:rsidP="002A32CF">
      <w:pPr>
        <w:autoSpaceDE w:val="0"/>
        <w:autoSpaceDN w:val="0"/>
        <w:adjustRightInd w:val="0"/>
        <w:spacing w:after="120"/>
        <w:ind w:left="709" w:hanging="709"/>
        <w:jc w:val="both"/>
        <w:rPr>
          <w:rFonts w:ascii="Cambria" w:eastAsia="Times New Roman" w:hAnsi="Cambria"/>
          <w:sz w:val="24"/>
          <w:szCs w:val="21"/>
          <w:lang w:val="et-EE" w:eastAsia="zh-CN"/>
        </w:rPr>
      </w:pPr>
      <w:r w:rsidRPr="00D032BE">
        <w:rPr>
          <w:rFonts w:ascii="Cambria" w:hAnsi="Cambria"/>
          <w:sz w:val="24"/>
          <w:szCs w:val="24"/>
          <w:lang w:val="et-EE"/>
        </w:rPr>
        <w:t xml:space="preserve">1. </w:t>
      </w:r>
      <w:r w:rsidRPr="00D032BE">
        <w:rPr>
          <w:rFonts w:ascii="Cambria" w:hAnsi="Cambria"/>
          <w:sz w:val="24"/>
          <w:szCs w:val="24"/>
          <w:lang w:val="et-EE"/>
        </w:rPr>
        <w:tab/>
      </w:r>
      <w:r w:rsidRPr="002A32CF">
        <w:rPr>
          <w:rFonts w:ascii="Cambria" w:eastAsia="Times New Roman" w:hAnsi="Cambria"/>
          <w:sz w:val="24"/>
          <w:szCs w:val="21"/>
          <w:lang w:val="et-EE" w:eastAsia="zh-CN"/>
        </w:rPr>
        <w:t>Mittetulundusühingutel on oluline osa maailmamajanduses ning paljude riikide majandus- ja sotsiaalsüsteemides. Nende panus täiendab valitsuse ja ärisektorite tegevust oluliste teenuste, lohutuse ja lootuse pakkumisel neid vajavatele inimestele kogu maailmas. Pidev rahvusvaheline kampaania terrorismi rahastamise vastu on kahjuks siiski näidanud, et terroristid ja terroristlikud ühendused kasutavad mittetulundusühinguid rahaliste vahendite kogumiseks ja liigutamiseks, logistika tagamiseks, terroristide värbamise toetamiseks või muul moel terroristlike ühenduste ja terrorismi toetamiseks. Selline kuritarvitamine mitte ainult ei soodusta terrorismi, vaid ka vähendab annetajate usaldust ja kahjustab mittetulundusühingute usaldusväärsust. Mittetulundusühingute kaitsmine terroristide poolse kuritarvitamise eest on seetõttu nii ülemaailmse terrorismivastase võitluse väga oluline komponent kui ka vajalik samm mittetulundusühingute usaldusväärsuse säilitamisel.</w:t>
      </w:r>
    </w:p>
    <w:p w:rsidR="00D032BE" w:rsidRPr="002A32CF" w:rsidRDefault="00D032BE" w:rsidP="002A32CF">
      <w:pPr>
        <w:autoSpaceDE w:val="0"/>
        <w:autoSpaceDN w:val="0"/>
        <w:adjustRightInd w:val="0"/>
        <w:spacing w:after="120"/>
        <w:ind w:left="709" w:hanging="709"/>
        <w:jc w:val="both"/>
        <w:rPr>
          <w:rFonts w:ascii="Cambria" w:eastAsia="Times New Roman" w:hAnsi="Cambria"/>
          <w:sz w:val="24"/>
          <w:szCs w:val="21"/>
          <w:lang w:val="et-EE" w:eastAsia="zh-CN"/>
        </w:rPr>
      </w:pPr>
    </w:p>
    <w:p w:rsidR="00D032BE" w:rsidRPr="002A32CF" w:rsidRDefault="00D032BE" w:rsidP="002A32CF">
      <w:pPr>
        <w:autoSpaceDE w:val="0"/>
        <w:autoSpaceDN w:val="0"/>
        <w:adjustRightInd w:val="0"/>
        <w:spacing w:after="120"/>
        <w:ind w:left="709" w:hanging="709"/>
        <w:jc w:val="both"/>
        <w:rPr>
          <w:rFonts w:ascii="Cambria" w:eastAsia="Times New Roman" w:hAnsi="Cambria"/>
          <w:sz w:val="24"/>
          <w:szCs w:val="21"/>
          <w:lang w:val="et-EE" w:eastAsia="zh-CN"/>
        </w:rPr>
      </w:pPr>
      <w:r w:rsidRPr="002A32CF">
        <w:rPr>
          <w:rFonts w:ascii="Cambria" w:eastAsia="Times New Roman" w:hAnsi="Cambria"/>
          <w:sz w:val="24"/>
          <w:szCs w:val="21"/>
          <w:lang w:val="et-EE" w:eastAsia="zh-CN"/>
        </w:rPr>
        <w:t xml:space="preserve">2. </w:t>
      </w:r>
      <w:r w:rsidRPr="002A32CF">
        <w:rPr>
          <w:rFonts w:ascii="Cambria" w:eastAsia="Times New Roman" w:hAnsi="Cambria"/>
          <w:sz w:val="24"/>
          <w:szCs w:val="21"/>
          <w:lang w:val="et-EE" w:eastAsia="zh-CN"/>
        </w:rPr>
        <w:tab/>
        <w:t>Mittetulundusühingud võivad olla vastuvõtlikud terroristide poolt kuritarvitamisele mitmel põhjusel. Üldsus usaldab mittetulundusühingud ning mittetulundusühingutel on juurdepääs märkimisväärsetele rahaallikatele ja nad võtavad sageli vastu suuri sularahasummasid. Mõned mittetulundusühingud on lisaks ülemaailmse haardega, mis tagab raamistiku riigisiseseks ja rahvusvaheliseks tegevuseks ning finantstehinguteks sageli sellistes piirkondades või selliste piirkondade lähedal, kus terrorismi esineb kõige rohkem. Olenevalt mittetulundusühingu juriidilisest vormist ja riigist, võib juhtuda, et valitsuse kontroll (nt registreerimine, arvestuse pidamine, aruandlus ja järelevalve) mittetulundusühingu üle on väga väike või üldse puudub või eeldab nende asutamine väga minimaalsete vorminõuete täitmist (nt võivad puududa nõuded oskuste või algkapitali kohta, töötajate tausta kontroll). Terroristlikud ühendused on mittetulundusühingute neid omadusi ära kasutanud, et sektorisse sisse imbuda ja kuritarvitada mittetulundusühingute rahalisi vahendeid ja tegevust terrorismi varjamiseks või toetamiseks.</w:t>
      </w:r>
    </w:p>
    <w:p w:rsidR="00D032BE" w:rsidRPr="00D032BE" w:rsidRDefault="00D032BE" w:rsidP="00D032BE">
      <w:pPr>
        <w:pStyle w:val="A-pealkiri"/>
      </w:pPr>
      <w:r w:rsidRPr="00D032BE">
        <w:t xml:space="preserve">B. </w:t>
      </w:r>
      <w:r w:rsidRPr="00D032BE">
        <w:tab/>
        <w:t>EESMÄRGID JA ÜLDPÕHIMÕTTED</w:t>
      </w:r>
    </w:p>
    <w:p w:rsidR="00D032BE" w:rsidRPr="00D032BE" w:rsidRDefault="00D032BE" w:rsidP="002A32CF">
      <w:pPr>
        <w:autoSpaceDE w:val="0"/>
        <w:autoSpaceDN w:val="0"/>
        <w:adjustRightInd w:val="0"/>
        <w:spacing w:after="120"/>
        <w:ind w:left="709" w:hanging="709"/>
        <w:jc w:val="both"/>
        <w:rPr>
          <w:rFonts w:ascii="Cambria" w:hAnsi="Cambria"/>
          <w:sz w:val="24"/>
          <w:szCs w:val="24"/>
          <w:lang w:val="et-EE"/>
        </w:rPr>
      </w:pPr>
      <w:r w:rsidRPr="00D032BE">
        <w:rPr>
          <w:rFonts w:ascii="Cambria" w:hAnsi="Cambria"/>
          <w:sz w:val="24"/>
          <w:szCs w:val="24"/>
          <w:lang w:val="et-EE"/>
        </w:rPr>
        <w:t xml:space="preserve">3. </w:t>
      </w:r>
      <w:r w:rsidRPr="00D032BE">
        <w:rPr>
          <w:rFonts w:ascii="Cambria" w:hAnsi="Cambria"/>
          <w:sz w:val="24"/>
          <w:szCs w:val="24"/>
          <w:lang w:val="et-EE"/>
        </w:rPr>
        <w:tab/>
        <w:t>Soovituse</w:t>
      </w:r>
      <w:r w:rsidR="00847867">
        <w:rPr>
          <w:rFonts w:ascii="Cambria" w:hAnsi="Cambria"/>
          <w:sz w:val="24"/>
          <w:szCs w:val="24"/>
          <w:lang w:val="et-EE"/>
        </w:rPr>
        <w:t xml:space="preserve"> </w:t>
      </w:r>
      <w:r w:rsidRPr="00D032BE">
        <w:rPr>
          <w:rFonts w:ascii="Cambria" w:hAnsi="Cambria"/>
          <w:sz w:val="24"/>
          <w:szCs w:val="24"/>
          <w:lang w:val="et-EE"/>
        </w:rPr>
        <w:t xml:space="preserve">8 eesmärk on tagada, et terroristlikud ühendused ei kuritarvitaks mittetulundusorganisatsioone: i) esinedes </w:t>
      </w:r>
      <w:r w:rsidR="005860B5" w:rsidRPr="005860B5">
        <w:rPr>
          <w:rFonts w:ascii="Cambria" w:hAnsi="Cambria"/>
          <w:sz w:val="24"/>
          <w:szCs w:val="24"/>
          <w:lang w:val="et-EE"/>
        </w:rPr>
        <w:t>õiguspäraste (legaalsete) ja seadusekuulekate</w:t>
      </w:r>
      <w:r w:rsidRPr="00D032BE">
        <w:rPr>
          <w:rFonts w:ascii="Cambria" w:hAnsi="Cambria"/>
          <w:sz w:val="24"/>
          <w:szCs w:val="24"/>
          <w:lang w:val="et-EE"/>
        </w:rPr>
        <w:t xml:space="preserve"> üksustena; </w:t>
      </w:r>
      <w:proofErr w:type="spellStart"/>
      <w:r w:rsidRPr="00D032BE">
        <w:rPr>
          <w:rFonts w:ascii="Cambria" w:hAnsi="Cambria"/>
          <w:sz w:val="24"/>
          <w:szCs w:val="24"/>
          <w:lang w:val="et-EE"/>
        </w:rPr>
        <w:t>ii</w:t>
      </w:r>
      <w:proofErr w:type="spellEnd"/>
      <w:r w:rsidRPr="00D032BE">
        <w:rPr>
          <w:rFonts w:ascii="Cambria" w:hAnsi="Cambria"/>
          <w:sz w:val="24"/>
          <w:szCs w:val="24"/>
          <w:lang w:val="et-EE"/>
        </w:rPr>
        <w:t xml:space="preserve">) kasutades õiguslikke üksusi terrorismi rahastamise kanalina, kaasa arvatud vara blokeerimise meetmetest kõrvalehoidmise eesmärgil; või </w:t>
      </w:r>
      <w:proofErr w:type="spellStart"/>
      <w:r w:rsidRPr="00D032BE">
        <w:rPr>
          <w:rFonts w:ascii="Cambria" w:hAnsi="Cambria"/>
          <w:sz w:val="24"/>
          <w:szCs w:val="24"/>
          <w:lang w:val="et-EE"/>
        </w:rPr>
        <w:t>iii</w:t>
      </w:r>
      <w:proofErr w:type="spellEnd"/>
      <w:r w:rsidRPr="00D032BE">
        <w:rPr>
          <w:rFonts w:ascii="Cambria" w:hAnsi="Cambria"/>
          <w:sz w:val="24"/>
          <w:szCs w:val="24"/>
          <w:lang w:val="et-EE"/>
        </w:rPr>
        <w:t xml:space="preserve">) varjates selliste rahaliste vahendite salajast kõrvalesuunamist, mis on kavandatud kasutamiseks seaduslikel eesmärkidel, </w:t>
      </w:r>
      <w:r w:rsidRPr="00D032BE">
        <w:rPr>
          <w:rFonts w:ascii="Cambria" w:hAnsi="Cambria"/>
          <w:sz w:val="24"/>
          <w:szCs w:val="24"/>
          <w:lang w:val="et-EE"/>
        </w:rPr>
        <w:lastRenderedPageBreak/>
        <w:t>kuid mis suunatakse terrorismi rahastamiseks. Käesolevas tõlgendavas märkuses põhineb selle eesmärgi saavutamiseks võetud lähenemisviis järgmistel üldpõhimõtetel:</w:t>
      </w:r>
    </w:p>
    <w:p w:rsidR="00D032BE" w:rsidRPr="00D032BE" w:rsidRDefault="00D032BE" w:rsidP="00D032BE">
      <w:pPr>
        <w:pStyle w:val="a-thtloend"/>
      </w:pPr>
      <w:r w:rsidRPr="00D032BE">
        <w:t xml:space="preserve">a) </w:t>
      </w:r>
      <w:r w:rsidRPr="00D032BE">
        <w:tab/>
      </w:r>
      <w:r w:rsidRPr="00D032BE">
        <w:rPr>
          <w:szCs w:val="24"/>
        </w:rPr>
        <w:t>Mittetulundusühingute varasem ja jätkuv kuritarvitamine terroristide ja</w:t>
      </w:r>
      <w:r w:rsidRPr="00D032BE">
        <w:t xml:space="preserve"> </w:t>
      </w:r>
      <w:r w:rsidRPr="00D032BE">
        <w:rPr>
          <w:szCs w:val="24"/>
        </w:rPr>
        <w:t>terroristlike ühenduste poolt eeldab, et riigid võtavad meetmeid nii</w:t>
      </w:r>
      <w:r w:rsidRPr="00D032BE">
        <w:t xml:space="preserve">: i) sektori </w:t>
      </w:r>
      <w:r w:rsidRPr="00D032BE">
        <w:rPr>
          <w:szCs w:val="24"/>
        </w:rPr>
        <w:t xml:space="preserve">kaitsmiseks sellise kuritarvitamise eest kui </w:t>
      </w:r>
      <w:proofErr w:type="spellStart"/>
      <w:r w:rsidRPr="00D032BE">
        <w:t>ii</w:t>
      </w:r>
      <w:proofErr w:type="spellEnd"/>
      <w:r w:rsidRPr="00D032BE">
        <w:t xml:space="preserve">) </w:t>
      </w:r>
      <w:r w:rsidRPr="00D032BE">
        <w:rPr>
          <w:szCs w:val="24"/>
        </w:rPr>
        <w:t xml:space="preserve">tõhusate meetmete kindlaksmääramiseks ja nende </w:t>
      </w:r>
      <w:r w:rsidR="00B363D3">
        <w:rPr>
          <w:szCs w:val="24"/>
        </w:rPr>
        <w:t>rakendamiseks</w:t>
      </w:r>
      <w:r w:rsidR="00B363D3" w:rsidRPr="00D032BE">
        <w:rPr>
          <w:szCs w:val="24"/>
        </w:rPr>
        <w:t xml:space="preserve"> </w:t>
      </w:r>
      <w:r w:rsidRPr="00D032BE">
        <w:rPr>
          <w:szCs w:val="24"/>
        </w:rPr>
        <w:t>selliste mittetulundusühingute suhtes, mida terroristid või terroristlikud ühendused kasutavad või mis terroriste või terroristlikke ühendusi toetavad</w:t>
      </w:r>
      <w:r w:rsidRPr="00D032BE">
        <w:t>.</w:t>
      </w:r>
    </w:p>
    <w:p w:rsidR="00D032BE" w:rsidRPr="00D032BE" w:rsidRDefault="00D032BE" w:rsidP="00D032BE">
      <w:pPr>
        <w:pStyle w:val="a-thtloend"/>
      </w:pPr>
      <w:r w:rsidRPr="00D032BE">
        <w:t xml:space="preserve">b) </w:t>
      </w:r>
      <w:r w:rsidRPr="00D032BE">
        <w:tab/>
      </w:r>
      <w:r w:rsidRPr="00D032BE">
        <w:rPr>
          <w:szCs w:val="24"/>
        </w:rPr>
        <w:t>Meetmed, mida riigid võtavad mittetulundusühingute kaitsmiseks terroristide kuritarvitamise eest, ei tohiks katkestada või takistada seaduslikku heategevust</w:t>
      </w:r>
      <w:r w:rsidRPr="00D032BE">
        <w:t xml:space="preserve">. </w:t>
      </w:r>
      <w:r w:rsidRPr="00D032BE">
        <w:rPr>
          <w:szCs w:val="24"/>
        </w:rPr>
        <w:t>Sellised meetmed peaksid pigem suurendama läbipaistvust ja usaldust asjaomase sektori vastu ja süvendama nii annetajate kui üldsuse usku, et heategevuslikud rahalised vahendid ja teenused jõuavad kavandatud seaduslike maksesaajateni</w:t>
      </w:r>
      <w:r w:rsidRPr="00D032BE">
        <w:t xml:space="preserve">. </w:t>
      </w:r>
      <w:r w:rsidRPr="00D032BE">
        <w:rPr>
          <w:szCs w:val="24"/>
        </w:rPr>
        <w:t>Mittetulundusühingute juhtimise ja tegutsemise läbipaistvuse, usaldusväärsuse ja sellele suunatud üldsuse usalduse suurendamist soodustavad reeglid aitavad tagada, et sektorit ei saaks kuritarvitada terrorismi rahastamiseks</w:t>
      </w:r>
      <w:r w:rsidRPr="00D032BE">
        <w:t>.</w:t>
      </w:r>
    </w:p>
    <w:p w:rsidR="00D032BE" w:rsidRPr="00D032BE" w:rsidRDefault="00D032BE" w:rsidP="00D032BE">
      <w:pPr>
        <w:pStyle w:val="a-thtloend"/>
      </w:pPr>
      <w:r w:rsidRPr="00D032BE">
        <w:t xml:space="preserve">c) </w:t>
      </w:r>
      <w:r w:rsidRPr="00D032BE">
        <w:tab/>
      </w:r>
      <w:r w:rsidRPr="00D032BE">
        <w:rPr>
          <w:szCs w:val="24"/>
        </w:rPr>
        <w:t>Terroristide või terroristlike ühenduste poolt kasutatavate, samuti neid toetavate mittetulundusühingute suhtes tõhusate meetmete rakendamise eesmärk peaks olema terrorismi rahastamise ja muul kujul terrorismi toetamise takistamine ja selle eest kohtu alla andmine</w:t>
      </w:r>
      <w:r w:rsidRPr="00D032BE">
        <w:t xml:space="preserve">. </w:t>
      </w:r>
      <w:r w:rsidRPr="00D032BE">
        <w:rPr>
          <w:szCs w:val="24"/>
        </w:rPr>
        <w:t xml:space="preserve">Kui on kindlaks tehtud sellised mittetulundusühingud, keda kahtlustatakse terrorismi rahastamises või muul viisil terrorismi toetamises või kes on sellega seotud, peavad riigid esmajoones uurima sellist terrorismi rahastamist või toetamist ja selle peatama. Sel eesmärgil võetud meetmed peaksid võimaluse piires vältima kahjulikku mõju süütutele ja heategevuse kaudu </w:t>
      </w:r>
      <w:r w:rsidR="00E5008C">
        <w:rPr>
          <w:szCs w:val="24"/>
        </w:rPr>
        <w:t>heausksetele</w:t>
      </w:r>
      <w:r w:rsidR="00E5008C" w:rsidRPr="00D032BE">
        <w:rPr>
          <w:szCs w:val="24"/>
        </w:rPr>
        <w:t xml:space="preserve"> </w:t>
      </w:r>
      <w:r w:rsidRPr="00D032BE">
        <w:rPr>
          <w:szCs w:val="24"/>
        </w:rPr>
        <w:t>maksesaajatele. See eesmärk ei tohi siiski vabastada vajadusest võtta viivitamatuid ja tõhusaid meetmeid mittetulundusühingute poolt terrorismi rahastamise ja muul viisil terrorismi toetamise viivitamatuks peatamiseks</w:t>
      </w:r>
      <w:r w:rsidRPr="00D032BE">
        <w:t>.</w:t>
      </w:r>
    </w:p>
    <w:p w:rsidR="00D032BE" w:rsidRPr="00D032BE" w:rsidRDefault="00D032BE" w:rsidP="00D032BE">
      <w:pPr>
        <w:pStyle w:val="a-thtloend"/>
      </w:pPr>
      <w:r w:rsidRPr="00D032BE">
        <w:t xml:space="preserve">d) </w:t>
      </w:r>
      <w:r w:rsidRPr="00D032BE">
        <w:tab/>
      </w:r>
      <w:r w:rsidRPr="00D032BE">
        <w:rPr>
          <w:szCs w:val="24"/>
        </w:rPr>
        <w:t>Koostöö arendamine avaliku, era- ja mittetulundusühingute sektori vahel on oluline, et suurendada sektori teadlikkus</w:t>
      </w:r>
      <w:r w:rsidR="00E5008C">
        <w:rPr>
          <w:szCs w:val="24"/>
        </w:rPr>
        <w:t>t ja pädevust terroristide poolse</w:t>
      </w:r>
      <w:r w:rsidRPr="00D032BE">
        <w:rPr>
          <w:szCs w:val="24"/>
        </w:rPr>
        <w:t xml:space="preserve"> kuritarvitamise vastu võitlemisel. Riigid peaksid soodustama teadustööd ja teabe</w:t>
      </w:r>
      <w:r w:rsidRPr="00D032BE">
        <w:t xml:space="preserve"> </w:t>
      </w:r>
      <w:r w:rsidRPr="00D032BE">
        <w:rPr>
          <w:szCs w:val="24"/>
        </w:rPr>
        <w:t>jagamist mittetulundusühingute sektoris terrorismi rahastamisega seotud teemadel</w:t>
      </w:r>
      <w:r w:rsidRPr="00D032BE">
        <w:t>.</w:t>
      </w:r>
    </w:p>
    <w:p w:rsidR="00D032BE" w:rsidRPr="00D032BE" w:rsidRDefault="00D032BE" w:rsidP="00D032BE">
      <w:pPr>
        <w:pStyle w:val="a-thtloend"/>
      </w:pPr>
      <w:r w:rsidRPr="00D032BE">
        <w:t xml:space="preserve">e) </w:t>
      </w:r>
      <w:r w:rsidRPr="00D032BE">
        <w:tab/>
      </w:r>
      <w:r w:rsidRPr="00D032BE">
        <w:rPr>
          <w:szCs w:val="24"/>
        </w:rPr>
        <w:t>Sihipärane lähenemine terrorismiohu käsitlemisele mittetulundusühingute sektoris on oluline, arvestades siseriiklike sektorite sisemist mitmekesisust, iga sektori</w:t>
      </w:r>
      <w:r w:rsidRPr="00D032BE">
        <w:t xml:space="preserve"> </w:t>
      </w:r>
      <w:r w:rsidRPr="00D032BE">
        <w:rPr>
          <w:szCs w:val="24"/>
        </w:rPr>
        <w:t xml:space="preserve">erinevat haavatavust </w:t>
      </w:r>
      <w:r w:rsidRPr="00D032BE">
        <w:rPr>
          <w:szCs w:val="24"/>
        </w:rPr>
        <w:lastRenderedPageBreak/>
        <w:t>terroristide poolt kuritarvitamise suhtes, vajadust tagada seadusliku heategevuse edasine õitseng ning riikide piiratud ressursse ja volitusi võitlemiseks terrorismi rahastamise vastu</w:t>
      </w:r>
      <w:r w:rsidRPr="00D032BE">
        <w:t>.</w:t>
      </w:r>
    </w:p>
    <w:p w:rsidR="00D032BE" w:rsidRPr="00D032BE" w:rsidRDefault="00D032BE" w:rsidP="00D032BE">
      <w:pPr>
        <w:pStyle w:val="a-thtloend"/>
      </w:pPr>
      <w:r w:rsidRPr="00D032BE">
        <w:t xml:space="preserve">f) </w:t>
      </w:r>
      <w:r w:rsidRPr="00D032BE">
        <w:tab/>
      </w:r>
      <w:r w:rsidRPr="00D032BE">
        <w:rPr>
          <w:szCs w:val="24"/>
        </w:rPr>
        <w:t xml:space="preserve">Samuti on oluline </w:t>
      </w:r>
      <w:r w:rsidR="00E5008C">
        <w:rPr>
          <w:szCs w:val="24"/>
        </w:rPr>
        <w:t xml:space="preserve">tagada paindlike meetmete väljatöötamine, et </w:t>
      </w:r>
      <w:r w:rsidRPr="00D032BE">
        <w:rPr>
          <w:szCs w:val="24"/>
        </w:rPr>
        <w:t>rea</w:t>
      </w:r>
      <w:r w:rsidR="00E5008C">
        <w:rPr>
          <w:szCs w:val="24"/>
        </w:rPr>
        <w:t>geerida terrorismi rahastamise tõkestamisele</w:t>
      </w:r>
      <w:r w:rsidRPr="00D032BE">
        <w:rPr>
          <w:szCs w:val="24"/>
        </w:rPr>
        <w:t xml:space="preserve"> mittetulundusühingute sektoris</w:t>
      </w:r>
      <w:r w:rsidR="00E5008C">
        <w:rPr>
          <w:szCs w:val="24"/>
        </w:rPr>
        <w:t>, ning tagada vastavate meetmete areng vastavalt terrorismi rahastamise ohu muutumisele</w:t>
      </w:r>
      <w:r w:rsidRPr="00D032BE">
        <w:t>.</w:t>
      </w:r>
    </w:p>
    <w:p w:rsidR="00D032BE" w:rsidRPr="00D032BE" w:rsidRDefault="00D032BE" w:rsidP="00D032BE">
      <w:pPr>
        <w:pStyle w:val="A-pealkiri"/>
      </w:pPr>
      <w:r w:rsidRPr="00D032BE">
        <w:t xml:space="preserve">C. </w:t>
      </w:r>
      <w:r w:rsidRPr="00D032BE">
        <w:tab/>
        <w:t>MEETMED</w:t>
      </w:r>
    </w:p>
    <w:p w:rsidR="00D032BE" w:rsidRPr="00D032BE" w:rsidRDefault="00D032BE" w:rsidP="00D032BE">
      <w:pPr>
        <w:pStyle w:val="Kehatekstloend"/>
      </w:pPr>
      <w:r w:rsidRPr="00D032BE">
        <w:t xml:space="preserve">4. </w:t>
      </w:r>
      <w:r w:rsidRPr="00D032BE">
        <w:tab/>
      </w:r>
      <w:r w:rsidRPr="00D032BE">
        <w:rPr>
          <w:szCs w:val="24"/>
        </w:rPr>
        <w:t>Riigid peaksid sisemiselt analüüsima oma mittetulundusühingute sektorit või olema suutelised saama õigeaegset teavet selle tegevuse, suuruse ja muude oluliste iseärasuste kohta</w:t>
      </w:r>
      <w:r w:rsidRPr="00D032BE">
        <w:t xml:space="preserve">. </w:t>
      </w:r>
      <w:r w:rsidRPr="00D032BE">
        <w:rPr>
          <w:szCs w:val="24"/>
        </w:rPr>
        <w:t>Riigid peaksid sellise hindamise teostamisel kasutama kõiki olemasolevaid teabeallikaid, et teha kindlaks selliste mittetulundusühingute iseärasused ja tüübid, mida nende tegevuse või omaduste tõttu võidakse kuritarvitada terrorismi rahastamiseks</w:t>
      </w:r>
      <w:r w:rsidRPr="00D032BE">
        <w:t>.</w:t>
      </w:r>
      <w:r w:rsidRPr="00D032BE">
        <w:rPr>
          <w:rStyle w:val="Allmrkuseviide"/>
        </w:rPr>
        <w:footnoteReference w:id="22"/>
      </w:r>
      <w:r w:rsidRPr="00D032BE">
        <w:t xml:space="preserve"> </w:t>
      </w:r>
      <w:r w:rsidRPr="00D032BE">
        <w:rPr>
          <w:szCs w:val="24"/>
        </w:rPr>
        <w:t>Riigid peaksid ka regulaarselt asjaomase sektori olukorda ümber hindama, analüüsides uut teavet sektori võimaliku haavatavuse kohta terrorismi suhtes</w:t>
      </w:r>
      <w:r w:rsidRPr="00D032BE">
        <w:t>.</w:t>
      </w:r>
    </w:p>
    <w:p w:rsidR="00D032BE" w:rsidRDefault="00D032BE" w:rsidP="00D032BE">
      <w:pPr>
        <w:pStyle w:val="Kehatekstloend"/>
      </w:pPr>
      <w:r w:rsidRPr="00D032BE">
        <w:t xml:space="preserve">5. </w:t>
      </w:r>
      <w:r w:rsidRPr="00D032BE">
        <w:tab/>
      </w:r>
      <w:r w:rsidRPr="00D032BE">
        <w:rPr>
          <w:szCs w:val="24"/>
        </w:rPr>
        <w:t>Mittetulundusühingute terrorismi eesmärgil kuritarvitamise kindlakstegemiseks, ennetamiseks ja takistamiseks on mitmesuguseid erinevaid lähenemisviise</w:t>
      </w:r>
      <w:r w:rsidRPr="00D032BE">
        <w:t xml:space="preserve">. </w:t>
      </w:r>
      <w:r w:rsidRPr="00D032BE">
        <w:rPr>
          <w:szCs w:val="24"/>
        </w:rPr>
        <w:t>Tõhusaks lähenemisviisiks on siiski selline, mis hõlmab järgmist nelja elementi</w:t>
      </w:r>
      <w:r w:rsidRPr="00D032BE">
        <w:t xml:space="preserve">: a) </w:t>
      </w:r>
      <w:r w:rsidRPr="00D032BE">
        <w:rPr>
          <w:szCs w:val="24"/>
        </w:rPr>
        <w:t>sektori teavitamine</w:t>
      </w:r>
      <w:r w:rsidRPr="00D032BE">
        <w:t xml:space="preserve">, b) </w:t>
      </w:r>
      <w:r w:rsidRPr="00D032BE">
        <w:rPr>
          <w:szCs w:val="24"/>
        </w:rPr>
        <w:t>järelevalve või kontroll</w:t>
      </w:r>
      <w:r w:rsidRPr="00D032BE">
        <w:t xml:space="preserve">, c) </w:t>
      </w:r>
      <w:r w:rsidRPr="00D032BE">
        <w:rPr>
          <w:szCs w:val="24"/>
        </w:rPr>
        <w:t>tõhus uurimistegevus ja teabe kogumine ja</w:t>
      </w:r>
      <w:r w:rsidRPr="00D032BE">
        <w:t xml:space="preserve"> d) </w:t>
      </w:r>
      <w:r w:rsidRPr="00D032BE">
        <w:rPr>
          <w:szCs w:val="24"/>
        </w:rPr>
        <w:t>tõhusad mehhanismid rahvusvaheliseks koostööks. Järgmised meetmed kujutavad endast konkreetseid samme, mida riigid peaksid iga elemendiga seoses astuma, et kaitsta oma mittetulundusühinguid terrorismi rahastamise eesmärgil kuritarvitamise eest</w:t>
      </w:r>
      <w:r w:rsidRPr="00D032BE">
        <w:t>.</w:t>
      </w:r>
    </w:p>
    <w:p w:rsidR="00A35E9F" w:rsidRPr="00D032BE" w:rsidRDefault="00A35E9F" w:rsidP="00D032BE">
      <w:pPr>
        <w:pStyle w:val="Kehatekstloend"/>
      </w:pPr>
      <w:r>
        <w:t>,</w:t>
      </w:r>
    </w:p>
    <w:p w:rsidR="00D032BE" w:rsidRPr="00D032BE" w:rsidRDefault="00D032BE" w:rsidP="00D032BE">
      <w:pPr>
        <w:pStyle w:val="a-thtloend"/>
      </w:pPr>
      <w:r w:rsidRPr="00D032BE">
        <w:t xml:space="preserve">a) </w:t>
      </w:r>
      <w:r w:rsidRPr="00D032BE">
        <w:tab/>
      </w:r>
      <w:r w:rsidRPr="00D032BE">
        <w:rPr>
          <w:bCs/>
          <w:iCs/>
          <w:szCs w:val="24"/>
        </w:rPr>
        <w:t>Mittetulundusühingute teavitamine terrorismi rahastamise probleemidest</w:t>
      </w:r>
    </w:p>
    <w:p w:rsidR="00D032BE" w:rsidRPr="00D032BE" w:rsidRDefault="00D032BE" w:rsidP="00D032BE">
      <w:pPr>
        <w:pStyle w:val="i-thtloeng"/>
      </w:pPr>
      <w:r w:rsidRPr="00D032BE">
        <w:t xml:space="preserve">i) </w:t>
      </w:r>
      <w:r w:rsidRPr="00D032BE">
        <w:tab/>
      </w:r>
      <w:r w:rsidRPr="00D032BE">
        <w:rPr>
          <w:szCs w:val="24"/>
        </w:rPr>
        <w:t>Riigid peaksid kehtestama selged reeglid kõikide mittetulundusühingute haldamise ja juhtimise läbipaistvuse, usaldusväärsuse ja sellega seotud üldsuse usalduse suurendamiseks</w:t>
      </w:r>
      <w:r w:rsidRPr="00D032BE">
        <w:t>.</w:t>
      </w:r>
    </w:p>
    <w:p w:rsidR="00D032BE" w:rsidRPr="00D032BE" w:rsidRDefault="00D032BE" w:rsidP="00D032BE">
      <w:pPr>
        <w:pStyle w:val="i-thtloeng"/>
      </w:pPr>
      <w:proofErr w:type="spellStart"/>
      <w:r w:rsidRPr="00D032BE">
        <w:t>ii</w:t>
      </w:r>
      <w:proofErr w:type="spellEnd"/>
      <w:r w:rsidRPr="00D032BE">
        <w:t xml:space="preserve">) </w:t>
      </w:r>
      <w:r w:rsidRPr="00D032BE">
        <w:tab/>
      </w:r>
      <w:r w:rsidRPr="00D032BE">
        <w:rPr>
          <w:szCs w:val="24"/>
        </w:rPr>
        <w:t>Riigid peaksid soodustama või ellu viima teavitusprogramme, et suurendada mittetulundusühingute teadlikkust mittetulundusühingute vastuvõtlikkusest terroristide poolt</w:t>
      </w:r>
      <w:r w:rsidRPr="00D032BE">
        <w:t xml:space="preserve"> </w:t>
      </w:r>
      <w:r w:rsidRPr="00D032BE">
        <w:rPr>
          <w:szCs w:val="24"/>
        </w:rPr>
        <w:t>kuritarvitamise ja terrorismi rahastamise ohtude suhtes ning meetmetest, mida mittetulundusühingud saavad võtta enda kaitsmiseks sellise kuritarvituse eest</w:t>
      </w:r>
      <w:r w:rsidRPr="00D032BE">
        <w:t>.</w:t>
      </w:r>
    </w:p>
    <w:p w:rsidR="00D032BE" w:rsidRPr="00D032BE" w:rsidRDefault="00D032BE" w:rsidP="00D032BE">
      <w:pPr>
        <w:pStyle w:val="i-thtloeng"/>
      </w:pPr>
      <w:proofErr w:type="spellStart"/>
      <w:r w:rsidRPr="00D032BE">
        <w:lastRenderedPageBreak/>
        <w:t>iii</w:t>
      </w:r>
      <w:proofErr w:type="spellEnd"/>
      <w:r w:rsidRPr="00D032BE">
        <w:t xml:space="preserve">) </w:t>
      </w:r>
      <w:r w:rsidRPr="00D032BE">
        <w:rPr>
          <w:szCs w:val="24"/>
        </w:rPr>
        <w:t>Riigid peaksid tegema mittetulundusühingutega koostööd, et välja töötada ja täiustada parimaid tavasid terrorismi rahastamise ohtude ja vastuvõtlikkuse likvideerimiseks ning seega sektori kaitsmiseks terroristide poolt kuritarvitamise eest</w:t>
      </w:r>
      <w:r w:rsidRPr="00D032BE">
        <w:t>.</w:t>
      </w:r>
    </w:p>
    <w:p w:rsidR="00D032BE" w:rsidRPr="00D032BE" w:rsidRDefault="00D032BE" w:rsidP="00D032BE">
      <w:pPr>
        <w:pStyle w:val="i-thtloeng"/>
      </w:pPr>
      <w:proofErr w:type="spellStart"/>
      <w:r w:rsidRPr="00D032BE">
        <w:t>iv</w:t>
      </w:r>
      <w:proofErr w:type="spellEnd"/>
      <w:r w:rsidRPr="00D032BE">
        <w:t xml:space="preserve">) </w:t>
      </w:r>
      <w:r w:rsidRPr="00D032BE">
        <w:tab/>
      </w:r>
      <w:r w:rsidRPr="00D032BE">
        <w:rPr>
          <w:szCs w:val="24"/>
        </w:rPr>
        <w:t>Riigid peaksid soovitama mittetulundusühingutel teostada võimaluse korral tehinguid reguleeritud rahanduskanalite kaudu, pidades silmas rahandussektorite erinevat suutlikkust eri riikides ja erinevates pakiliste heategevuslike ja humanitaarprobleemide valdkondades</w:t>
      </w:r>
      <w:r w:rsidRPr="00D032BE">
        <w:t>.</w:t>
      </w:r>
    </w:p>
    <w:p w:rsidR="00D032BE" w:rsidRPr="00D032BE" w:rsidRDefault="00D032BE" w:rsidP="00D032BE">
      <w:pPr>
        <w:pStyle w:val="a-thtloend"/>
      </w:pPr>
      <w:r w:rsidRPr="00D032BE">
        <w:t xml:space="preserve">b) </w:t>
      </w:r>
      <w:r w:rsidRPr="00D032BE">
        <w:tab/>
        <w:t xml:space="preserve">Mittetulundusühingute järelevalve või kontroll </w:t>
      </w:r>
    </w:p>
    <w:p w:rsidR="00D032BE" w:rsidRPr="00D032BE" w:rsidRDefault="00D032BE" w:rsidP="00D032BE">
      <w:pPr>
        <w:pStyle w:val="a-thtloend"/>
        <w:ind w:firstLine="1"/>
      </w:pPr>
      <w:r w:rsidRPr="00D032BE">
        <w:rPr>
          <w:szCs w:val="24"/>
        </w:rPr>
        <w:t xml:space="preserve">Riigid peaksid </w:t>
      </w:r>
      <w:r w:rsidR="00E5008C">
        <w:rPr>
          <w:szCs w:val="24"/>
        </w:rPr>
        <w:t>rakendama</w:t>
      </w:r>
      <w:r w:rsidRPr="00D032BE">
        <w:rPr>
          <w:szCs w:val="24"/>
        </w:rPr>
        <w:t xml:space="preserve"> meetmeid oma mittetulundusühingute tõhusa järelevalve või kontrolli edendamiseks</w:t>
      </w:r>
      <w:r w:rsidRPr="00D032BE">
        <w:t xml:space="preserve">. </w:t>
      </w:r>
      <w:r w:rsidRPr="00D032BE">
        <w:rPr>
          <w:szCs w:val="24"/>
        </w:rPr>
        <w:t>Riigid peaksid olema praktikas suutelised tõendama järgmiste standardite</w:t>
      </w:r>
      <w:r w:rsidRPr="00D032BE">
        <w:t xml:space="preserve"> </w:t>
      </w:r>
      <w:r w:rsidRPr="00D032BE">
        <w:rPr>
          <w:szCs w:val="24"/>
        </w:rPr>
        <w:t>kohaldamist sellistele mittetulundusühingutele, mis moodustavad</w:t>
      </w:r>
      <w:r w:rsidRPr="00D032BE">
        <w:t xml:space="preserve"> 1) </w:t>
      </w:r>
      <w:r w:rsidRPr="00D032BE">
        <w:rPr>
          <w:szCs w:val="24"/>
        </w:rPr>
        <w:t xml:space="preserve">olulise osa sektori kontrolli all olevatest rahalistest vahenditest ja </w:t>
      </w:r>
      <w:r w:rsidRPr="00D032BE">
        <w:t xml:space="preserve">2) </w:t>
      </w:r>
      <w:r w:rsidRPr="00D032BE">
        <w:rPr>
          <w:szCs w:val="24"/>
        </w:rPr>
        <w:t>olulise osa sektori rahvusvahelisest tegevusest</w:t>
      </w:r>
      <w:r w:rsidRPr="00D032BE">
        <w:t>.</w:t>
      </w:r>
    </w:p>
    <w:p w:rsidR="00D032BE" w:rsidRPr="00D032BE" w:rsidRDefault="00D032BE" w:rsidP="00D032BE">
      <w:pPr>
        <w:pStyle w:val="i-thtloeng"/>
      </w:pPr>
      <w:r w:rsidRPr="00D032BE">
        <w:t xml:space="preserve">i) </w:t>
      </w:r>
      <w:r w:rsidRPr="00D032BE">
        <w:tab/>
      </w:r>
      <w:r w:rsidRPr="00D032BE">
        <w:rPr>
          <w:szCs w:val="24"/>
        </w:rPr>
        <w:t>Mittetulundusühingud peaksid säilitama andmeid</w:t>
      </w:r>
      <w:r w:rsidRPr="00D032BE">
        <w:t xml:space="preserve">: 1) </w:t>
      </w:r>
      <w:r w:rsidRPr="00D032BE">
        <w:rPr>
          <w:szCs w:val="24"/>
        </w:rPr>
        <w:t>oma deklareeritud tegevuse eesmärkide ja</w:t>
      </w:r>
      <w:r w:rsidRPr="00D032BE">
        <w:t xml:space="preserve"> 2) </w:t>
      </w:r>
      <w:r w:rsidRPr="00D032BE">
        <w:rPr>
          <w:szCs w:val="24"/>
        </w:rPr>
        <w:t xml:space="preserve">nende tegevust </w:t>
      </w:r>
      <w:proofErr w:type="spellStart"/>
      <w:r w:rsidRPr="00D032BE">
        <w:rPr>
          <w:szCs w:val="24"/>
        </w:rPr>
        <w:t>omava(te</w:t>
      </w:r>
      <w:proofErr w:type="spellEnd"/>
      <w:r w:rsidRPr="00D032BE">
        <w:rPr>
          <w:szCs w:val="24"/>
        </w:rPr>
        <w:t xml:space="preserve">), </w:t>
      </w:r>
      <w:proofErr w:type="spellStart"/>
      <w:r w:rsidRPr="00D032BE">
        <w:rPr>
          <w:szCs w:val="24"/>
        </w:rPr>
        <w:t>kontrolliva(te</w:t>
      </w:r>
      <w:proofErr w:type="spellEnd"/>
      <w:r w:rsidRPr="00D032BE">
        <w:rPr>
          <w:szCs w:val="24"/>
        </w:rPr>
        <w:t xml:space="preserve">) või </w:t>
      </w:r>
      <w:proofErr w:type="spellStart"/>
      <w:r w:rsidRPr="00D032BE">
        <w:rPr>
          <w:szCs w:val="24"/>
        </w:rPr>
        <w:t>juhtiva(te</w:t>
      </w:r>
      <w:proofErr w:type="spellEnd"/>
      <w:r w:rsidRPr="00D032BE">
        <w:rPr>
          <w:szCs w:val="24"/>
        </w:rPr>
        <w:t xml:space="preserve">) </w:t>
      </w:r>
      <w:proofErr w:type="spellStart"/>
      <w:r w:rsidRPr="00D032BE">
        <w:rPr>
          <w:szCs w:val="24"/>
        </w:rPr>
        <w:t>isiku(te</w:t>
      </w:r>
      <w:proofErr w:type="spellEnd"/>
      <w:r w:rsidRPr="00D032BE">
        <w:rPr>
          <w:szCs w:val="24"/>
        </w:rPr>
        <w:t>), kaasa arvatud vanemametnike, juhatuse liikmete ja volinike kohta. See teave peaks olema avalikkusele kättesaadav kas mittetulundusühingu enda või asjakohaste ametiasutuste kaudu</w:t>
      </w:r>
      <w:r w:rsidRPr="00D032BE">
        <w:t>.</w:t>
      </w:r>
    </w:p>
    <w:p w:rsidR="00D032BE" w:rsidRPr="00D032BE" w:rsidRDefault="00D032BE" w:rsidP="00D032BE">
      <w:pPr>
        <w:pStyle w:val="i-thtloeng"/>
      </w:pPr>
      <w:proofErr w:type="spellStart"/>
      <w:r w:rsidRPr="00D032BE">
        <w:t>ii</w:t>
      </w:r>
      <w:proofErr w:type="spellEnd"/>
      <w:r w:rsidRPr="00D032BE">
        <w:t xml:space="preserve">) </w:t>
      </w:r>
      <w:r w:rsidRPr="00D032BE">
        <w:tab/>
      </w:r>
      <w:r w:rsidRPr="00D032BE">
        <w:rPr>
          <w:szCs w:val="24"/>
        </w:rPr>
        <w:t>Mittetulundusühingud peaksid avaldama iga-aastaseid raamatupidamisaruandeid, milles on esitatud tulude ja kulude üksikasjalik liigendus</w:t>
      </w:r>
      <w:r w:rsidRPr="00D032BE">
        <w:t>.</w:t>
      </w:r>
    </w:p>
    <w:p w:rsidR="00D032BE" w:rsidRPr="00D032BE" w:rsidRDefault="00D032BE" w:rsidP="00D032BE">
      <w:pPr>
        <w:pStyle w:val="i-thtloeng"/>
      </w:pPr>
      <w:proofErr w:type="spellStart"/>
      <w:r w:rsidRPr="00D032BE">
        <w:t>iii</w:t>
      </w:r>
      <w:proofErr w:type="spellEnd"/>
      <w:r w:rsidRPr="00D032BE">
        <w:t>)</w:t>
      </w:r>
      <w:r w:rsidRPr="00D032BE">
        <w:tab/>
      </w:r>
      <w:r w:rsidRPr="00D032BE">
        <w:rPr>
          <w:szCs w:val="24"/>
        </w:rPr>
        <w:t>Mittetulundusühingud peaksid olema litsentseeritud või registreeritud. See teave peaks olema kättesaadav pädevatele asutustele</w:t>
      </w:r>
      <w:r w:rsidRPr="00D032BE">
        <w:t>.</w:t>
      </w:r>
      <w:r w:rsidRPr="00D032BE">
        <w:rPr>
          <w:rStyle w:val="Allmrkuseviide"/>
        </w:rPr>
        <w:footnoteReference w:id="23"/>
      </w:r>
    </w:p>
    <w:p w:rsidR="00D032BE" w:rsidRPr="00D032BE" w:rsidRDefault="00D032BE" w:rsidP="00D032BE">
      <w:pPr>
        <w:pStyle w:val="i-thtloeng"/>
      </w:pPr>
      <w:proofErr w:type="spellStart"/>
      <w:r w:rsidRPr="00D032BE">
        <w:t>iv</w:t>
      </w:r>
      <w:proofErr w:type="spellEnd"/>
      <w:r w:rsidRPr="00D032BE">
        <w:t xml:space="preserve">) </w:t>
      </w:r>
      <w:r w:rsidRPr="00D032BE">
        <w:tab/>
      </w:r>
      <w:r w:rsidRPr="00D032BE">
        <w:rPr>
          <w:szCs w:val="24"/>
        </w:rPr>
        <w:t>Mittetulundusühingud peaksid rakendama piisavaid kontrollimeetmeid, et tagada kõigi rahaliste vahendite täielik arvestus ja kulutamine viisil, mis on kooskõlas mittetulundusühingu deklareeritud tegevuse eesmärkidega</w:t>
      </w:r>
      <w:r w:rsidRPr="00D032BE">
        <w:t>.</w:t>
      </w:r>
    </w:p>
    <w:p w:rsidR="00D032BE" w:rsidRPr="00D032BE" w:rsidRDefault="00D032BE" w:rsidP="00D032BE">
      <w:pPr>
        <w:pStyle w:val="i-thtloeng"/>
      </w:pPr>
      <w:r w:rsidRPr="00D032BE">
        <w:t xml:space="preserve">v) </w:t>
      </w:r>
      <w:r w:rsidRPr="00D032BE">
        <w:tab/>
      </w:r>
      <w:r w:rsidRPr="00D032BE">
        <w:rPr>
          <w:szCs w:val="24"/>
        </w:rPr>
        <w:t>Mittetulundusühingud peaksid järgima nn „tunne maksesaajaid ja mittetulunduslikke partnerorganisatsioone”</w:t>
      </w:r>
      <w:r w:rsidRPr="00D032BE">
        <w:t xml:space="preserve"> </w:t>
      </w:r>
      <w:r w:rsidRPr="00D032BE">
        <w:rPr>
          <w:szCs w:val="24"/>
        </w:rPr>
        <w:t xml:space="preserve">reeglit, see tähendab, et mittetulundusühingud peaksid tegema jõupingutusi, et tuvastada maksesaajate ja mittetulunduslike </w:t>
      </w:r>
      <w:r w:rsidRPr="00D032BE">
        <w:rPr>
          <w:szCs w:val="24"/>
        </w:rPr>
        <w:lastRenderedPageBreak/>
        <w:t>partnerorganisatsioonide isikusamasust ning kontrollida nende tausta. Mittetulundusühingud peaksid tegema ka jõupingutusi oma oluliste annetajate isikusamasuse dokumenteerimiseks ja annetajate konfidentsiaalsuse tagamiseks</w:t>
      </w:r>
      <w:r w:rsidRPr="00D032BE">
        <w:t>.</w:t>
      </w:r>
    </w:p>
    <w:p w:rsidR="00D032BE" w:rsidRPr="00D032BE" w:rsidRDefault="00D032BE" w:rsidP="00D032BE">
      <w:pPr>
        <w:pStyle w:val="i-thtloeng"/>
      </w:pPr>
      <w:proofErr w:type="spellStart"/>
      <w:r w:rsidRPr="00D032BE">
        <w:t>vi</w:t>
      </w:r>
      <w:proofErr w:type="spellEnd"/>
      <w:r w:rsidRPr="00D032BE">
        <w:t>)</w:t>
      </w:r>
      <w:r w:rsidRPr="00D032BE">
        <w:tab/>
      </w:r>
      <w:r w:rsidRPr="00D032BE">
        <w:rPr>
          <w:szCs w:val="24"/>
        </w:rPr>
        <w:t>Mittetulundusühingud peaksid säilitama vähemalt viie aasta jooksul ja tegema</w:t>
      </w:r>
      <w:r w:rsidRPr="00D032BE">
        <w:t xml:space="preserve"> </w:t>
      </w:r>
      <w:r w:rsidRPr="00D032BE">
        <w:rPr>
          <w:szCs w:val="24"/>
        </w:rPr>
        <w:t>pädevatele asutustele asjakohaste volituste korral kättesaadavaks riigisiseste ja rahvusvaheliste tehingute andmed, mis on piisavalt üksikasjalikud, et kinnitada rahaliste vahendite kulutamist vastavalt ühingu eesmärkidele</w:t>
      </w:r>
      <w:r w:rsidRPr="00D032BE">
        <w:t xml:space="preserve">. </w:t>
      </w:r>
      <w:r w:rsidRPr="00D032BE">
        <w:rPr>
          <w:szCs w:val="24"/>
        </w:rPr>
        <w:t xml:space="preserve">See kehtib ka eespool alapunktides i ja </w:t>
      </w:r>
      <w:proofErr w:type="spellStart"/>
      <w:r w:rsidRPr="00D032BE">
        <w:rPr>
          <w:szCs w:val="24"/>
        </w:rPr>
        <w:t>ii</w:t>
      </w:r>
      <w:proofErr w:type="spellEnd"/>
      <w:r w:rsidRPr="00D032BE">
        <w:rPr>
          <w:szCs w:val="24"/>
        </w:rPr>
        <w:t xml:space="preserve"> nimetatud teabe kohta</w:t>
      </w:r>
      <w:r w:rsidRPr="00D032BE">
        <w:t>.</w:t>
      </w:r>
    </w:p>
    <w:p w:rsidR="00D032BE" w:rsidRPr="00D032BE" w:rsidRDefault="00D032BE" w:rsidP="00D032BE">
      <w:pPr>
        <w:pStyle w:val="i-thtloeng"/>
      </w:pPr>
      <w:r w:rsidRPr="00D032BE">
        <w:t>vii)</w:t>
      </w:r>
      <w:r w:rsidRPr="00D032BE">
        <w:tab/>
      </w:r>
      <w:r w:rsidRPr="00D032BE">
        <w:rPr>
          <w:szCs w:val="24"/>
        </w:rPr>
        <w:t>Asjakohased ametiasutused peaksid kontrollima, kas mittetulundusühingud järgivad käesoleva soovituse nõudeid</w:t>
      </w:r>
      <w:r w:rsidRPr="00D032BE">
        <w:rPr>
          <w:rStyle w:val="Allmrkuseviide"/>
        </w:rPr>
        <w:footnoteReference w:id="24"/>
      </w:r>
      <w:r w:rsidRPr="00D032BE">
        <w:t xml:space="preserve">. </w:t>
      </w:r>
      <w:r w:rsidRPr="00D032BE">
        <w:rPr>
          <w:szCs w:val="24"/>
        </w:rPr>
        <w:t xml:space="preserve">Asjakohased ametiasutused peaksid olema suutelised </w:t>
      </w:r>
      <w:r w:rsidR="00C62A36">
        <w:rPr>
          <w:szCs w:val="24"/>
        </w:rPr>
        <w:t>rakendama</w:t>
      </w:r>
      <w:r w:rsidR="00C62A36" w:rsidRPr="00D032BE">
        <w:rPr>
          <w:szCs w:val="24"/>
        </w:rPr>
        <w:t xml:space="preserve"> </w:t>
      </w:r>
      <w:r w:rsidRPr="00D032BE">
        <w:rPr>
          <w:szCs w:val="24"/>
        </w:rPr>
        <w:t>tõhusaid, proportsionaalseid ja hoiatavaid karistusi mittetulundusühingute endi või nende mittetulundusühingute nimel tegutsevate isikute asjaomaste rikkumiste eest</w:t>
      </w:r>
      <w:r w:rsidRPr="00D032BE">
        <w:rPr>
          <w:rStyle w:val="Allmrkuseviide"/>
        </w:rPr>
        <w:footnoteReference w:id="25"/>
      </w:r>
      <w:r w:rsidRPr="00D032BE">
        <w:t>.</w:t>
      </w:r>
    </w:p>
    <w:p w:rsidR="00D032BE" w:rsidRPr="00D032BE" w:rsidRDefault="00D032BE" w:rsidP="00D032BE">
      <w:pPr>
        <w:pStyle w:val="a-thtloend"/>
      </w:pPr>
      <w:r w:rsidRPr="00D032BE">
        <w:t xml:space="preserve">c) </w:t>
      </w:r>
      <w:r w:rsidRPr="00D032BE">
        <w:tab/>
        <w:t>Teabe kogumine ja uurimistegevus</w:t>
      </w:r>
    </w:p>
    <w:p w:rsidR="00D032BE" w:rsidRPr="00D032BE" w:rsidRDefault="00D032BE" w:rsidP="00D032BE">
      <w:pPr>
        <w:pStyle w:val="i-thtloeng"/>
      </w:pPr>
      <w:r w:rsidRPr="00D032BE">
        <w:t xml:space="preserve">i) </w:t>
      </w:r>
      <w:r w:rsidRPr="00D032BE">
        <w:tab/>
        <w:t xml:space="preserve">Riigid peaksid tagama võimalikult </w:t>
      </w:r>
      <w:r w:rsidRPr="00D032BE">
        <w:rPr>
          <w:szCs w:val="24"/>
        </w:rPr>
        <w:t>ulatusliku tõhusa koostöö, kooskõlastamise ja teabevahetuse kõigi tasandite asjakohaste asutuste või mittetulundusühingute kohta olulist teavet omavate organisatsioonide vahel</w:t>
      </w:r>
      <w:r w:rsidRPr="00D032BE">
        <w:t>.</w:t>
      </w:r>
    </w:p>
    <w:p w:rsidR="00D032BE" w:rsidRPr="00D032BE" w:rsidRDefault="00D032BE" w:rsidP="00D032BE">
      <w:pPr>
        <w:pStyle w:val="i-thtloeng"/>
      </w:pPr>
      <w:proofErr w:type="spellStart"/>
      <w:r w:rsidRPr="00D032BE">
        <w:t>ii</w:t>
      </w:r>
      <w:proofErr w:type="spellEnd"/>
      <w:r w:rsidRPr="00D032BE">
        <w:t xml:space="preserve">) </w:t>
      </w:r>
      <w:r w:rsidRPr="00D032BE">
        <w:tab/>
      </w:r>
      <w:r w:rsidRPr="00D032BE">
        <w:rPr>
          <w:szCs w:val="24"/>
        </w:rPr>
        <w:t>Riikidel peaksid olema uurimisalased eriteadmised ja pädevus uurida selliseid</w:t>
      </w:r>
      <w:r w:rsidRPr="00D032BE">
        <w:t xml:space="preserve"> </w:t>
      </w:r>
      <w:r w:rsidRPr="00D032BE">
        <w:rPr>
          <w:szCs w:val="24"/>
        </w:rPr>
        <w:t>mittetulundusühinguid, keda kahtlustatakse selles, et neid kasutatakse terrorismiks või terroristlike ühenduste poolt, või selles, et nad toetavad aktiivselt terrorismi või terroristlikke ühendusi</w:t>
      </w:r>
      <w:r w:rsidRPr="00D032BE">
        <w:t>.</w:t>
      </w:r>
    </w:p>
    <w:p w:rsidR="00D032BE" w:rsidRPr="00D032BE" w:rsidRDefault="00D032BE" w:rsidP="00D032BE">
      <w:pPr>
        <w:pStyle w:val="i-thtloeng"/>
      </w:pPr>
      <w:proofErr w:type="spellStart"/>
      <w:r w:rsidRPr="00D032BE">
        <w:t>iii</w:t>
      </w:r>
      <w:proofErr w:type="spellEnd"/>
      <w:r w:rsidRPr="00D032BE">
        <w:t>)</w:t>
      </w:r>
      <w:r w:rsidRPr="00D032BE">
        <w:tab/>
      </w:r>
      <w:r w:rsidRPr="00D032BE">
        <w:rPr>
          <w:szCs w:val="24"/>
        </w:rPr>
        <w:t>Riigid peaksid tagama, et uurimise käigus saadakse täielik juurdepääs konkreetse mittetulundusühingu haldust ja juhtimist puudutavatele andmetele (kaasa arvatud finants- ja programmiline teave)</w:t>
      </w:r>
      <w:r w:rsidRPr="00D032BE">
        <w:t>.</w:t>
      </w:r>
    </w:p>
    <w:p w:rsidR="00D032BE" w:rsidRPr="00D032BE" w:rsidRDefault="00D032BE" w:rsidP="00D032BE">
      <w:pPr>
        <w:pStyle w:val="i-thtloeng"/>
      </w:pPr>
      <w:proofErr w:type="spellStart"/>
      <w:r w:rsidRPr="00D032BE">
        <w:t>iv</w:t>
      </w:r>
      <w:proofErr w:type="spellEnd"/>
      <w:r w:rsidRPr="00D032BE">
        <w:t xml:space="preserve">) </w:t>
      </w:r>
      <w:r w:rsidRPr="00D032BE">
        <w:tab/>
      </w:r>
      <w:r w:rsidRPr="00D032BE">
        <w:rPr>
          <w:szCs w:val="24"/>
        </w:rPr>
        <w:t xml:space="preserve">Riigid peaksid kehtestama asjakohased mehhanismid tagamaks, et kui kahtlustatakse või on põhjendatud alus kahtlustada, et: 1) konkreetset mittetulundusühingut kasutatakse fassaadina terroristliku ühenduse poolt rahaliste vahendite kogumiseks, 2) </w:t>
      </w:r>
      <w:r w:rsidRPr="00D032BE">
        <w:rPr>
          <w:szCs w:val="24"/>
        </w:rPr>
        <w:lastRenderedPageBreak/>
        <w:t>terrorismi rahastamise kanalina, kaasa arvatud vara blokeerimise meetmetest kõrvalehoidmise eesmärgil, või et 3) konkreetne mittetulundusühing varjab selliste rahaliste vahendite salajast kõrvalesuunamist, mis on kavandatud kasutamiseks seaduslikel eesmärkidel, kuid mida</w:t>
      </w:r>
      <w:r w:rsidRPr="00D032BE">
        <w:t xml:space="preserve"> </w:t>
      </w:r>
      <w:r w:rsidRPr="00D032BE">
        <w:rPr>
          <w:szCs w:val="24"/>
        </w:rPr>
        <w:t>suunatakse kõrvale terroristide või terroristlike ühenduste heaks, tuleb see teave koheselt edastada asjaomastele pädevatele asutustele, et nad saaksid võtta ennetusmeetmeid või algatada uurimise</w:t>
      </w:r>
      <w:r w:rsidRPr="00D032BE">
        <w:t>.</w:t>
      </w:r>
    </w:p>
    <w:p w:rsidR="00D032BE" w:rsidRPr="00D032BE" w:rsidRDefault="00D032BE" w:rsidP="00D032BE">
      <w:pPr>
        <w:pStyle w:val="a-thtloend"/>
      </w:pPr>
      <w:r w:rsidRPr="00D032BE">
        <w:t xml:space="preserve">d) </w:t>
      </w:r>
      <w:r w:rsidRPr="00D032BE">
        <w:tab/>
      </w:r>
      <w:r w:rsidRPr="00D032BE">
        <w:rPr>
          <w:bCs/>
          <w:iCs/>
          <w:szCs w:val="24"/>
        </w:rPr>
        <w:t>Suutlikkus vastata rahvusvahelisele teabenõudele probleemse mittetulundusühingu kohta</w:t>
      </w:r>
    </w:p>
    <w:p w:rsidR="00D032BE" w:rsidRPr="00D032BE" w:rsidRDefault="00D032BE" w:rsidP="00D032BE">
      <w:pPr>
        <w:pStyle w:val="a-thtloend"/>
        <w:ind w:firstLine="1"/>
      </w:pPr>
      <w:r w:rsidRPr="00D032BE">
        <w:rPr>
          <w:szCs w:val="24"/>
        </w:rPr>
        <w:t>Riigid peaksid kooskõlas rahvusvahelist koostööd käsitlevate soovitustega määrama kindlaks asjakohased kontaktpunktid ja protseduurireeglid, et vastata rahvusvahelistele teabenõuetele seoses konkreetsete mittetulundusühingutega, keda kahtlustatakse terrorismi rahastamises või muul viisil terrorismi toetamises</w:t>
      </w:r>
      <w:r w:rsidRPr="00D032BE">
        <w:t>.</w:t>
      </w:r>
    </w:p>
    <w:p w:rsidR="00D032BE" w:rsidRPr="00D032BE" w:rsidRDefault="00D032BE" w:rsidP="00D032BE">
      <w:pPr>
        <w:pStyle w:val="A-pealkiri"/>
      </w:pPr>
      <w:r w:rsidRPr="00D032BE">
        <w:t xml:space="preserve">D. </w:t>
      </w:r>
      <w:r w:rsidRPr="00D032BE">
        <w:tab/>
        <w:t>JÄRELEVALVE, KONTROLL JA UURIMISTEGEVUS</w:t>
      </w:r>
    </w:p>
    <w:p w:rsidR="00D032BE" w:rsidRPr="00D032BE" w:rsidRDefault="00D032BE" w:rsidP="00D032BE">
      <w:pPr>
        <w:pStyle w:val="Kehatekstloend"/>
      </w:pPr>
      <w:r w:rsidRPr="00D032BE">
        <w:t xml:space="preserve">6. </w:t>
      </w:r>
      <w:r w:rsidRPr="00D032BE">
        <w:tab/>
        <w:t>Riigid peaksid tagama oma asjakohastele riigi mittetulundusühingute järelevalve, kontrolli ja uurimise eest vastutavatele asutustele piisavate rahaliste, inim- ja tehniliste ressursside olemasolu.</w:t>
      </w:r>
    </w:p>
    <w:p w:rsidR="00D032BE" w:rsidRPr="00D032BE" w:rsidRDefault="00D032BE" w:rsidP="00D032BE">
      <w:pPr>
        <w:pStyle w:val="Kehatekstloend"/>
      </w:pPr>
    </w:p>
    <w:tbl>
      <w:tblPr>
        <w:tblW w:w="0" w:type="auto"/>
        <w:tblInd w:w="108" w:type="dxa"/>
        <w:tblLook w:val="00A0" w:firstRow="1" w:lastRow="0" w:firstColumn="1" w:lastColumn="0" w:noHBand="0" w:noVBand="0"/>
      </w:tblPr>
      <w:tblGrid>
        <w:gridCol w:w="3254"/>
        <w:gridCol w:w="5880"/>
      </w:tblGrid>
      <w:tr w:rsidR="00D032BE" w:rsidRPr="00D032BE" w:rsidTr="00AD2549">
        <w:tc>
          <w:tcPr>
            <w:tcW w:w="9134" w:type="dxa"/>
            <w:gridSpan w:val="2"/>
          </w:tcPr>
          <w:p w:rsidR="00D032BE" w:rsidRPr="00D032BE" w:rsidRDefault="00B86CDE" w:rsidP="00DF6E88">
            <w:pPr>
              <w:pStyle w:val="Kehatekstloend"/>
              <w:spacing w:line="240" w:lineRule="auto"/>
              <w:ind w:left="0" w:firstLine="0"/>
              <w:rPr>
                <w:rFonts w:ascii="Calibri" w:hAnsi="Calibri" w:cs="Calibri"/>
                <w:b/>
              </w:rPr>
            </w:pPr>
            <w:r w:rsidRPr="00E079EA">
              <w:rPr>
                <w:rFonts w:ascii="Calibri" w:hAnsi="Calibri" w:cs="Calibri"/>
                <w:b/>
                <w:color w:val="348093"/>
              </w:rPr>
              <w:t>Käesolevas soovituses kasutatakse järgmisi mõisteid:</w:t>
            </w:r>
          </w:p>
        </w:tc>
      </w:tr>
      <w:tr w:rsidR="00D032BE" w:rsidRPr="00D032BE" w:rsidTr="00AD2549">
        <w:tc>
          <w:tcPr>
            <w:tcW w:w="3254" w:type="dxa"/>
          </w:tcPr>
          <w:p w:rsidR="00D032BE" w:rsidRPr="00D032BE" w:rsidRDefault="00D032BE" w:rsidP="00DF6E88">
            <w:pPr>
              <w:pStyle w:val="Kehatekstloend"/>
              <w:spacing w:line="240" w:lineRule="auto"/>
              <w:ind w:left="0" w:firstLine="0"/>
              <w:rPr>
                <w:rFonts w:ascii="Calibri" w:hAnsi="Calibri" w:cs="Calibri"/>
                <w:b/>
              </w:rPr>
            </w:pPr>
            <w:r w:rsidRPr="00D032BE">
              <w:rPr>
                <w:rFonts w:ascii="Calibri" w:hAnsi="Calibri" w:cs="Calibri"/>
                <w:b/>
              </w:rPr>
              <w:t xml:space="preserve">Asjakohased asutused </w:t>
            </w:r>
          </w:p>
        </w:tc>
        <w:tc>
          <w:tcPr>
            <w:tcW w:w="5880" w:type="dxa"/>
          </w:tcPr>
          <w:p w:rsidR="00D032BE" w:rsidRPr="00D032BE" w:rsidRDefault="00D032BE" w:rsidP="00DF6E88">
            <w:pPr>
              <w:pStyle w:val="Kehatekstloend"/>
              <w:spacing w:line="240" w:lineRule="auto"/>
              <w:ind w:left="0" w:firstLine="0"/>
            </w:pPr>
            <w:r w:rsidRPr="00D032BE">
              <w:t>pädevad asutused, sh akrediteerimisasutused ja isereguleeruvad organisatsioonid.</w:t>
            </w:r>
          </w:p>
        </w:tc>
      </w:tr>
      <w:tr w:rsidR="00AD2549" w:rsidRPr="003371E6" w:rsidTr="00AD2549">
        <w:tc>
          <w:tcPr>
            <w:tcW w:w="3254" w:type="dxa"/>
          </w:tcPr>
          <w:p w:rsidR="00AD2549" w:rsidRPr="00D032BE" w:rsidRDefault="00AD2549" w:rsidP="00DF6E88">
            <w:pPr>
              <w:pStyle w:val="Kehatekstloend"/>
              <w:spacing w:line="240" w:lineRule="auto"/>
              <w:ind w:left="0" w:firstLine="0"/>
              <w:rPr>
                <w:rFonts w:ascii="Calibri" w:hAnsi="Calibri" w:cs="Calibri"/>
                <w:b/>
              </w:rPr>
            </w:pPr>
            <w:r w:rsidRPr="00D032BE">
              <w:rPr>
                <w:rFonts w:ascii="Calibri" w:hAnsi="Calibri" w:cs="Calibri"/>
                <w:b/>
              </w:rPr>
              <w:t xml:space="preserve">Maksesaajad </w:t>
            </w:r>
          </w:p>
        </w:tc>
        <w:tc>
          <w:tcPr>
            <w:tcW w:w="5880" w:type="dxa"/>
          </w:tcPr>
          <w:p w:rsidR="00AD2549" w:rsidRPr="00D032BE" w:rsidRDefault="00AD2549" w:rsidP="00DF6E88">
            <w:pPr>
              <w:pStyle w:val="Kehatekstloend"/>
              <w:spacing w:line="240" w:lineRule="auto"/>
              <w:ind w:left="0" w:firstLine="0"/>
            </w:pPr>
            <w:r w:rsidRPr="00D032BE">
              <w:rPr>
                <w:szCs w:val="24"/>
              </w:rPr>
              <w:t>füüsilised isikud või füüsiliste isikute rühmad, kes saavad mittetulundusühingu teenuste kaudu heategevuslikku, humanitaar- või muud liiki abi</w:t>
            </w:r>
            <w:r w:rsidRPr="00D032BE">
              <w:t>.</w:t>
            </w:r>
          </w:p>
        </w:tc>
      </w:tr>
      <w:tr w:rsidR="00D032BE" w:rsidRPr="00D032BE" w:rsidTr="00AD2549">
        <w:tc>
          <w:tcPr>
            <w:tcW w:w="3254" w:type="dxa"/>
          </w:tcPr>
          <w:p w:rsidR="00D032BE" w:rsidRPr="00D032BE" w:rsidRDefault="00D032BE" w:rsidP="00DF6E88">
            <w:pPr>
              <w:pStyle w:val="Kehatekstloend"/>
              <w:spacing w:line="240" w:lineRule="auto"/>
              <w:ind w:left="0" w:firstLine="0"/>
              <w:rPr>
                <w:rFonts w:ascii="Calibri" w:hAnsi="Calibri" w:cs="Calibri"/>
                <w:b/>
              </w:rPr>
            </w:pPr>
            <w:r w:rsidRPr="00D032BE">
              <w:rPr>
                <w:rFonts w:ascii="Calibri" w:hAnsi="Calibri" w:cs="Calibri"/>
                <w:b/>
              </w:rPr>
              <w:t xml:space="preserve">Mittetulunduslikud partnerorganisatsioonid </w:t>
            </w:r>
          </w:p>
        </w:tc>
        <w:tc>
          <w:tcPr>
            <w:tcW w:w="5880" w:type="dxa"/>
          </w:tcPr>
          <w:p w:rsidR="00D032BE" w:rsidRPr="00D032BE" w:rsidRDefault="00D032BE" w:rsidP="00DF6E88">
            <w:pPr>
              <w:pStyle w:val="Kehatekstloend"/>
              <w:spacing w:line="240" w:lineRule="auto"/>
              <w:ind w:left="0" w:firstLine="0"/>
            </w:pPr>
            <w:r w:rsidRPr="00D032BE">
              <w:t>rahvusvaheliste mittetulundusühingute välismaised haruorganisatsioonid.</w:t>
            </w:r>
          </w:p>
        </w:tc>
      </w:tr>
      <w:tr w:rsidR="00D032BE" w:rsidRPr="003371E6" w:rsidTr="00AD2549">
        <w:tc>
          <w:tcPr>
            <w:tcW w:w="3254" w:type="dxa"/>
          </w:tcPr>
          <w:p w:rsidR="00D032BE" w:rsidRPr="00D032BE" w:rsidRDefault="00D032BE" w:rsidP="00DF6E88">
            <w:pPr>
              <w:pStyle w:val="Kehatekstloend"/>
              <w:spacing w:line="240" w:lineRule="auto"/>
              <w:ind w:left="0" w:firstLine="0"/>
              <w:rPr>
                <w:rFonts w:ascii="Calibri" w:hAnsi="Calibri" w:cs="Calibri"/>
                <w:b/>
              </w:rPr>
            </w:pPr>
            <w:r w:rsidRPr="00D032BE">
              <w:rPr>
                <w:rFonts w:ascii="Calibri" w:hAnsi="Calibri" w:cs="Calibri"/>
                <w:b/>
              </w:rPr>
              <w:t xml:space="preserve">Mittetulundusühing </w:t>
            </w:r>
          </w:p>
        </w:tc>
        <w:tc>
          <w:tcPr>
            <w:tcW w:w="5880" w:type="dxa"/>
          </w:tcPr>
          <w:p w:rsidR="00D032BE" w:rsidRPr="00D032BE" w:rsidRDefault="00D032BE" w:rsidP="00DF6E88">
            <w:pPr>
              <w:pStyle w:val="Kehatekstloend"/>
              <w:spacing w:line="240" w:lineRule="auto"/>
              <w:ind w:left="0" w:firstLine="0"/>
            </w:pPr>
            <w:r w:rsidRPr="00D032BE">
              <w:rPr>
                <w:szCs w:val="24"/>
              </w:rPr>
              <w:t xml:space="preserve">juriidiline isik või </w:t>
            </w:r>
            <w:r w:rsidR="00DD0067">
              <w:rPr>
                <w:szCs w:val="24"/>
              </w:rPr>
              <w:t xml:space="preserve">lepinguline </w:t>
            </w:r>
            <w:r w:rsidRPr="00D032BE">
              <w:rPr>
                <w:szCs w:val="24"/>
              </w:rPr>
              <w:t>õiguslik üksus või organisatsioon, mis tegeleb peamiselt rahaliste vahendite kogumise või jaotamisega heategevuslikel, religioossetel, kultuurilistel, hariduslikel või sotsiaalsetel eesmärkidel või muud liiki „hea töö” tegemiseks</w:t>
            </w:r>
            <w:r w:rsidRPr="00D032BE">
              <w:t>.</w:t>
            </w:r>
          </w:p>
        </w:tc>
      </w:tr>
    </w:tbl>
    <w:p w:rsidR="00D032BE" w:rsidRPr="00D032BE" w:rsidRDefault="00D032BE" w:rsidP="00D032BE">
      <w:pPr>
        <w:rPr>
          <w:rFonts w:ascii="Cambria" w:hAnsi="Cambria"/>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10 TÕLGENDAV MÄRKUS</w:t>
      </w:r>
    </w:p>
    <w:p w:rsidR="00D032BE" w:rsidRPr="00D032BE" w:rsidRDefault="00D032BE" w:rsidP="00D032BE">
      <w:pPr>
        <w:pStyle w:val="Pealkiri2"/>
      </w:pPr>
      <w:r w:rsidRPr="00D032BE">
        <w:t>(HOOLSUSMEETMED)</w:t>
      </w:r>
    </w:p>
    <w:p w:rsidR="00D032BE" w:rsidRPr="00D032BE" w:rsidRDefault="00D032BE" w:rsidP="00D032BE">
      <w:pPr>
        <w:pStyle w:val="A-pealkiri"/>
      </w:pPr>
      <w:r w:rsidRPr="00D032BE">
        <w:t xml:space="preserve">A. </w:t>
      </w:r>
      <w:r w:rsidRPr="00D032BE">
        <w:tab/>
        <w:t>HOOLSUSMEETMED JA KLIENDILE TEABE ANDMINE</w:t>
      </w:r>
    </w:p>
    <w:p w:rsidR="00D032BE" w:rsidRPr="00D032BE" w:rsidRDefault="00D032BE" w:rsidP="00D032BE">
      <w:pPr>
        <w:pStyle w:val="Kehatekstloend"/>
      </w:pPr>
      <w:r w:rsidRPr="00D032BE">
        <w:t xml:space="preserve">1. </w:t>
      </w:r>
      <w:r w:rsidRPr="00D032BE">
        <w:tab/>
      </w:r>
      <w:r w:rsidRPr="00D032BE">
        <w:rPr>
          <w:szCs w:val="24"/>
        </w:rPr>
        <w:t xml:space="preserve">Kui </w:t>
      </w:r>
      <w:r w:rsidR="006043CB">
        <w:rPr>
          <w:szCs w:val="24"/>
        </w:rPr>
        <w:t>finantsasutus</w:t>
      </w:r>
      <w:r w:rsidRPr="00D032BE">
        <w:rPr>
          <w:szCs w:val="24"/>
        </w:rPr>
        <w:t xml:space="preserve"> kahtlustab kliendisuhte loomisel või jooksul või juhuti tehingute sooritamisel, et tehing on seotud rahapesu või terrorismi rahastamisega, peaks </w:t>
      </w:r>
      <w:r w:rsidR="006043CB">
        <w:rPr>
          <w:szCs w:val="24"/>
        </w:rPr>
        <w:t>finantsasutus</w:t>
      </w:r>
      <w:r w:rsidRPr="00D032BE">
        <w:t>:</w:t>
      </w:r>
    </w:p>
    <w:p w:rsidR="00D032BE" w:rsidRPr="00D032BE" w:rsidRDefault="00D032BE" w:rsidP="00D032BE">
      <w:pPr>
        <w:pStyle w:val="a-thtloend"/>
      </w:pPr>
      <w:r w:rsidRPr="00D032BE">
        <w:t xml:space="preserve">a) </w:t>
      </w:r>
      <w:r w:rsidRPr="00D032BE">
        <w:tab/>
      </w:r>
      <w:r w:rsidRPr="00D032BE">
        <w:rPr>
          <w:szCs w:val="24"/>
        </w:rPr>
        <w:t xml:space="preserve">tavaliselt üritama tuvastada ja kontrollida kliendi </w:t>
      </w:r>
      <w:r w:rsidR="007C417C">
        <w:rPr>
          <w:szCs w:val="24"/>
        </w:rPr>
        <w:t>ning tema</w:t>
      </w:r>
      <w:r w:rsidRPr="00D032BE">
        <w:rPr>
          <w:szCs w:val="24"/>
        </w:rPr>
        <w:t xml:space="preserve"> alalise või ajutise tegeliku kasusaaja isik</w:t>
      </w:r>
      <w:r w:rsidR="00BB6B8B" w:rsidRPr="00D032BE">
        <w:rPr>
          <w:rStyle w:val="Allmrkuseviide"/>
        </w:rPr>
        <w:footnoteReference w:id="26"/>
      </w:r>
      <w:r w:rsidRPr="00D032BE">
        <w:rPr>
          <w:szCs w:val="24"/>
        </w:rPr>
        <w:t>,</w:t>
      </w:r>
      <w:r w:rsidRPr="00D032BE">
        <w:t xml:space="preserve"> </w:t>
      </w:r>
      <w:r w:rsidRPr="00D032BE">
        <w:rPr>
          <w:szCs w:val="24"/>
        </w:rPr>
        <w:t>olenemata ühestki muul juhul kohaldatavast vabastusest või piirmäärast</w:t>
      </w:r>
      <w:r w:rsidRPr="00D032BE">
        <w:t>; ja</w:t>
      </w:r>
    </w:p>
    <w:p w:rsidR="00D032BE" w:rsidRPr="00D032BE" w:rsidRDefault="00D032BE" w:rsidP="00D032BE">
      <w:pPr>
        <w:pStyle w:val="a-thtloend"/>
      </w:pPr>
      <w:r w:rsidRPr="00D032BE">
        <w:t xml:space="preserve">b) </w:t>
      </w:r>
      <w:r w:rsidRPr="00D032BE">
        <w:tab/>
      </w:r>
      <w:r w:rsidRPr="00D032BE">
        <w:rPr>
          <w:szCs w:val="24"/>
        </w:rPr>
        <w:t xml:space="preserve">teatama kahtlastest tehingutest </w:t>
      </w:r>
      <w:r w:rsidR="00D86A5F">
        <w:rPr>
          <w:szCs w:val="24"/>
        </w:rPr>
        <w:t>Rahapesu andmebüroo</w:t>
      </w:r>
      <w:r w:rsidRPr="00D032BE">
        <w:rPr>
          <w:szCs w:val="24"/>
        </w:rPr>
        <w:t>le vastavalt soovitusele</w:t>
      </w:r>
      <w:r w:rsidR="00847867">
        <w:rPr>
          <w:szCs w:val="24"/>
        </w:rPr>
        <w:t xml:space="preserve"> </w:t>
      </w:r>
      <w:r w:rsidRPr="00D032BE">
        <w:t>20.</w:t>
      </w:r>
    </w:p>
    <w:p w:rsidR="00D032BE" w:rsidRPr="00D032BE" w:rsidRDefault="00D032BE" w:rsidP="00D032BE">
      <w:pPr>
        <w:pStyle w:val="Kehatekstloend"/>
      </w:pPr>
      <w:r w:rsidRPr="00D032BE">
        <w:t xml:space="preserve">2. </w:t>
      </w:r>
      <w:r w:rsidRPr="00D032BE">
        <w:tab/>
      </w:r>
      <w:r w:rsidRPr="00D032BE">
        <w:rPr>
          <w:szCs w:val="24"/>
        </w:rPr>
        <w:t>Soovituses</w:t>
      </w:r>
      <w:r w:rsidR="00847867">
        <w:rPr>
          <w:szCs w:val="24"/>
        </w:rPr>
        <w:t xml:space="preserve"> </w:t>
      </w:r>
      <w:r w:rsidRPr="00D032BE">
        <w:rPr>
          <w:szCs w:val="24"/>
        </w:rPr>
        <w:t xml:space="preserve">21 keelatakse </w:t>
      </w:r>
      <w:r w:rsidR="006043CB">
        <w:rPr>
          <w:szCs w:val="24"/>
        </w:rPr>
        <w:t>finantsasutus</w:t>
      </w:r>
      <w:r w:rsidRPr="00D032BE">
        <w:rPr>
          <w:szCs w:val="24"/>
        </w:rPr>
        <w:t xml:space="preserve">tel, nende juhtidel, ametiisikutel ja töötajatel avalikustada asjaolu, et </w:t>
      </w:r>
      <w:r w:rsidR="00D86A5F">
        <w:rPr>
          <w:szCs w:val="24"/>
        </w:rPr>
        <w:t>Rahapesu andmebüroo</w:t>
      </w:r>
      <w:r w:rsidRPr="00D032BE">
        <w:rPr>
          <w:szCs w:val="24"/>
        </w:rPr>
        <w:t xml:space="preserve">le on teatatud kahtlasest tehingust või esitatud sellega seotud teavet. On olemas oht, et kliendile antakse tahtmatult vihje, kui </w:t>
      </w:r>
      <w:r w:rsidR="006043CB">
        <w:rPr>
          <w:szCs w:val="24"/>
        </w:rPr>
        <w:t>finantsasutus</w:t>
      </w:r>
      <w:r w:rsidRPr="00D032BE">
        <w:rPr>
          <w:szCs w:val="24"/>
        </w:rPr>
        <w:t xml:space="preserve"> püüab nendel asjaoludel täita hoolsusmeetmete rakendamise kohustust. Kui klient saab teada kahtlasest tehingust</w:t>
      </w:r>
      <w:r w:rsidRPr="00D032BE">
        <w:t xml:space="preserve"> </w:t>
      </w:r>
      <w:r w:rsidRPr="00D032BE">
        <w:rPr>
          <w:szCs w:val="24"/>
        </w:rPr>
        <w:t xml:space="preserve">teatamisest või uurimisest, võib see kahjustada võimaliku </w:t>
      </w:r>
      <w:r w:rsidR="002A32CF">
        <w:rPr>
          <w:szCs w:val="24"/>
        </w:rPr>
        <w:t>rahapesu</w:t>
      </w:r>
      <w:r w:rsidRPr="00D032BE">
        <w:rPr>
          <w:szCs w:val="24"/>
        </w:rPr>
        <w:t xml:space="preserve"> või terrorismi rahastamise juhtumi edasist uurimist</w:t>
      </w:r>
      <w:r w:rsidRPr="00D032BE">
        <w:t>.</w:t>
      </w:r>
    </w:p>
    <w:p w:rsidR="00D032BE" w:rsidRPr="00D032BE" w:rsidRDefault="00D032BE" w:rsidP="00D032BE">
      <w:pPr>
        <w:pStyle w:val="Kehatekstloend"/>
      </w:pPr>
      <w:r w:rsidRPr="00D032BE">
        <w:t xml:space="preserve">3. </w:t>
      </w:r>
      <w:r w:rsidRPr="00D032BE">
        <w:tab/>
      </w:r>
      <w:r w:rsidRPr="00D032BE">
        <w:rPr>
          <w:szCs w:val="24"/>
        </w:rPr>
        <w:t xml:space="preserve">Kui </w:t>
      </w:r>
      <w:r w:rsidR="006043CB">
        <w:rPr>
          <w:szCs w:val="24"/>
        </w:rPr>
        <w:t>finantsasutus</w:t>
      </w:r>
      <w:r w:rsidRPr="00D032BE">
        <w:rPr>
          <w:szCs w:val="24"/>
        </w:rPr>
        <w:t xml:space="preserve">el tekib kahtlus, et tehing on seotud rahapesu või terrorismi rahastamisega, peaks ta seega arvestama ohtu, et klient saab hoolsusmeetmete rakendamisel sellekohase vihje. Kui </w:t>
      </w:r>
      <w:r w:rsidR="006043CB">
        <w:rPr>
          <w:szCs w:val="24"/>
        </w:rPr>
        <w:t>finantsasutus</w:t>
      </w:r>
      <w:r w:rsidRPr="00D032BE">
        <w:rPr>
          <w:szCs w:val="24"/>
        </w:rPr>
        <w:t>el on põhjust eeldada, et klient</w:t>
      </w:r>
      <w:r w:rsidRPr="00D032BE">
        <w:t xml:space="preserve"> </w:t>
      </w:r>
      <w:r w:rsidRPr="00D032BE">
        <w:rPr>
          <w:szCs w:val="24"/>
        </w:rPr>
        <w:t>või potentsiaalne klient saab hoolsusmeetmete rakendamisel vihje, võib ta otsustada jätta vastav kontroll tegemata ja teatada kahtlastest tehingutest. Asutused peaksid tagama, et nende töötajad on hoolsusmeetmete rakendamisel teadlikud nendest asjaoludest ja arvestavad nendega</w:t>
      </w:r>
      <w:r w:rsidRPr="00D032BE">
        <w:t>.</w:t>
      </w:r>
    </w:p>
    <w:p w:rsidR="00D032BE" w:rsidRPr="00D032BE" w:rsidRDefault="00D032BE" w:rsidP="00D032BE">
      <w:pPr>
        <w:pStyle w:val="A-pealkiri"/>
      </w:pPr>
      <w:r w:rsidRPr="00D032BE">
        <w:t xml:space="preserve">B. </w:t>
      </w:r>
      <w:r w:rsidRPr="00D032BE">
        <w:tab/>
        <w:t>HOOLSUSMEETMED – KLIENDI NIMEL TEGUTSEVAD ISIKUD</w:t>
      </w:r>
    </w:p>
    <w:p w:rsidR="00D032BE" w:rsidRPr="00D032BE" w:rsidRDefault="00D032BE" w:rsidP="00D032BE">
      <w:pPr>
        <w:pStyle w:val="Kehatekstloend"/>
      </w:pPr>
      <w:r w:rsidRPr="00D032BE">
        <w:t xml:space="preserve">4. </w:t>
      </w:r>
      <w:r w:rsidRPr="00D032BE">
        <w:tab/>
        <w:t>Soovituses</w:t>
      </w:r>
      <w:r w:rsidR="00847867">
        <w:t xml:space="preserve"> </w:t>
      </w:r>
      <w:r w:rsidRPr="00D032BE">
        <w:t xml:space="preserve">10 kirjeldatud hoolsusmeetmete a ja b rakendamisel peaksid </w:t>
      </w:r>
      <w:r w:rsidR="006043CB">
        <w:t>finantsasutus</w:t>
      </w:r>
      <w:r w:rsidRPr="00D032BE">
        <w:t xml:space="preserve">ed olema kohustatud kontrollima </w:t>
      </w:r>
      <w:r w:rsidRPr="00D032BE">
        <w:rPr>
          <w:szCs w:val="24"/>
        </w:rPr>
        <w:t>kliendi nimel tegutseva isiku volitusi ja tuvastama tema isikusamasuse</w:t>
      </w:r>
      <w:r w:rsidRPr="00D032BE">
        <w:t>.</w:t>
      </w:r>
    </w:p>
    <w:p w:rsidR="00D032BE" w:rsidRPr="00D032BE" w:rsidRDefault="00D032BE" w:rsidP="00D032BE">
      <w:pPr>
        <w:pStyle w:val="A-pealkiri"/>
      </w:pPr>
      <w:r w:rsidRPr="00D032BE">
        <w:t xml:space="preserve">C. </w:t>
      </w:r>
      <w:r w:rsidRPr="00D032BE">
        <w:tab/>
        <w:t>HOOLSUSMEETMETE RAKENDAMINE JURIIDILISTE ISIKUTE JA ÜKSUSTE SUHTES</w:t>
      </w:r>
    </w:p>
    <w:p w:rsidR="00D032BE" w:rsidRPr="00D032BE" w:rsidRDefault="00D032BE" w:rsidP="00D032BE">
      <w:pPr>
        <w:pStyle w:val="Kehatekstloend"/>
      </w:pPr>
      <w:r w:rsidRPr="00D032BE">
        <w:t xml:space="preserve">5. </w:t>
      </w:r>
      <w:r w:rsidRPr="00D032BE">
        <w:tab/>
        <w:t xml:space="preserve">Hoolsusmeetmete rakendamisel juriidiliste isikute või </w:t>
      </w:r>
      <w:r w:rsidR="00BB6B8B">
        <w:t xml:space="preserve">lepingulise õigusliku </w:t>
      </w:r>
      <w:r w:rsidRPr="00D032BE">
        <w:t>üksuste</w:t>
      </w:r>
      <w:r w:rsidRPr="00D032BE">
        <w:rPr>
          <w:rStyle w:val="Allmrkuseviide"/>
        </w:rPr>
        <w:footnoteReference w:id="27"/>
      </w:r>
      <w:r w:rsidRPr="00D032BE">
        <w:t xml:space="preserve"> suhtes peaksid </w:t>
      </w:r>
      <w:r w:rsidR="006043CB">
        <w:t>finantsasutus</w:t>
      </w:r>
      <w:r w:rsidRPr="00D032BE">
        <w:t xml:space="preserve">ed olema kohustatud </w:t>
      </w:r>
      <w:r w:rsidRPr="00D032BE">
        <w:rPr>
          <w:szCs w:val="24"/>
        </w:rPr>
        <w:t xml:space="preserve">tuvastama kliendi ja </w:t>
      </w:r>
      <w:r w:rsidRPr="00D032BE">
        <w:rPr>
          <w:szCs w:val="24"/>
        </w:rPr>
        <w:lastRenderedPageBreak/>
        <w:t>kontr</w:t>
      </w:r>
      <w:r w:rsidR="00BB6B8B">
        <w:rPr>
          <w:szCs w:val="24"/>
        </w:rPr>
        <w:t>ollima tema isikusamasust ning jõudma</w:t>
      </w:r>
      <w:r w:rsidRPr="00D032BE">
        <w:rPr>
          <w:szCs w:val="24"/>
        </w:rPr>
        <w:t xml:space="preserve"> arusaamise</w:t>
      </w:r>
      <w:r w:rsidR="00BB6B8B">
        <w:rPr>
          <w:szCs w:val="24"/>
        </w:rPr>
        <w:t>le</w:t>
      </w:r>
      <w:r w:rsidRPr="00D032BE">
        <w:rPr>
          <w:szCs w:val="24"/>
        </w:rPr>
        <w:t xml:space="preserve"> kliendi äritegevuse olemusest ning omandi- ja juhtimisstruktuurist</w:t>
      </w:r>
      <w:r w:rsidRPr="00D032BE">
        <w:t xml:space="preserve">. Allpool punktides a ja b kliendi ja tegeliku kasusaaja </w:t>
      </w:r>
      <w:r w:rsidR="00557D30">
        <w:t>isiku</w:t>
      </w:r>
      <w:r w:rsidRPr="00D032BE">
        <w:t xml:space="preserve"> tuvastamise ja kontrollimise kohta sätestatud nõuetel on kaks eesmärki: takistada juriidiliste isikute ja </w:t>
      </w:r>
      <w:r w:rsidR="00BB6B8B">
        <w:t xml:space="preserve">lepinguliste õiguslike </w:t>
      </w:r>
      <w:r w:rsidRPr="00D032BE">
        <w:t xml:space="preserve">üksuste </w:t>
      </w:r>
      <w:r w:rsidR="00BB6B8B" w:rsidRPr="00D032BE">
        <w:t xml:space="preserve">kasutamist </w:t>
      </w:r>
      <w:r w:rsidR="00BB6B8B">
        <w:t>ebaseaduslikel eesmärkidel</w:t>
      </w:r>
      <w:r w:rsidRPr="00D032BE">
        <w:t xml:space="preserve">, </w:t>
      </w:r>
      <w:r w:rsidR="00BB6B8B">
        <w:t>hankides kliendi kohta</w:t>
      </w:r>
      <w:r w:rsidRPr="00D032BE">
        <w:t xml:space="preserve"> piisava</w:t>
      </w:r>
      <w:r w:rsidR="00BB6B8B">
        <w:t>lt</w:t>
      </w:r>
      <w:r w:rsidRPr="00D032BE">
        <w:t xml:space="preserve"> </w:t>
      </w:r>
      <w:r w:rsidR="00BB6B8B">
        <w:t>informatsiooni</w:t>
      </w:r>
      <w:r w:rsidRPr="00D032BE">
        <w:t xml:space="preserve">, et ärisuhtega seotud võimalikke </w:t>
      </w:r>
      <w:r w:rsidR="002A32CF">
        <w:t>rahapesu</w:t>
      </w:r>
      <w:r w:rsidRPr="00D032BE">
        <w:t xml:space="preserve"> ja terrorismi rahastamise riske nõuetekohaselt hinnata, ning rakendada asjakohaseid meetmeid riskide </w:t>
      </w:r>
      <w:r w:rsidR="00DB78DC">
        <w:t>maandamiseks</w:t>
      </w:r>
      <w:r w:rsidRPr="00D032BE">
        <w:t xml:space="preserve">. Ühe ja sama protsessi kahe aspektina mõjutavad ja täiendavad need teineteist tõenäoliselt </w:t>
      </w:r>
      <w:r w:rsidR="00DB78DC">
        <w:t>loomulikul viisil</w:t>
      </w:r>
      <w:r w:rsidRPr="00D032BE">
        <w:t xml:space="preserve">. Selles kontekstis peaksid </w:t>
      </w:r>
      <w:r w:rsidR="006043CB">
        <w:t>finantsasutus</w:t>
      </w:r>
      <w:r w:rsidRPr="00D032BE">
        <w:t>ed olema kohustatud</w:t>
      </w:r>
    </w:p>
    <w:p w:rsidR="00D032BE" w:rsidRPr="00D032BE" w:rsidRDefault="00D032BE" w:rsidP="00D032BE">
      <w:pPr>
        <w:pStyle w:val="a-thtloend"/>
      </w:pPr>
      <w:r w:rsidRPr="00D032BE">
        <w:t xml:space="preserve">a) </w:t>
      </w:r>
      <w:r w:rsidRPr="00D032BE">
        <w:tab/>
        <w:t>tuvastama kliendi ja kontrollima tema isikusamasust. Selle ülesande täitmiseks on tavaliselt vajalik järgmist liiki teave:</w:t>
      </w:r>
    </w:p>
    <w:p w:rsidR="00D032BE" w:rsidRPr="00D032BE" w:rsidRDefault="00D032BE" w:rsidP="00D032BE">
      <w:pPr>
        <w:pStyle w:val="i-thtloeng"/>
      </w:pPr>
      <w:r w:rsidRPr="00D032BE">
        <w:t xml:space="preserve">i) </w:t>
      </w:r>
      <w:r w:rsidRPr="00D032BE">
        <w:tab/>
        <w:t>nimi, õiguslik vorm ja tõend olemasolu kohta – kontrollimise aluseks võib olla näiteks asutamistõend, registrisse kandmist kinnitav tõend, ühinguleping, usaldusleping või muu usaldusväärsest sõltumatust allikast pärit dokument, mis tõendab kliendi nime, õiguslikku vormi ja jätkuvat eksisteerimist;</w:t>
      </w:r>
    </w:p>
    <w:p w:rsidR="00D032BE" w:rsidRPr="00D032BE" w:rsidRDefault="00D032BE" w:rsidP="00D032BE">
      <w:pPr>
        <w:pStyle w:val="i-thtloeng"/>
      </w:pPr>
      <w:proofErr w:type="spellStart"/>
      <w:r w:rsidRPr="00D032BE">
        <w:t>ii</w:t>
      </w:r>
      <w:proofErr w:type="spellEnd"/>
      <w:r w:rsidRPr="00D032BE">
        <w:t xml:space="preserve">) </w:t>
      </w:r>
      <w:r w:rsidRPr="00D032BE">
        <w:tab/>
        <w:t>teave juriidilise isikut või üksust reguleerivate ja siduvate õigusnormide kohta (nt ettevõtte asutamisleping ja põhikiri) ning juriidilise isiku või üksuse juhtkonna liikmete nimed (nt ettevõtte kõrgema tasandi tegevjuhid, usaldusühingu volinikud);</w:t>
      </w:r>
    </w:p>
    <w:p w:rsidR="00D032BE" w:rsidRPr="00D032BE" w:rsidRDefault="00D032BE" w:rsidP="00D032BE">
      <w:pPr>
        <w:pStyle w:val="i-thtloeng"/>
      </w:pPr>
      <w:proofErr w:type="spellStart"/>
      <w:r w:rsidRPr="00D032BE">
        <w:t>iii</w:t>
      </w:r>
      <w:proofErr w:type="spellEnd"/>
      <w:r w:rsidRPr="00D032BE">
        <w:t>) registreeritud asukoha aadress ja peamine tegevuskoht, kui need on erinevad;</w:t>
      </w:r>
    </w:p>
    <w:p w:rsidR="00D032BE" w:rsidRPr="00D032BE" w:rsidRDefault="00D032BE" w:rsidP="00D032BE">
      <w:pPr>
        <w:pStyle w:val="a-thtloend"/>
      </w:pPr>
      <w:r w:rsidRPr="00D032BE">
        <w:t xml:space="preserve">b) </w:t>
      </w:r>
      <w:r w:rsidRPr="00D032BE">
        <w:tab/>
        <w:t>tuvastama tegelikud kasusaajad ja rakendama mõistlikke meetmeid</w:t>
      </w:r>
      <w:r w:rsidRPr="00D032BE">
        <w:rPr>
          <w:vertAlign w:val="superscript"/>
        </w:rPr>
        <w:footnoteReference w:id="28"/>
      </w:r>
      <w:r w:rsidRPr="00D032BE">
        <w:t xml:space="preserve"> selliste isikute isikusamasuse kontrollimiseks järgmise teabe põhjal:</w:t>
      </w:r>
    </w:p>
    <w:p w:rsidR="00D032BE" w:rsidRPr="00D032BE" w:rsidRDefault="00D032BE" w:rsidP="00D032BE">
      <w:pPr>
        <w:pStyle w:val="i-thtloeng"/>
      </w:pPr>
      <w:r w:rsidRPr="00D032BE">
        <w:t xml:space="preserve">i) </w:t>
      </w:r>
      <w:r w:rsidRPr="00D032BE">
        <w:tab/>
        <w:t>juriidiliste isikute puhul</w:t>
      </w:r>
      <w:r w:rsidRPr="00D032BE">
        <w:rPr>
          <w:rStyle w:val="Allmrkuseviide"/>
        </w:rPr>
        <w:footnoteReference w:id="29"/>
      </w:r>
      <w:r w:rsidRPr="00D032BE">
        <w:t>:</w:t>
      </w:r>
    </w:p>
    <w:p w:rsidR="00D032BE" w:rsidRPr="00D032BE" w:rsidRDefault="00D032BE" w:rsidP="00D032BE">
      <w:pPr>
        <w:pStyle w:val="ii-thtloend"/>
      </w:pPr>
      <w:proofErr w:type="spellStart"/>
      <w:r w:rsidRPr="00D032BE">
        <w:t>i.i</w:t>
      </w:r>
      <w:proofErr w:type="spellEnd"/>
      <w:r w:rsidRPr="00D032BE">
        <w:t xml:space="preserve">) </w:t>
      </w:r>
      <w:r w:rsidRPr="00D032BE">
        <w:tab/>
        <w:t>juriidilises isikus lõplikku kontrollivat osalust</w:t>
      </w:r>
      <w:r w:rsidRPr="00D032BE">
        <w:rPr>
          <w:rStyle w:val="Allmrkuseviide"/>
        </w:rPr>
        <w:footnoteReference w:id="30"/>
      </w:r>
      <w:r w:rsidRPr="00D032BE">
        <w:t xml:space="preserve"> omavate füüsiliste isikute (kui neid on – osalused võivad olla niivõrd hajutatud, et ükski füüsiline isik (kas üksinda või koos </w:t>
      </w:r>
      <w:r w:rsidRPr="00D032BE">
        <w:lastRenderedPageBreak/>
        <w:t>tegutsedes) ei oma juriidilise isiku või üksuse üle osaluse kaudu kontrolli) isikusamasus; ja</w:t>
      </w:r>
    </w:p>
    <w:p w:rsidR="00D032BE" w:rsidRPr="00D032BE" w:rsidRDefault="00D032BE" w:rsidP="00D032BE">
      <w:pPr>
        <w:pStyle w:val="ii-thtloend"/>
      </w:pPr>
      <w:proofErr w:type="spellStart"/>
      <w:r w:rsidRPr="00D032BE">
        <w:t>i.ii</w:t>
      </w:r>
      <w:proofErr w:type="spellEnd"/>
      <w:r w:rsidRPr="00D032BE">
        <w:t xml:space="preserve">) kui punkti </w:t>
      </w:r>
      <w:proofErr w:type="spellStart"/>
      <w:r w:rsidRPr="00D032BE">
        <w:t>i.i</w:t>
      </w:r>
      <w:proofErr w:type="spellEnd"/>
      <w:r w:rsidRPr="00D032BE">
        <w:t xml:space="preserve"> puhul on kahtlusi, kas kontrolliva osalusega isikud on tegelikud kasusaajad või kui ükski füüsiline isik ei oma osaluse kaudu kontrolli, nende füüsiliste isikute isikusamasus, kes omavad juriidilise isiku või üksuse üle muul moel kontrolli (kui neid on);</w:t>
      </w:r>
    </w:p>
    <w:p w:rsidR="00D032BE" w:rsidRPr="00D032BE" w:rsidRDefault="00D032BE" w:rsidP="00D032BE">
      <w:pPr>
        <w:pStyle w:val="ii-thtloend"/>
      </w:pPr>
      <w:proofErr w:type="spellStart"/>
      <w:r w:rsidRPr="00D032BE">
        <w:t>i.iii</w:t>
      </w:r>
      <w:proofErr w:type="spellEnd"/>
      <w:r w:rsidRPr="00D032BE">
        <w:t xml:space="preserve">) kui punktide </w:t>
      </w:r>
      <w:proofErr w:type="spellStart"/>
      <w:r w:rsidRPr="00D032BE">
        <w:t>i.i</w:t>
      </w:r>
      <w:proofErr w:type="spellEnd"/>
      <w:r w:rsidRPr="00D032BE">
        <w:t xml:space="preserve"> ja </w:t>
      </w:r>
      <w:proofErr w:type="spellStart"/>
      <w:r w:rsidRPr="00D032BE">
        <w:t>i.ii</w:t>
      </w:r>
      <w:proofErr w:type="spellEnd"/>
      <w:r w:rsidRPr="00D032BE">
        <w:t xml:space="preserve"> puhul ei tuvastata ühtegi füüsilist isikut, peaksid </w:t>
      </w:r>
      <w:r w:rsidR="006043CB">
        <w:t>finantsasutus</w:t>
      </w:r>
      <w:r w:rsidRPr="00D032BE">
        <w:t>ed tuvastama kõrgema tasandi tegevjuhi ametikohal töötava isiku isikusamasuse ja rakendama mõistlikke meetmeid selle isikusamasuse kontrollimiseks;</w:t>
      </w:r>
    </w:p>
    <w:p w:rsidR="00D032BE" w:rsidRPr="00D032BE" w:rsidRDefault="00D032BE" w:rsidP="00D032BE">
      <w:pPr>
        <w:pStyle w:val="i-thtloeng"/>
      </w:pPr>
      <w:proofErr w:type="spellStart"/>
      <w:r w:rsidRPr="00D032BE">
        <w:t>ii</w:t>
      </w:r>
      <w:proofErr w:type="spellEnd"/>
      <w:r w:rsidRPr="00D032BE">
        <w:t xml:space="preserve">) </w:t>
      </w:r>
      <w:r w:rsidRPr="00D032BE">
        <w:tab/>
      </w:r>
      <w:r w:rsidR="00DD0067">
        <w:t xml:space="preserve">lepinguliste </w:t>
      </w:r>
      <w:r w:rsidRPr="00D032BE">
        <w:t>õiguslike üksuste puhul:</w:t>
      </w:r>
    </w:p>
    <w:p w:rsidR="00D032BE" w:rsidRPr="00D032BE" w:rsidRDefault="00D032BE" w:rsidP="00D032BE">
      <w:pPr>
        <w:pStyle w:val="ii-thtloend"/>
      </w:pPr>
      <w:proofErr w:type="spellStart"/>
      <w:r w:rsidRPr="00D032BE">
        <w:t>ii.i</w:t>
      </w:r>
      <w:proofErr w:type="spellEnd"/>
      <w:r w:rsidRPr="00D032BE">
        <w:t xml:space="preserve">) usaldusühingud – usaldusvara haldaja, volinike, </w:t>
      </w:r>
      <w:r w:rsidR="00B86CDE" w:rsidRPr="00E079EA">
        <w:t>eestkostja</w:t>
      </w:r>
      <w:r w:rsidRPr="00D032BE">
        <w:t xml:space="preserve"> (kui on), kasusaajate või kasusaajate liigi</w:t>
      </w:r>
      <w:r w:rsidRPr="00D032BE">
        <w:rPr>
          <w:vertAlign w:val="superscript"/>
        </w:rPr>
        <w:footnoteReference w:id="31"/>
      </w:r>
      <w:r w:rsidRPr="00D032BE">
        <w:rPr>
          <w:vertAlign w:val="superscript"/>
        </w:rPr>
        <w:t xml:space="preserve"> </w:t>
      </w:r>
      <w:r w:rsidRPr="00D032BE">
        <w:t>või usaldusühingu üle (sh kontrolli- või omandiahela kaudu) lõplikku tegelikku kontrolli omava muu füüsilise isiku isikusamasus;</w:t>
      </w:r>
    </w:p>
    <w:p w:rsidR="00D032BE" w:rsidRPr="00D032BE" w:rsidRDefault="00D032BE" w:rsidP="00D032BE">
      <w:pPr>
        <w:pStyle w:val="ii-thtloend"/>
      </w:pPr>
      <w:proofErr w:type="spellStart"/>
      <w:r w:rsidRPr="00D032BE">
        <w:t>ii.ii</w:t>
      </w:r>
      <w:proofErr w:type="spellEnd"/>
      <w:r w:rsidRPr="00D032BE">
        <w:t xml:space="preserve">) muud </w:t>
      </w:r>
      <w:r w:rsidR="00DD0067">
        <w:t xml:space="preserve">lepinguliste </w:t>
      </w:r>
      <w:r w:rsidRPr="00D032BE">
        <w:t>õiguslike üksuste liigid – võrdväärsel või sarnasel positsioonil olevate isikute isikusamasus.</w:t>
      </w:r>
    </w:p>
    <w:p w:rsidR="00D032BE" w:rsidRPr="00D032BE" w:rsidRDefault="00D032BE" w:rsidP="00D032BE">
      <w:pPr>
        <w:pStyle w:val="kehatekst"/>
      </w:pPr>
      <w:r w:rsidRPr="00D032BE">
        <w:rPr>
          <w:szCs w:val="24"/>
        </w:rPr>
        <w:t>Kui klient või kontrolliva osaluse omanik on börsi</w:t>
      </w:r>
      <w:r w:rsidR="00DB78DC">
        <w:rPr>
          <w:szCs w:val="24"/>
        </w:rPr>
        <w:t>l noteeritud</w:t>
      </w:r>
      <w:r w:rsidRPr="00D032BE">
        <w:rPr>
          <w:szCs w:val="24"/>
        </w:rPr>
        <w:t>, mille suhtes kehtivad avalikustamisnõuded</w:t>
      </w:r>
      <w:r w:rsidRPr="00D032BE">
        <w:t xml:space="preserve"> (kas börsieeskirjade või õigusaktide või </w:t>
      </w:r>
      <w:r w:rsidR="00DB78DC">
        <w:t>muude haldus</w:t>
      </w:r>
      <w:r w:rsidRPr="00D032BE">
        <w:t>vahendite alusel), millega tagatakse tegelike kasusaajate piisav läbipaistvus või kui klient või kontrolliva osaluse omanik on sellise ettevõtte enamusosalusega tütarettevõte, ei ole sellise äriühingu osanike või kasusaajate tuvastamine ja nende isikusamasuse kontrollimine vajalik.</w:t>
      </w:r>
    </w:p>
    <w:p w:rsidR="00D032BE" w:rsidRPr="00D032BE" w:rsidRDefault="00D032BE" w:rsidP="00D032BE">
      <w:pPr>
        <w:pStyle w:val="kehatekst"/>
      </w:pPr>
      <w:r w:rsidRPr="00D032BE">
        <w:rPr>
          <w:szCs w:val="24"/>
        </w:rPr>
        <w:t>Asjakohaseid andmeid ja teavet võib hankida avalikust registrist, kliendilt või muudest</w:t>
      </w:r>
      <w:r w:rsidRPr="00D032BE">
        <w:t xml:space="preserve"> </w:t>
      </w:r>
      <w:r w:rsidRPr="00D032BE">
        <w:rPr>
          <w:szCs w:val="24"/>
        </w:rPr>
        <w:t>usaldusväärsetest allikatest</w:t>
      </w:r>
      <w:r w:rsidRPr="00D032BE">
        <w:t>.</w:t>
      </w:r>
    </w:p>
    <w:p w:rsidR="00D032BE" w:rsidRPr="00D032BE" w:rsidRDefault="00D032BE" w:rsidP="00D032BE">
      <w:pPr>
        <w:pStyle w:val="A-pealkiri"/>
      </w:pPr>
      <w:r w:rsidRPr="00D032BE">
        <w:t xml:space="preserve">D. </w:t>
      </w:r>
      <w:r w:rsidRPr="00D032BE">
        <w:tab/>
        <w:t xml:space="preserve">HOOLSUSMEETMETE </w:t>
      </w:r>
      <w:r w:rsidR="00C62A36">
        <w:t>RAKENDAMINE</w:t>
      </w:r>
      <w:r w:rsidR="00C62A36" w:rsidRPr="00D032BE">
        <w:t xml:space="preserve"> </w:t>
      </w:r>
      <w:r w:rsidRPr="00D032BE">
        <w:t xml:space="preserve">ELUKINDLUSTUSPOLIISIDE SOODUSTATUD ISIKUTE SUHTES </w:t>
      </w:r>
    </w:p>
    <w:p w:rsidR="00D032BE" w:rsidRPr="00D032BE" w:rsidRDefault="00D032BE" w:rsidP="00D032BE">
      <w:pPr>
        <w:pStyle w:val="Kehatekstloend"/>
      </w:pPr>
      <w:r w:rsidRPr="00D032BE">
        <w:t xml:space="preserve">6. </w:t>
      </w:r>
      <w:r w:rsidRPr="00D032BE">
        <w:tab/>
        <w:t xml:space="preserve">Elukindlustuse või muu investeerimisega seonduva kindlustuse puhul peaksid </w:t>
      </w:r>
      <w:r w:rsidR="006043CB">
        <w:t>finantsasutus</w:t>
      </w:r>
      <w:r w:rsidRPr="00D032BE">
        <w:t xml:space="preserve">ed lisaks kliendi ja tegeliku kasusaaja suhtes </w:t>
      </w:r>
      <w:r w:rsidR="00C62A36">
        <w:t>rakendatavatele</w:t>
      </w:r>
      <w:r w:rsidR="00C62A36" w:rsidRPr="00D032BE">
        <w:t xml:space="preserve"> </w:t>
      </w:r>
      <w:r w:rsidRPr="00D032BE">
        <w:t>hoolsusmeetmetele, rakendama alljärgnevaid hoolsusmeetmeid elukindlustus- ja muu investeerimisega seonduva kindlustuse poliiside soodustatud isikute suhtes niipea, kui need soodustatud isikud on tuvastatud/määratud:</w:t>
      </w:r>
    </w:p>
    <w:p w:rsidR="00D032BE" w:rsidRPr="00D032BE" w:rsidRDefault="00D032BE" w:rsidP="00D032BE">
      <w:pPr>
        <w:pStyle w:val="a-thtloend"/>
      </w:pPr>
      <w:r w:rsidRPr="00D032BE">
        <w:lastRenderedPageBreak/>
        <w:t xml:space="preserve">a) </w:t>
      </w:r>
      <w:r w:rsidRPr="00D032BE">
        <w:tab/>
        <w:t xml:space="preserve">nimeliselt määratletud füüsilisest või juriidilisest isikust või </w:t>
      </w:r>
      <w:r w:rsidR="00DD0067">
        <w:t xml:space="preserve">lepingulisest </w:t>
      </w:r>
      <w:r w:rsidRPr="00D032BE">
        <w:t xml:space="preserve">õiguslikust üksusest soodustatud </w:t>
      </w:r>
      <w:proofErr w:type="spellStart"/>
      <w:r w:rsidRPr="00D032BE">
        <w:t>isik(ud</w:t>
      </w:r>
      <w:proofErr w:type="spellEnd"/>
      <w:r w:rsidRPr="00D032BE">
        <w:t>) – isiku nime küsimine;</w:t>
      </w:r>
    </w:p>
    <w:p w:rsidR="00D032BE" w:rsidRPr="00D032BE" w:rsidRDefault="00D032BE" w:rsidP="00D032BE">
      <w:pPr>
        <w:pStyle w:val="a-thtloend"/>
      </w:pPr>
      <w:r w:rsidRPr="00D032BE">
        <w:t xml:space="preserve">b) </w:t>
      </w:r>
      <w:r w:rsidRPr="00D032BE">
        <w:tab/>
        <w:t xml:space="preserve">omaduste või liigi (nt abikaasa või lapsed kindlustusjuhtumi toimumise ajal) põhjal või muudel alustel (nt testamendiga) määratletud soodustatud </w:t>
      </w:r>
      <w:proofErr w:type="spellStart"/>
      <w:r w:rsidRPr="00D032BE">
        <w:t>isik(ud</w:t>
      </w:r>
      <w:proofErr w:type="spellEnd"/>
      <w:r w:rsidRPr="00D032BE">
        <w:t xml:space="preserve">) – soodustatud isiku kohta piisava teabe hankimine, mille põhjal </w:t>
      </w:r>
      <w:r w:rsidR="006043CB">
        <w:t>finantsasutus</w:t>
      </w:r>
      <w:r w:rsidRPr="00D032BE">
        <w:t xml:space="preserve"> on kindel, et suudab soodustatud isiku väljamakse tegemise ajal tuvastada.</w:t>
      </w:r>
    </w:p>
    <w:p w:rsidR="00D032BE" w:rsidRPr="00D032BE" w:rsidRDefault="00D032BE" w:rsidP="00D032BE">
      <w:pPr>
        <w:pStyle w:val="kehatekst"/>
      </w:pPr>
      <w:r w:rsidRPr="00D032BE">
        <w:t>Hoolsusmeetmete a ja b raames kogutav teave tuleks salvestada ja seda tuleks säilitada kooskõlas soovituses</w:t>
      </w:r>
      <w:r w:rsidR="00847867">
        <w:t xml:space="preserve"> </w:t>
      </w:r>
      <w:r w:rsidRPr="00D032BE">
        <w:t>11 sätestatuga.</w:t>
      </w:r>
    </w:p>
    <w:p w:rsidR="00D032BE" w:rsidRPr="00D032BE" w:rsidRDefault="00D032BE" w:rsidP="00D032BE">
      <w:pPr>
        <w:pStyle w:val="Kehatekstloend"/>
      </w:pPr>
      <w:r w:rsidRPr="00D032BE">
        <w:t xml:space="preserve">7. </w:t>
      </w:r>
      <w:r w:rsidRPr="00D032BE">
        <w:tab/>
        <w:t xml:space="preserve">Mõlemal lõike 6 punktides a ja b viidatud juhul tuleks väljamakse tegemise ajal kontrollida soodustatud </w:t>
      </w:r>
      <w:proofErr w:type="spellStart"/>
      <w:r w:rsidRPr="00D032BE">
        <w:t>isiku(te</w:t>
      </w:r>
      <w:proofErr w:type="spellEnd"/>
      <w:r w:rsidRPr="00D032BE">
        <w:t>) isikusamasust.</w:t>
      </w:r>
    </w:p>
    <w:p w:rsidR="00D032BE" w:rsidRPr="00D032BE" w:rsidRDefault="00D032BE" w:rsidP="00D032BE">
      <w:pPr>
        <w:pStyle w:val="Kehatekstloend"/>
      </w:pPr>
      <w:r w:rsidRPr="00D032BE">
        <w:t xml:space="preserve">8. </w:t>
      </w:r>
      <w:r w:rsidRPr="00D032BE">
        <w:tab/>
        <w:t xml:space="preserve">Tugevdatud hoolsusmeetmete rakendamise vajalikkuse üle otsustamisel peaksid </w:t>
      </w:r>
      <w:r w:rsidR="006043CB">
        <w:t>finantsasutus</w:t>
      </w:r>
      <w:r w:rsidRPr="00D032BE">
        <w:t xml:space="preserve">ed arvestama elukindlustuspoliisi soodustatud isikut kui asjassepuutuvat riskitegurit. Kui </w:t>
      </w:r>
      <w:r w:rsidR="006043CB">
        <w:t>finantsasutus</w:t>
      </w:r>
      <w:r w:rsidRPr="00D032BE">
        <w:t xml:space="preserve"> teeb kindlaks, et juriidilisest isikust või </w:t>
      </w:r>
      <w:r w:rsidR="00DD0067">
        <w:t xml:space="preserve">lepingulisest </w:t>
      </w:r>
      <w:r w:rsidRPr="00D032BE">
        <w:t>õiguslikust üksusest soodustatud isik kujutab endast suuremat riski, peaksid tugevdatud hoolsusmeetmed hõlmama abinõusid soodustatud isiku tegeliku kasusaaja tuvastamiseks ja isikusamasuse kontrollimiseks väljamakse tegemise ajal.</w:t>
      </w:r>
    </w:p>
    <w:p w:rsidR="00D032BE" w:rsidRPr="00D032BE" w:rsidRDefault="00D032BE" w:rsidP="00D032BE">
      <w:pPr>
        <w:pStyle w:val="Kehatekstloend"/>
      </w:pPr>
      <w:r w:rsidRPr="00D032BE">
        <w:t xml:space="preserve">9. </w:t>
      </w:r>
      <w:r w:rsidRPr="00D032BE">
        <w:tab/>
        <w:t xml:space="preserve">Kui </w:t>
      </w:r>
      <w:r w:rsidR="006043CB">
        <w:t>finantsasutus</w:t>
      </w:r>
      <w:r w:rsidRPr="00D032BE">
        <w:t xml:space="preserve"> ei suuda täita eespool punktides 6–8 sätestatud nõudeid, peaks ta kaaluma kahtlastest tehingutest teatamist.</w:t>
      </w:r>
    </w:p>
    <w:p w:rsidR="00D032BE" w:rsidRPr="00D032BE" w:rsidRDefault="00D032BE" w:rsidP="00D032BE">
      <w:pPr>
        <w:pStyle w:val="A-pealkiri"/>
      </w:pPr>
      <w:r w:rsidRPr="00D032BE">
        <w:t xml:space="preserve">E. </w:t>
      </w:r>
      <w:r w:rsidRPr="00D032BE">
        <w:tab/>
        <w:t>TUGINEMINE VARASEMALE TUVASTAMISELE JA KONTROLLILE</w:t>
      </w:r>
    </w:p>
    <w:p w:rsidR="00D032BE" w:rsidRPr="00D032BE" w:rsidRDefault="00D032BE" w:rsidP="00D032BE">
      <w:pPr>
        <w:pStyle w:val="Kehatekstloend"/>
      </w:pPr>
      <w:r w:rsidRPr="00D032BE">
        <w:t xml:space="preserve">10. </w:t>
      </w:r>
      <w:r w:rsidRPr="00D032BE">
        <w:tab/>
      </w:r>
      <w:r w:rsidRPr="00D032BE">
        <w:rPr>
          <w:szCs w:val="24"/>
        </w:rPr>
        <w:t>Soovituses</w:t>
      </w:r>
      <w:r w:rsidR="00847867">
        <w:rPr>
          <w:szCs w:val="24"/>
        </w:rPr>
        <w:t xml:space="preserve"> </w:t>
      </w:r>
      <w:r w:rsidRPr="00D032BE">
        <w:rPr>
          <w:szCs w:val="24"/>
        </w:rPr>
        <w:t xml:space="preserve">10 sätestatud hoolsusmeetmed ei tähenda, et </w:t>
      </w:r>
      <w:r w:rsidR="006043CB">
        <w:rPr>
          <w:szCs w:val="24"/>
        </w:rPr>
        <w:t>finantsasutus</w:t>
      </w:r>
      <w:r w:rsidRPr="00D032BE">
        <w:rPr>
          <w:szCs w:val="24"/>
        </w:rPr>
        <w:t>ed peaksid</w:t>
      </w:r>
      <w:r w:rsidRPr="00D032BE">
        <w:t xml:space="preserve"> </w:t>
      </w:r>
      <w:r w:rsidRPr="00D032BE">
        <w:rPr>
          <w:szCs w:val="24"/>
        </w:rPr>
        <w:t>iga kliendi iga tehingu puhul uuesti tuvastama ja isikusamasust kontrollima</w:t>
      </w:r>
      <w:r w:rsidRPr="00D032BE">
        <w:t xml:space="preserve">. Asutusel on </w:t>
      </w:r>
      <w:r w:rsidRPr="00D032BE">
        <w:rPr>
          <w:szCs w:val="24"/>
        </w:rPr>
        <w:t>õigus tugineda varasemale tuvastamisele ja kontrollile, kui ta ei kahtle selle teabe tõesuses</w:t>
      </w:r>
      <w:r w:rsidRPr="00D032BE">
        <w:t xml:space="preserve">. </w:t>
      </w:r>
      <w:r w:rsidRPr="00D032BE">
        <w:rPr>
          <w:szCs w:val="24"/>
        </w:rPr>
        <w:t>Asutusel võib tekkida selline kahtlus näiteks olukorras, kus tal on asjaomase</w:t>
      </w:r>
      <w:r w:rsidRPr="00D032BE">
        <w:t xml:space="preserve"> </w:t>
      </w:r>
      <w:r w:rsidRPr="00D032BE">
        <w:rPr>
          <w:szCs w:val="24"/>
        </w:rPr>
        <w:t>kliendiga seoses rahapesukahtlus või kui kliendi konto kasutamises on toimunud oluline</w:t>
      </w:r>
      <w:r w:rsidRPr="00D032BE">
        <w:t xml:space="preserve"> </w:t>
      </w:r>
      <w:r w:rsidRPr="00D032BE">
        <w:rPr>
          <w:szCs w:val="24"/>
        </w:rPr>
        <w:t>muutus, mis ei ole kooskõlas kliendi äriprofiiliga</w:t>
      </w:r>
      <w:r w:rsidRPr="00D032BE">
        <w:t>.</w:t>
      </w:r>
    </w:p>
    <w:p w:rsidR="00D032BE" w:rsidRPr="00D032BE" w:rsidRDefault="00D032BE" w:rsidP="00D032BE">
      <w:pPr>
        <w:pStyle w:val="A-pealkiri"/>
      </w:pPr>
      <w:r w:rsidRPr="00D032BE">
        <w:t xml:space="preserve">F. </w:t>
      </w:r>
      <w:r w:rsidRPr="00D032BE">
        <w:tab/>
        <w:t>KONTROLLI AJASTAMINE</w:t>
      </w:r>
    </w:p>
    <w:p w:rsidR="00D032BE" w:rsidRPr="00D032BE" w:rsidRDefault="00D032BE" w:rsidP="00D032BE">
      <w:pPr>
        <w:pStyle w:val="Kehatekstloend"/>
      </w:pPr>
      <w:r w:rsidRPr="00D032BE">
        <w:t xml:space="preserve">11. </w:t>
      </w:r>
      <w:r w:rsidRPr="00D032BE">
        <w:tab/>
      </w:r>
      <w:r w:rsidRPr="00D032BE">
        <w:rPr>
          <w:szCs w:val="24"/>
        </w:rPr>
        <w:t>Näited olukordadest (lisaks eespool seoses elukindlustuspoliiside soodustatud isikutega viidatud olukordadele), kus kontrolli on lubatud teha pärast ärisuhte loomist, sest on</w:t>
      </w:r>
      <w:r w:rsidRPr="00D032BE">
        <w:t xml:space="preserve"> </w:t>
      </w:r>
      <w:r w:rsidRPr="00D032BE">
        <w:rPr>
          <w:szCs w:val="24"/>
        </w:rPr>
        <w:t>oluline mitte katkestada äritegevuse tavapärast käiku</w:t>
      </w:r>
      <w:r w:rsidRPr="00D032BE">
        <w:t>:</w:t>
      </w:r>
    </w:p>
    <w:p w:rsidR="00D032BE" w:rsidRPr="00D032BE" w:rsidRDefault="00D032BE" w:rsidP="00D032BE">
      <w:pPr>
        <w:pStyle w:val="Sinineloend"/>
      </w:pPr>
      <w:r w:rsidRPr="00D032BE">
        <w:t>vahetu kontaktita äritegevus;</w:t>
      </w:r>
    </w:p>
    <w:p w:rsidR="00D032BE" w:rsidRPr="00D032BE" w:rsidRDefault="00D032BE" w:rsidP="00D032BE">
      <w:pPr>
        <w:pStyle w:val="Sinineloend"/>
      </w:pPr>
      <w:r w:rsidRPr="00D032BE">
        <w:t xml:space="preserve">väärtpaberitehingud. Väärtpaberitega kauplevad äriühingud ja vahendajad peavad tegema tehinguid väga kiiresti ja vastavalt turutingimustele, mis kehtivad ajal, kui klient nendega ühendust </w:t>
      </w:r>
      <w:r w:rsidRPr="00D032BE">
        <w:lastRenderedPageBreak/>
        <w:t>võtab, ning selles olukorras võib olla vajalik teha tehing enne isikusamasuse kontrolli lõpetamist.</w:t>
      </w:r>
    </w:p>
    <w:p w:rsidR="00D032BE" w:rsidRPr="00D032BE" w:rsidRDefault="00D032BE" w:rsidP="00D032BE">
      <w:pPr>
        <w:autoSpaceDE w:val="0"/>
        <w:autoSpaceDN w:val="0"/>
        <w:adjustRightInd w:val="0"/>
        <w:ind w:left="709" w:hanging="709"/>
        <w:rPr>
          <w:rFonts w:ascii="Cambria" w:hAnsi="Cambria"/>
          <w:sz w:val="24"/>
          <w:szCs w:val="24"/>
          <w:lang w:val="et-EE"/>
        </w:rPr>
      </w:pPr>
      <w:r w:rsidRPr="00D032BE">
        <w:rPr>
          <w:rFonts w:ascii="Cambria" w:hAnsi="Cambria"/>
          <w:sz w:val="24"/>
          <w:szCs w:val="24"/>
          <w:lang w:val="et-EE"/>
        </w:rPr>
        <w:t xml:space="preserve">12. </w:t>
      </w:r>
      <w:r w:rsidRPr="00D032BE">
        <w:rPr>
          <w:rFonts w:ascii="Cambria" w:hAnsi="Cambria"/>
          <w:sz w:val="24"/>
          <w:szCs w:val="24"/>
          <w:lang w:val="et-EE"/>
        </w:rPr>
        <w:tab/>
      </w:r>
      <w:r w:rsidR="006043CB">
        <w:rPr>
          <w:rFonts w:ascii="Cambria" w:hAnsi="Cambria"/>
          <w:sz w:val="24"/>
          <w:szCs w:val="24"/>
          <w:lang w:val="et-EE"/>
        </w:rPr>
        <w:t>Finantsasutus</w:t>
      </w:r>
      <w:r w:rsidRPr="00D032BE">
        <w:rPr>
          <w:rFonts w:ascii="Cambria" w:hAnsi="Cambria"/>
          <w:sz w:val="24"/>
          <w:szCs w:val="24"/>
          <w:lang w:val="et-EE"/>
        </w:rPr>
        <w:t>ed peavad nägema oma riskijuhtimise protseduurireeglites ette tingimused, mille kohaselt võib klient teostada ärisuhtest tulenevaid toiminguid enne kontrolli toimumist. Asjaomased protseduurireeglid peaksid sisaldama mitm</w:t>
      </w:r>
      <w:r w:rsidR="00BA03D9">
        <w:rPr>
          <w:rFonts w:ascii="Cambria" w:hAnsi="Cambria"/>
          <w:sz w:val="24"/>
          <w:szCs w:val="24"/>
          <w:lang w:val="et-EE"/>
        </w:rPr>
        <w:t>e</w:t>
      </w:r>
      <w:r w:rsidRPr="00D032BE">
        <w:rPr>
          <w:rFonts w:ascii="Cambria" w:hAnsi="Cambria"/>
          <w:sz w:val="24"/>
          <w:szCs w:val="24"/>
          <w:lang w:val="et-EE"/>
        </w:rPr>
        <w:t>suguseid meetmeid, nt lubatud tehingute arv, liigid ja/või summa ning seda liiki suhte korral normaalsetest suuremaks või keerukamateks peetavate tehingute kontroll.</w:t>
      </w:r>
    </w:p>
    <w:p w:rsidR="00D032BE" w:rsidRPr="00D032BE" w:rsidRDefault="00D032BE" w:rsidP="00D032BE">
      <w:pPr>
        <w:pStyle w:val="A-pealkiri"/>
      </w:pPr>
      <w:r w:rsidRPr="00D032BE">
        <w:t xml:space="preserve">G. </w:t>
      </w:r>
      <w:r w:rsidRPr="00D032BE">
        <w:tab/>
        <w:t>OLEMASOLEVAD KLIENDID</w:t>
      </w:r>
    </w:p>
    <w:p w:rsidR="00D032BE" w:rsidRPr="00D032BE" w:rsidRDefault="00D032BE" w:rsidP="00D032BE">
      <w:pPr>
        <w:pStyle w:val="Kehatekstloend"/>
      </w:pPr>
      <w:r w:rsidRPr="00D032BE">
        <w:t xml:space="preserve">13. </w:t>
      </w:r>
      <w:r w:rsidRPr="00D032BE">
        <w:tab/>
      </w:r>
      <w:r w:rsidR="006043CB" w:rsidRPr="00FF3614">
        <w:t>Finantsasutus</w:t>
      </w:r>
      <w:r w:rsidR="00B86CDE" w:rsidRPr="00E079EA">
        <w:t>ed</w:t>
      </w:r>
      <w:r w:rsidRPr="00D032BE">
        <w:t xml:space="preserve"> peaksid olema kohustatud rakendama olulisuse ja riskide põhjal hoolsusmeetmeid olemasolevate klientide</w:t>
      </w:r>
      <w:r w:rsidRPr="00D032BE">
        <w:rPr>
          <w:rStyle w:val="Allmrkuseviide"/>
        </w:rPr>
        <w:footnoteReference w:id="32"/>
      </w:r>
      <w:r w:rsidRPr="00D032BE">
        <w:t xml:space="preserve"> suhtes ning teostama selliste olemasolevate suhete osas hoolsuskontrolli vastavalt vajadusele, võttes arvesse seda, kas ja millal hoolsusmeetmeid on varem rakendatud ja kas saadud teave on piisav.</w:t>
      </w:r>
    </w:p>
    <w:p w:rsidR="00D032BE" w:rsidRPr="00D032BE" w:rsidRDefault="00D032BE" w:rsidP="00D032BE">
      <w:pPr>
        <w:pStyle w:val="A-pealkiri"/>
      </w:pPr>
      <w:r w:rsidRPr="00D032BE">
        <w:t xml:space="preserve">H. </w:t>
      </w:r>
      <w:r w:rsidRPr="00D032BE">
        <w:tab/>
        <w:t>RISKIPÕHINE LÄHENEMINE</w:t>
      </w:r>
      <w:r w:rsidRPr="00D032BE">
        <w:rPr>
          <w:rStyle w:val="Allmrkuseviide"/>
          <w:rFonts w:cs="Calibri"/>
        </w:rPr>
        <w:footnoteReference w:id="33"/>
      </w:r>
    </w:p>
    <w:p w:rsidR="00D032BE" w:rsidRPr="00D032BE" w:rsidRDefault="00D032BE" w:rsidP="00D032BE">
      <w:pPr>
        <w:pStyle w:val="Kehatekstloend"/>
      </w:pPr>
      <w:r w:rsidRPr="00D032BE">
        <w:t xml:space="preserve">14. </w:t>
      </w:r>
      <w:r w:rsidRPr="00D032BE">
        <w:tab/>
        <w:t xml:space="preserve">Allpool kirjeldatud näited </w:t>
      </w:r>
      <w:r w:rsidRPr="00D032BE">
        <w:rPr>
          <w:szCs w:val="24"/>
        </w:rPr>
        <w:t>ei ole FATFi standardite kohustuslik osa, vaid esitatud üksnes suunisena. Samuti ei ole need näited kõikehõlmavad ja kuigi neid käsitletakse kasulike viidetena, ei pruugi need olla kõikides tingimustes asjakohased</w:t>
      </w:r>
      <w:r w:rsidRPr="00D032BE">
        <w:t>.</w:t>
      </w:r>
    </w:p>
    <w:p w:rsidR="00D032BE" w:rsidRPr="00D032BE" w:rsidRDefault="00D032BE" w:rsidP="00D032BE">
      <w:pPr>
        <w:pStyle w:val="Pealkiri4"/>
      </w:pPr>
      <w:r w:rsidRPr="00D032BE">
        <w:t xml:space="preserve">Kõrgem </w:t>
      </w:r>
      <w:r w:rsidR="00213F51" w:rsidRPr="00D032BE">
        <w:t>riski</w:t>
      </w:r>
      <w:r w:rsidR="00213F51">
        <w:t>aste</w:t>
      </w:r>
    </w:p>
    <w:p w:rsidR="00D032BE" w:rsidRPr="00D032BE" w:rsidRDefault="00D032BE" w:rsidP="00D032BE">
      <w:pPr>
        <w:pStyle w:val="Kehatekstloend"/>
      </w:pPr>
      <w:r w:rsidRPr="00D032BE">
        <w:t xml:space="preserve">15. </w:t>
      </w:r>
      <w:r w:rsidRPr="00D032BE">
        <w:tab/>
        <w:t xml:space="preserve">Teatavatel tingimustel on rahapesu või terrorismi rahastamise </w:t>
      </w:r>
      <w:r w:rsidR="00213F51" w:rsidRPr="00D032BE">
        <w:t>riski</w:t>
      </w:r>
      <w:r w:rsidR="00213F51">
        <w:t>aste</w:t>
      </w:r>
      <w:r w:rsidR="00213F51" w:rsidRPr="00D032BE">
        <w:t xml:space="preserve"> </w:t>
      </w:r>
      <w:r w:rsidRPr="00D032BE">
        <w:t xml:space="preserve">kõrgem ning rakendada tuleb tugevdatud hoolsusmeetmeid. Näited potentsiaalselt kõrgema </w:t>
      </w:r>
      <w:r w:rsidR="00213F51" w:rsidRPr="00D032BE">
        <w:t>riski</w:t>
      </w:r>
      <w:r w:rsidR="00213F51">
        <w:t>astmega</w:t>
      </w:r>
      <w:r w:rsidR="00213F51" w:rsidRPr="00D032BE">
        <w:t xml:space="preserve"> </w:t>
      </w:r>
      <w:r w:rsidRPr="00D032BE">
        <w:t xml:space="preserve">olukordadest </w:t>
      </w:r>
      <w:r w:rsidR="002A32CF">
        <w:t>rahapesu</w:t>
      </w:r>
      <w:r w:rsidRPr="00D032BE">
        <w:t xml:space="preserve"> ja terrorismi rahastamise riskide hindamisel seoses eri liiki klientide, riikide või geograafiliste piirkondade ning konkreetsete toodete, teenuste, tehingute või tarnekanalitega hõlmavad järgmist (lisaks soovitustes</w:t>
      </w:r>
      <w:r w:rsidR="00847867">
        <w:t xml:space="preserve"> </w:t>
      </w:r>
      <w:r w:rsidRPr="00D032BE">
        <w:t>12 ja 16 kirjeldatutele):</w:t>
      </w:r>
    </w:p>
    <w:p w:rsidR="00D032BE" w:rsidRPr="00D032BE" w:rsidRDefault="00D032BE" w:rsidP="00D032BE">
      <w:pPr>
        <w:pStyle w:val="a-thtloend"/>
      </w:pPr>
      <w:r w:rsidRPr="00D032BE">
        <w:t xml:space="preserve">a) </w:t>
      </w:r>
      <w:r w:rsidRPr="00D032BE">
        <w:tab/>
        <w:t>kliendiga seotud riskitegurid:</w:t>
      </w:r>
    </w:p>
    <w:p w:rsidR="00D032BE" w:rsidRPr="00D032BE" w:rsidRDefault="00D032BE" w:rsidP="00D032BE">
      <w:pPr>
        <w:pStyle w:val="Sinineloend"/>
      </w:pPr>
      <w:r w:rsidRPr="00D032BE">
        <w:t>ärisuh</w:t>
      </w:r>
      <w:r w:rsidR="00005173">
        <w:t>e sõlmitakse mittetavapärastel</w:t>
      </w:r>
      <w:r w:rsidRPr="00D032BE">
        <w:t xml:space="preserve"> asjaoludel (nt märkimisväärne seletamatu geograafiline vahemaa </w:t>
      </w:r>
      <w:r w:rsidR="006043CB">
        <w:t>finantsasutus</w:t>
      </w:r>
      <w:r w:rsidRPr="00D032BE">
        <w:t>e ja kliendi vahel);</w:t>
      </w:r>
    </w:p>
    <w:p w:rsidR="00D032BE" w:rsidRPr="00D032BE" w:rsidRDefault="00D032BE" w:rsidP="00D032BE">
      <w:pPr>
        <w:pStyle w:val="Sinineloend"/>
      </w:pPr>
      <w:r w:rsidRPr="00D032BE">
        <w:t>mitteresidentidest kliendid;</w:t>
      </w:r>
    </w:p>
    <w:p w:rsidR="00D032BE" w:rsidRPr="00D032BE" w:rsidRDefault="00D032BE" w:rsidP="00D032BE">
      <w:pPr>
        <w:pStyle w:val="Sinineloend"/>
      </w:pPr>
      <w:r w:rsidRPr="00D032BE">
        <w:t>juriidilised isikud või üksused, mis on isikliku vara haldamise vahendid;</w:t>
      </w:r>
    </w:p>
    <w:p w:rsidR="00D032BE" w:rsidRPr="00D032BE" w:rsidRDefault="00D032BE" w:rsidP="00D032BE">
      <w:pPr>
        <w:pStyle w:val="Sinineloend"/>
      </w:pPr>
      <w:r w:rsidRPr="00D032BE">
        <w:t>ettevõtted, millel on aktsionäride esindajad või esitajaaktsiad;</w:t>
      </w:r>
    </w:p>
    <w:p w:rsidR="00D032BE" w:rsidRPr="00D032BE" w:rsidRDefault="00D032BE" w:rsidP="00D032BE">
      <w:pPr>
        <w:pStyle w:val="Sinineloend"/>
      </w:pPr>
      <w:r w:rsidRPr="00D032BE">
        <w:t>sularahamahukad ärivaldkonnad;</w:t>
      </w:r>
    </w:p>
    <w:p w:rsidR="00D032BE" w:rsidRPr="00D032BE" w:rsidRDefault="00D032BE" w:rsidP="00D032BE">
      <w:pPr>
        <w:pStyle w:val="Sinineloend"/>
      </w:pPr>
      <w:r w:rsidRPr="00D032BE">
        <w:lastRenderedPageBreak/>
        <w:t>ettevõtte omandistruktuur näib ettevõtte tegevusvaldkonda arvestades ebatavaline või liiga keerukas.</w:t>
      </w:r>
    </w:p>
    <w:p w:rsidR="00D032BE" w:rsidRPr="00D032BE" w:rsidRDefault="00D032BE" w:rsidP="00D032BE">
      <w:pPr>
        <w:pStyle w:val="a-thtloend"/>
      </w:pPr>
      <w:r w:rsidRPr="00D032BE">
        <w:t xml:space="preserve">b) </w:t>
      </w:r>
      <w:r w:rsidRPr="00D032BE">
        <w:tab/>
        <w:t>Riigi või geograafilise piirkonnaga seotud riskitegurid:</w:t>
      </w:r>
      <w:r w:rsidRPr="00D032BE">
        <w:rPr>
          <w:vertAlign w:val="superscript"/>
        </w:rPr>
        <w:footnoteReference w:id="34"/>
      </w:r>
    </w:p>
    <w:p w:rsidR="00D032BE" w:rsidRPr="00D032BE" w:rsidRDefault="00D032BE" w:rsidP="00D032BE">
      <w:pPr>
        <w:pStyle w:val="Sinineloend"/>
      </w:pPr>
      <w:r w:rsidRPr="00D032BE">
        <w:t xml:space="preserve">riigid, mille puhul on usaldusväärsete allikate, nt vastastikuste hindamiste või üksikasjalike hindamisaruannete või avaldatud järelkontrolliaruannete põhjal kindlaks tehtud, et nad ei rakenda piisavaid </w:t>
      </w:r>
      <w:r w:rsidR="002A32CF">
        <w:t>rahapesu</w:t>
      </w:r>
      <w:r w:rsidRPr="00D032BE">
        <w:t xml:space="preserve"> ja terrorismi rahastamise </w:t>
      </w:r>
      <w:r w:rsidR="002A32CF">
        <w:t>tõkestamise</w:t>
      </w:r>
      <w:r w:rsidRPr="00D032BE">
        <w:t xml:space="preserve"> meetmeid;</w:t>
      </w:r>
    </w:p>
    <w:p w:rsidR="00D032BE" w:rsidRPr="00D032BE" w:rsidRDefault="00D032BE" w:rsidP="00D032BE">
      <w:pPr>
        <w:pStyle w:val="Sinineloend"/>
      </w:pPr>
      <w:r w:rsidRPr="00D032BE">
        <w:t xml:space="preserve">riigid, mille suhtes näiteks ÜRO rakendab </w:t>
      </w:r>
      <w:r w:rsidR="00005173">
        <w:t>piiranguid</w:t>
      </w:r>
      <w:r w:rsidRPr="00D032BE">
        <w:t>, embargosid või muid sarnaseid meetmeid;</w:t>
      </w:r>
    </w:p>
    <w:p w:rsidR="00D032BE" w:rsidRPr="00D032BE" w:rsidRDefault="00D032BE" w:rsidP="00D032BE">
      <w:pPr>
        <w:pStyle w:val="Sinineloend"/>
      </w:pPr>
      <w:r w:rsidRPr="00D032BE">
        <w:t>riigid, mille puhul on usaldusväärsete allikate põhjal kindlaks tehtud, et nende korruptsiooni- või muu kuritegevuse tase on märkimisväärselt kõrge;</w:t>
      </w:r>
    </w:p>
    <w:p w:rsidR="00D032BE" w:rsidRPr="00D032BE" w:rsidRDefault="00D032BE" w:rsidP="00D032BE">
      <w:pPr>
        <w:pStyle w:val="Sinineloend"/>
      </w:pPr>
      <w:r w:rsidRPr="00D032BE">
        <w:t xml:space="preserve">riigid või geograafilised piirkonnad, mille puhul on usaldusväärsete allikate põhjal kindlaks tehtud, et nad rahastavad terroristide tegevust või nende territooriumil tegutsevad </w:t>
      </w:r>
      <w:r w:rsidR="00005173">
        <w:t>osundatud</w:t>
      </w:r>
      <w:r w:rsidRPr="00D032BE">
        <w:t xml:space="preserve"> terroristlikud ühendused.</w:t>
      </w:r>
    </w:p>
    <w:p w:rsidR="00D032BE" w:rsidRPr="00D032BE" w:rsidRDefault="00D032BE" w:rsidP="00D032BE">
      <w:pPr>
        <w:pStyle w:val="a-thtloend"/>
      </w:pPr>
      <w:r w:rsidRPr="00D032BE">
        <w:t xml:space="preserve">c) </w:t>
      </w:r>
      <w:r w:rsidRPr="00D032BE">
        <w:tab/>
        <w:t>Toodete, teenuste, tehingute või tarnekanalitega seotud riskitegurid:</w:t>
      </w:r>
    </w:p>
    <w:p w:rsidR="00D032BE" w:rsidRPr="00D032BE" w:rsidRDefault="00005173" w:rsidP="00D032BE">
      <w:pPr>
        <w:pStyle w:val="Sinineloend"/>
      </w:pPr>
      <w:r>
        <w:t>privaatpangandus</w:t>
      </w:r>
      <w:r w:rsidR="00D032BE" w:rsidRPr="00D032BE">
        <w:t>;</w:t>
      </w:r>
    </w:p>
    <w:p w:rsidR="00D032BE" w:rsidRPr="00D032BE" w:rsidRDefault="00D032BE" w:rsidP="00D032BE">
      <w:pPr>
        <w:pStyle w:val="Sinineloend"/>
      </w:pPr>
      <w:r w:rsidRPr="00D032BE">
        <w:t>anonüümsed tehingud (mis võivad hõlmata sularaha);</w:t>
      </w:r>
    </w:p>
    <w:p w:rsidR="00D032BE" w:rsidRPr="00D032BE" w:rsidRDefault="00D032BE" w:rsidP="00D032BE">
      <w:pPr>
        <w:pStyle w:val="Sinineloend"/>
      </w:pPr>
      <w:r w:rsidRPr="00D032BE">
        <w:t xml:space="preserve">vahetu kontaktita </w:t>
      </w:r>
      <w:r w:rsidR="00005173">
        <w:t xml:space="preserve">loodud </w:t>
      </w:r>
      <w:r w:rsidRPr="00D032BE">
        <w:t>ärisuhted või tehingud;</w:t>
      </w:r>
    </w:p>
    <w:p w:rsidR="00D032BE" w:rsidRPr="00D032BE" w:rsidRDefault="00D032BE" w:rsidP="00D032BE">
      <w:pPr>
        <w:pStyle w:val="Sinineloend"/>
      </w:pPr>
      <w:r w:rsidRPr="00D032BE">
        <w:t>tundmatult või mitteseotud kolmandatelt isikutelt saadud maksed.</w:t>
      </w:r>
    </w:p>
    <w:p w:rsidR="00D032BE" w:rsidRPr="00D032BE" w:rsidRDefault="00D032BE" w:rsidP="00D032BE">
      <w:pPr>
        <w:pStyle w:val="Pealkiri4"/>
      </w:pPr>
      <w:r w:rsidRPr="00D032BE">
        <w:t>Madal riski</w:t>
      </w:r>
      <w:r w:rsidR="00213F51">
        <w:t>aste</w:t>
      </w:r>
    </w:p>
    <w:p w:rsidR="00D032BE" w:rsidRPr="00D032BE" w:rsidRDefault="00D032BE" w:rsidP="00D032BE">
      <w:pPr>
        <w:pStyle w:val="Kehatekstloend"/>
      </w:pPr>
      <w:r w:rsidRPr="00D032BE">
        <w:t xml:space="preserve">16. </w:t>
      </w:r>
      <w:r w:rsidRPr="00D032BE">
        <w:tab/>
        <w:t xml:space="preserve">Teatavatel tingimustel võib rahapesu või terrorismi rahastamise </w:t>
      </w:r>
      <w:r w:rsidR="00213F51" w:rsidRPr="00D032BE">
        <w:t>riski</w:t>
      </w:r>
      <w:r w:rsidR="00213F51">
        <w:t>aste</w:t>
      </w:r>
      <w:r w:rsidR="00213F51" w:rsidRPr="00D032BE">
        <w:t xml:space="preserve"> </w:t>
      </w:r>
      <w:r w:rsidRPr="00D032BE">
        <w:t xml:space="preserve">olla madal. Sellises olukorras ja tingimusel, et riik või </w:t>
      </w:r>
      <w:r w:rsidR="006043CB">
        <w:t>finantsasutus</w:t>
      </w:r>
      <w:r w:rsidRPr="00D032BE">
        <w:t xml:space="preserve"> on riski piisavalt analüüsinud, võib riigil olla mõistlik lubada oma </w:t>
      </w:r>
      <w:r w:rsidR="006043CB">
        <w:t>finantsasutus</w:t>
      </w:r>
      <w:r w:rsidRPr="00D032BE">
        <w:t>tel rakendada lihtsustatud hoolsusmeetmeid.</w:t>
      </w:r>
    </w:p>
    <w:p w:rsidR="00D032BE" w:rsidRPr="00D032BE" w:rsidRDefault="00D032BE" w:rsidP="00D032BE">
      <w:pPr>
        <w:pStyle w:val="Kehatekstloend"/>
      </w:pPr>
      <w:r w:rsidRPr="00D032BE">
        <w:t xml:space="preserve">17. </w:t>
      </w:r>
      <w:r w:rsidRPr="00D032BE">
        <w:tab/>
        <w:t xml:space="preserve">Näited potentsiaalselt madalama </w:t>
      </w:r>
      <w:r w:rsidR="00213F51" w:rsidRPr="00D032BE">
        <w:t>riski</w:t>
      </w:r>
      <w:r w:rsidR="00213F51">
        <w:t>aste</w:t>
      </w:r>
      <w:r w:rsidR="00213F51" w:rsidRPr="00D032BE">
        <w:t xml:space="preserve"> </w:t>
      </w:r>
      <w:r w:rsidRPr="00D032BE">
        <w:t xml:space="preserve">olukordadest </w:t>
      </w:r>
      <w:r w:rsidR="002A32CF">
        <w:t>rahapesu</w:t>
      </w:r>
      <w:r w:rsidRPr="00D032BE">
        <w:t xml:space="preserve"> ja terrorismi rahastamise riskide hindamisel seoses eri liiki klientide, riikide või geograafiliste piirkondade ning konkreetsete toodete, teenuste, tehingute või tarnekanalitega hõlmavad järgmist:</w:t>
      </w:r>
    </w:p>
    <w:p w:rsidR="00D032BE" w:rsidRPr="00D032BE" w:rsidRDefault="00D032BE" w:rsidP="00D032BE">
      <w:pPr>
        <w:pStyle w:val="a-thtloend"/>
      </w:pPr>
      <w:r w:rsidRPr="00D032BE">
        <w:t xml:space="preserve">a) </w:t>
      </w:r>
      <w:r w:rsidRPr="00D032BE">
        <w:tab/>
        <w:t>kliendiga seotud riskitegurid:</w:t>
      </w:r>
    </w:p>
    <w:p w:rsidR="00D032BE" w:rsidRPr="00D032BE" w:rsidRDefault="006043CB" w:rsidP="00D032BE">
      <w:pPr>
        <w:pStyle w:val="Sinineloend"/>
      </w:pPr>
      <w:r>
        <w:t>finantsasutus</w:t>
      </w:r>
      <w:r w:rsidR="00D032BE" w:rsidRPr="00D032BE">
        <w:t xml:space="preserve">ed ja mittefinantsteenuseid pakkuvad määratud ettevõtjad ja kutsetöötajad – kui nende suhtes kehtivad nõuded võidelda rahapesu ja terrorismi rahastamise vastu kooskõlas FATFi soovitustega, kui nad on need nõuded tulemuslikult </w:t>
      </w:r>
      <w:r w:rsidR="00D032BE" w:rsidRPr="00D032BE">
        <w:lastRenderedPageBreak/>
        <w:t>täitnud ja kui nende üle teostatakse nende nõuete täitmise tagamiseks vastavalt soovitustele tõhusat järelevalvet või kontrolli;</w:t>
      </w:r>
    </w:p>
    <w:p w:rsidR="00D032BE" w:rsidRPr="00D032BE" w:rsidRDefault="00D032BE" w:rsidP="00D032BE">
      <w:pPr>
        <w:pStyle w:val="Sinineloend"/>
      </w:pPr>
      <w:r w:rsidRPr="00D032BE">
        <w:t xml:space="preserve">ettevõtted, mis on noteeritud börsil ja mille suhtes kehtivad avaldamisnõuded (kas börsieeskirjade või õigusaktide või </w:t>
      </w:r>
      <w:r w:rsidR="00005173" w:rsidRPr="00005173">
        <w:t>muude haldusvahendite</w:t>
      </w:r>
      <w:r w:rsidRPr="00005173">
        <w:t xml:space="preserve"> alusel</w:t>
      </w:r>
      <w:r w:rsidRPr="00D032BE">
        <w:t>), millega on kehtestatud kohustus tagada tegelike kasusaajate piisav läbipaistvus;</w:t>
      </w:r>
    </w:p>
    <w:p w:rsidR="00D032BE" w:rsidRPr="00D032BE" w:rsidRDefault="00D032BE" w:rsidP="00D032BE">
      <w:pPr>
        <w:pStyle w:val="Sinineloend"/>
      </w:pPr>
      <w:r w:rsidRPr="00D032BE">
        <w:t>riiklikud haldusasutused või ettevõtted.</w:t>
      </w:r>
    </w:p>
    <w:p w:rsidR="00D032BE" w:rsidRPr="00D032BE" w:rsidRDefault="00D032BE" w:rsidP="00D032BE">
      <w:pPr>
        <w:pStyle w:val="a-thtloend"/>
      </w:pPr>
      <w:r w:rsidRPr="00D032BE">
        <w:t xml:space="preserve">b) </w:t>
      </w:r>
      <w:r w:rsidRPr="00D032BE">
        <w:tab/>
        <w:t>Toodete, teenuste, tehingute või tarnekanalitega seotud riskitegurid:</w:t>
      </w:r>
    </w:p>
    <w:p w:rsidR="00D032BE" w:rsidRPr="00D032BE" w:rsidRDefault="00D032BE" w:rsidP="00D032BE">
      <w:pPr>
        <w:pStyle w:val="Sinineloend"/>
      </w:pPr>
      <w:r w:rsidRPr="00D032BE">
        <w:t>väikese kindlustusmaksega elukindlustuspoliisid (nt aastane kindlustusmakse ei ületa 1000 USD/eurot või ühekordne kindlustusmakse ei ületa 2500 USD/eurot);</w:t>
      </w:r>
    </w:p>
    <w:p w:rsidR="00D032BE" w:rsidRPr="00D032BE" w:rsidRDefault="00D032BE" w:rsidP="00D032BE">
      <w:pPr>
        <w:pStyle w:val="Sinineloend"/>
      </w:pPr>
      <w:r w:rsidRPr="00D032BE">
        <w:t>pensioniskeemide kindlustuspoliisid, kui puudub ennetähtaegse tagasiostu võimalus ja poliisi ei saa kasutada tagatisena;</w:t>
      </w:r>
    </w:p>
    <w:p w:rsidR="00D032BE" w:rsidRPr="00D032BE" w:rsidRDefault="00D032BE" w:rsidP="00D032BE">
      <w:pPr>
        <w:pStyle w:val="Sinineloend"/>
      </w:pPr>
      <w:r w:rsidRPr="00D032BE">
        <w:t>töötajatele väljateenitud aastate pensioni või muid sarnaseid pensionihüvitisi võimaldav skeem, mille puhul kindlustusmaksed arvatakse palgast maha ning pensioniskeemi tingimused ei võimalda skeemis osaleja huvide loovutamist;</w:t>
      </w:r>
    </w:p>
    <w:p w:rsidR="00D032BE" w:rsidRPr="00D032BE" w:rsidRDefault="00D032BE" w:rsidP="00D032BE">
      <w:pPr>
        <w:pStyle w:val="Sinineloend"/>
      </w:pPr>
      <w:r w:rsidRPr="00D032BE">
        <w:t>finantstooted või -teenused, mille raames teatud liiki klientidele osutatakse asjakohaselt määratletud ja piiritletud teenuseid eesmärgiga suurendada juurdepääsu finantsteenustele.</w:t>
      </w:r>
    </w:p>
    <w:p w:rsidR="00D032BE" w:rsidRPr="00D032BE" w:rsidRDefault="00D032BE" w:rsidP="00D032BE">
      <w:pPr>
        <w:pStyle w:val="a-thtloend"/>
      </w:pPr>
      <w:r w:rsidRPr="00D032BE">
        <w:t>c) Riigiga seotud riskitegurid:</w:t>
      </w:r>
    </w:p>
    <w:p w:rsidR="00D032BE" w:rsidRPr="00D032BE" w:rsidRDefault="00D032BE" w:rsidP="00D032BE">
      <w:pPr>
        <w:pStyle w:val="Sinineloend"/>
      </w:pPr>
      <w:r w:rsidRPr="00D032BE">
        <w:t xml:space="preserve">riigid, mille puhul on usaldusväärsete allikate, nt vastastikuste hindamiste või üksikasjalike hindamisaruannete põhjal kindlaks tehtud, et nad rakendavad tõhusaid </w:t>
      </w:r>
      <w:r w:rsidR="002A32CF">
        <w:t>rahapesu</w:t>
      </w:r>
      <w:r w:rsidRPr="00D032BE">
        <w:t xml:space="preserve"> ja terrorismi rahastamise </w:t>
      </w:r>
      <w:r w:rsidR="002A32CF">
        <w:t>tõkestamise</w:t>
      </w:r>
      <w:r w:rsidRPr="00D032BE">
        <w:t xml:space="preserve"> meetmeid;</w:t>
      </w:r>
    </w:p>
    <w:p w:rsidR="00D032BE" w:rsidRPr="00D032BE" w:rsidRDefault="00D032BE" w:rsidP="00D032BE">
      <w:pPr>
        <w:pStyle w:val="Sinineloend"/>
      </w:pPr>
      <w:r w:rsidRPr="00D032BE">
        <w:t xml:space="preserve">riigid, mille puhul on usaldusväärsete allikate põhjal kindlaks tehtud, et nende korruptsiooni- või </w:t>
      </w:r>
      <w:r w:rsidR="00986BA2">
        <w:t xml:space="preserve">muu </w:t>
      </w:r>
      <w:r w:rsidRPr="00D032BE">
        <w:t>kuritegevuse tase on madal.</w:t>
      </w:r>
    </w:p>
    <w:p w:rsidR="00D032BE" w:rsidRPr="00D032BE" w:rsidRDefault="00D032BE" w:rsidP="00D032BE">
      <w:pPr>
        <w:pStyle w:val="kehatekst"/>
      </w:pPr>
      <w:r w:rsidRPr="00D032BE">
        <w:t xml:space="preserve">Riskihindamiste teostamisel võiksid riigid või </w:t>
      </w:r>
      <w:r w:rsidR="006043CB">
        <w:t>finantsasutus</w:t>
      </w:r>
      <w:r w:rsidRPr="00D032BE">
        <w:t xml:space="preserve">ed vastavalt vajadusele arvesse võtta </w:t>
      </w:r>
      <w:r w:rsidR="002A32CF">
        <w:t>rahapesu</w:t>
      </w:r>
      <w:r w:rsidRPr="00D032BE">
        <w:t xml:space="preserve"> ja terrorismi rahastamise riski võimalikke erinevusi </w:t>
      </w:r>
      <w:r w:rsidR="00986BA2" w:rsidRPr="00D032BE">
        <w:t xml:space="preserve">riigi </w:t>
      </w:r>
      <w:r w:rsidRPr="00D032BE">
        <w:t>eri regioonide või piirkondade vahel.</w:t>
      </w:r>
    </w:p>
    <w:p w:rsidR="00D032BE" w:rsidRPr="00D032BE" w:rsidRDefault="00D032BE" w:rsidP="00D032BE">
      <w:pPr>
        <w:pStyle w:val="Kehatekstloend"/>
      </w:pPr>
      <w:r w:rsidRPr="00D032BE">
        <w:t xml:space="preserve">18. </w:t>
      </w:r>
      <w:r w:rsidRPr="00D032BE">
        <w:tab/>
        <w:t xml:space="preserve">Tuvastamise ja kontrolli puhul ei tähenda madalam </w:t>
      </w:r>
      <w:r w:rsidR="002A32CF">
        <w:t>rahapesu</w:t>
      </w:r>
      <w:r w:rsidRPr="00D032BE">
        <w:t xml:space="preserve"> ja terrorismi rahastamise </w:t>
      </w:r>
      <w:r w:rsidR="00213F51" w:rsidRPr="00D032BE">
        <w:t>riski</w:t>
      </w:r>
      <w:r w:rsidR="00213F51">
        <w:t>aste</w:t>
      </w:r>
      <w:r w:rsidR="00213F51" w:rsidRPr="00D032BE">
        <w:t xml:space="preserve"> </w:t>
      </w:r>
      <w:r w:rsidRPr="00D032BE">
        <w:t xml:space="preserve">automaatselt seda, et sama kliendi </w:t>
      </w:r>
      <w:r w:rsidR="00213F51" w:rsidRPr="00D032BE">
        <w:t>riski</w:t>
      </w:r>
      <w:r w:rsidR="00213F51">
        <w:t>aste</w:t>
      </w:r>
      <w:r w:rsidR="00213F51" w:rsidRPr="00D032BE">
        <w:t xml:space="preserve"> </w:t>
      </w:r>
      <w:r w:rsidRPr="00D032BE">
        <w:t>on madalam seoses kõikide hoolsusmeetmetega, eelkõige seoses tehingute jooksva kontrolliga.</w:t>
      </w:r>
    </w:p>
    <w:p w:rsidR="00D032BE" w:rsidRPr="00D032BE" w:rsidRDefault="00D032BE" w:rsidP="00D032BE">
      <w:pPr>
        <w:pStyle w:val="Pealkiri4"/>
      </w:pPr>
      <w:r w:rsidRPr="00D032BE">
        <w:t>Riskimuutujad</w:t>
      </w:r>
    </w:p>
    <w:p w:rsidR="00D032BE" w:rsidRPr="00D032BE" w:rsidRDefault="00D032BE" w:rsidP="00D032BE">
      <w:pPr>
        <w:pStyle w:val="Kehatekstloend"/>
      </w:pPr>
      <w:r w:rsidRPr="00D032BE">
        <w:t xml:space="preserve">19. </w:t>
      </w:r>
      <w:r w:rsidRPr="00D032BE">
        <w:tab/>
      </w:r>
      <w:r w:rsidR="002A32CF">
        <w:t>Rahapesu</w:t>
      </w:r>
      <w:r w:rsidRPr="00D032BE">
        <w:t xml:space="preserve"> ja terrorismi rahastamise riskide hindamisel seoses eri liiki klientide, riikide või geograafiliste piirkondade ning konkreetsete toodete, teenuste, tehingute või tarnekanalitega peaks </w:t>
      </w:r>
      <w:r w:rsidR="006043CB">
        <w:t>finantsasutus</w:t>
      </w:r>
      <w:r w:rsidRPr="00D032BE">
        <w:t xml:space="preserve"> arvesse võtma nende </w:t>
      </w:r>
      <w:r w:rsidRPr="00D032BE">
        <w:lastRenderedPageBreak/>
        <w:t>riskikategooriatega seotud riskimuutujaid. Need muutujad võivad võimalikku riski kas eraldi või koos suurendada või vähendada, mõjutades seega hoolsusmeetmete asjakohast ulatust. Näiteid sellistest muutujatest:</w:t>
      </w:r>
    </w:p>
    <w:p w:rsidR="00D032BE" w:rsidRPr="00D032BE" w:rsidRDefault="00D032BE" w:rsidP="00D032BE">
      <w:pPr>
        <w:pStyle w:val="Sinineloend"/>
      </w:pPr>
      <w:r w:rsidRPr="00D032BE">
        <w:t>konto</w:t>
      </w:r>
      <w:r w:rsidR="00986BA2">
        <w:t xml:space="preserve"> avamise</w:t>
      </w:r>
      <w:r w:rsidRPr="00D032BE">
        <w:t xml:space="preserve"> või ärisuhte </w:t>
      </w:r>
      <w:r w:rsidR="00986BA2">
        <w:t xml:space="preserve">loomise </w:t>
      </w:r>
      <w:r w:rsidRPr="00D032BE">
        <w:t>eesmärk;</w:t>
      </w:r>
    </w:p>
    <w:p w:rsidR="00D032BE" w:rsidRPr="00D032BE" w:rsidRDefault="00D032BE" w:rsidP="00D032BE">
      <w:pPr>
        <w:pStyle w:val="Sinineloend"/>
      </w:pPr>
      <w:r w:rsidRPr="00D032BE">
        <w:t>kliendi hoiustatavate varade määr või teostatavate tehingute suurus;</w:t>
      </w:r>
    </w:p>
    <w:p w:rsidR="00D032BE" w:rsidRPr="00D032BE" w:rsidRDefault="00D032BE" w:rsidP="00D032BE">
      <w:pPr>
        <w:pStyle w:val="Sinineloend"/>
      </w:pPr>
      <w:r w:rsidRPr="00D032BE">
        <w:t>ärisuhte regulaarsus või kestus.</w:t>
      </w:r>
    </w:p>
    <w:p w:rsidR="00D032BE" w:rsidRPr="00D032BE" w:rsidRDefault="00D032BE" w:rsidP="00D032BE">
      <w:pPr>
        <w:pStyle w:val="Pealkiri4"/>
      </w:pPr>
      <w:r w:rsidRPr="00D032BE">
        <w:t>Tugevdatud hoolsusmeetmed</w:t>
      </w:r>
    </w:p>
    <w:p w:rsidR="00D032BE" w:rsidRPr="00D032BE" w:rsidRDefault="00D032BE" w:rsidP="00D032BE">
      <w:pPr>
        <w:pStyle w:val="Kehatekstloend"/>
      </w:pPr>
      <w:r w:rsidRPr="00D032BE">
        <w:t xml:space="preserve">20. </w:t>
      </w:r>
      <w:r w:rsidRPr="00D032BE">
        <w:tab/>
      </w:r>
      <w:r w:rsidR="006043CB">
        <w:t>Finantsasutus</w:t>
      </w:r>
      <w:r w:rsidRPr="00D032BE">
        <w:t>ed peaksid mõistlikult võimalikus ulatuses uurima kõikide keerukate, ebatavaliste ja suuremahuliste tehingute tausta ja eesmärki ning kõiki ebatavalisi tehinguskeeme, millel pole selget maja</w:t>
      </w:r>
      <w:r w:rsidR="00986BA2">
        <w:t>nduslikku või ilmset seaduspärast</w:t>
      </w:r>
      <w:r w:rsidRPr="00D032BE">
        <w:t xml:space="preserve"> eesmärki. Kui </w:t>
      </w:r>
      <w:r w:rsidR="002A32CF">
        <w:t>rahapesu</w:t>
      </w:r>
      <w:r w:rsidRPr="00D032BE">
        <w:t xml:space="preserve"> ja terrorismi rahastamise riskid on suuremad, peaksid </w:t>
      </w:r>
      <w:r w:rsidR="006043CB">
        <w:t>finantsasutus</w:t>
      </w:r>
      <w:r w:rsidRPr="00D032BE">
        <w:t>ed olema kohustatud rakendama tugevdatud hoolsusmeetmeid</w:t>
      </w:r>
      <w:r w:rsidR="00986BA2">
        <w:t xml:space="preserve"> ulatuses</w:t>
      </w:r>
      <w:r w:rsidRPr="00D032BE">
        <w:t>, mis vastavad kindlaks tehtud riskidele. Eelkõige peaksid a</w:t>
      </w:r>
      <w:r w:rsidR="00986BA2">
        <w:t>s</w:t>
      </w:r>
      <w:r w:rsidRPr="00D032BE">
        <w:t xml:space="preserve">utused tugevdama ärisuhte kontrollimise ulatust ja olemust, et kindlaks teha, kas asjaomased tehingud või tegevused näivad ebatavalised või kahtlased. Näiteid tugevdatud hoolsusmeetmetest, mida võiks </w:t>
      </w:r>
      <w:r w:rsidR="00C62A36">
        <w:t>rakendada</w:t>
      </w:r>
      <w:r w:rsidR="00C62A36" w:rsidRPr="00D032BE">
        <w:t xml:space="preserve"> </w:t>
      </w:r>
      <w:r w:rsidRPr="00D032BE">
        <w:t xml:space="preserve">kõrgema </w:t>
      </w:r>
      <w:r w:rsidR="00213F51" w:rsidRPr="00D032BE">
        <w:t>riski</w:t>
      </w:r>
      <w:r w:rsidR="00213F51">
        <w:t>astmega</w:t>
      </w:r>
      <w:r w:rsidR="00213F51" w:rsidRPr="00D032BE">
        <w:t xml:space="preserve"> </w:t>
      </w:r>
      <w:r w:rsidRPr="00D032BE">
        <w:t>ärisuhetele:</w:t>
      </w:r>
    </w:p>
    <w:p w:rsidR="00D032BE" w:rsidRPr="00D032BE" w:rsidRDefault="00D032BE" w:rsidP="00D032BE">
      <w:pPr>
        <w:pStyle w:val="Sinineloend"/>
      </w:pPr>
      <w:r w:rsidRPr="00D032BE">
        <w:t>kliendilt lisateabe hankimine (nt amet, varade maht, avalike andmebaaside, interneti jne kaudu kättesaadav teave) ning kliendi ja tegeliku kasusaaja isikut tõendavate andmete korrapärasem uuendamine;</w:t>
      </w:r>
    </w:p>
    <w:p w:rsidR="00D032BE" w:rsidRPr="00D032BE" w:rsidRDefault="00D032BE" w:rsidP="00D032BE">
      <w:pPr>
        <w:pStyle w:val="Sinineloend"/>
      </w:pPr>
      <w:r w:rsidRPr="00D032BE">
        <w:t>lisateabe hankimine ärisuhte eesmärgi kohta;</w:t>
      </w:r>
    </w:p>
    <w:p w:rsidR="00D032BE" w:rsidRPr="00D032BE" w:rsidRDefault="00D032BE" w:rsidP="00D032BE">
      <w:pPr>
        <w:pStyle w:val="Sinineloend"/>
      </w:pPr>
      <w:r w:rsidRPr="00D032BE">
        <w:t xml:space="preserve">teabe hankimine kliendi rahaliste vahendite või </w:t>
      </w:r>
      <w:r w:rsidR="00986BA2">
        <w:t>vara</w:t>
      </w:r>
      <w:r w:rsidRPr="00D032BE">
        <w:t xml:space="preserve"> </w:t>
      </w:r>
      <w:r w:rsidR="00986BA2">
        <w:t>päritolu</w:t>
      </w:r>
      <w:r w:rsidRPr="00D032BE">
        <w:t xml:space="preserve"> kohta;</w:t>
      </w:r>
    </w:p>
    <w:p w:rsidR="00D032BE" w:rsidRPr="00D032BE" w:rsidRDefault="00D032BE" w:rsidP="00D032BE">
      <w:pPr>
        <w:pStyle w:val="Sinineloend"/>
      </w:pPr>
      <w:r w:rsidRPr="00D032BE">
        <w:t>teabe hankimine kavandatavate või teostatud tehingute põhjuste kohta;</w:t>
      </w:r>
    </w:p>
    <w:p w:rsidR="00D032BE" w:rsidRPr="00D032BE" w:rsidRDefault="00D032BE" w:rsidP="00D032BE">
      <w:pPr>
        <w:pStyle w:val="Sinineloend"/>
      </w:pPr>
      <w:r w:rsidRPr="00D032BE">
        <w:t xml:space="preserve">juhtkonnalt heakskiidu saamine ärisuhte </w:t>
      </w:r>
      <w:r w:rsidR="00986BA2">
        <w:t>loomiseks</w:t>
      </w:r>
      <w:r w:rsidRPr="00D032BE">
        <w:t xml:space="preserve"> või jätkamiseks;</w:t>
      </w:r>
    </w:p>
    <w:p w:rsidR="00D032BE" w:rsidRPr="00D032BE" w:rsidRDefault="00D032BE" w:rsidP="00D032BE">
      <w:pPr>
        <w:pStyle w:val="Sinineloend"/>
      </w:pPr>
      <w:r w:rsidRPr="00D032BE">
        <w:t>suurendades kontrollide arvu ja sagedust ning määratledes täiendavat uurimist vajavad tehinguskeemid;</w:t>
      </w:r>
    </w:p>
    <w:p w:rsidR="00D032BE" w:rsidRPr="00D032BE" w:rsidRDefault="00D032BE" w:rsidP="00D032BE">
      <w:pPr>
        <w:pStyle w:val="Sinineloend"/>
      </w:pPr>
      <w:r w:rsidRPr="00D032BE">
        <w:t xml:space="preserve">nõue, et esimene makse </w:t>
      </w:r>
      <w:r w:rsidR="00986BA2">
        <w:t xml:space="preserve">kliendi kontole tehakse sama </w:t>
      </w:r>
      <w:r w:rsidRPr="00D032BE">
        <w:t>kliendi nimel oleva</w:t>
      </w:r>
      <w:r w:rsidR="00986BA2">
        <w:t>lt</w:t>
      </w:r>
      <w:r w:rsidRPr="00D032BE">
        <w:t xml:space="preserve"> konto</w:t>
      </w:r>
      <w:r w:rsidR="00986BA2">
        <w:t>lt</w:t>
      </w:r>
      <w:r w:rsidRPr="00D032BE">
        <w:t xml:space="preserve"> sarnaseid hoolsusmeetmeid </w:t>
      </w:r>
      <w:r w:rsidR="00C62A36">
        <w:t>rakendava</w:t>
      </w:r>
      <w:r w:rsidR="00986BA2">
        <w:t>s</w:t>
      </w:r>
      <w:r w:rsidR="00C62A36" w:rsidRPr="00D032BE">
        <w:t xml:space="preserve"> </w:t>
      </w:r>
      <w:r w:rsidRPr="00D032BE">
        <w:t>panga</w:t>
      </w:r>
      <w:r w:rsidR="00986BA2">
        <w:t>s</w:t>
      </w:r>
      <w:r w:rsidRPr="00D032BE">
        <w:t>.</w:t>
      </w:r>
    </w:p>
    <w:p w:rsidR="00D032BE" w:rsidRPr="00D032BE" w:rsidRDefault="00D032BE" w:rsidP="00D032BE">
      <w:pPr>
        <w:pStyle w:val="Pealkiri4"/>
      </w:pPr>
      <w:r w:rsidRPr="00D032BE">
        <w:t>Lihtsustatud hoolsusmeetmed</w:t>
      </w:r>
    </w:p>
    <w:p w:rsidR="00D032BE" w:rsidRPr="00D032BE" w:rsidRDefault="00D032BE" w:rsidP="00D032BE">
      <w:pPr>
        <w:pStyle w:val="Kehatekstloend"/>
      </w:pPr>
      <w:r w:rsidRPr="00D032BE">
        <w:t xml:space="preserve">21. </w:t>
      </w:r>
      <w:r w:rsidRPr="00D032BE">
        <w:tab/>
        <w:t xml:space="preserve">Kui </w:t>
      </w:r>
      <w:r w:rsidR="002A32CF">
        <w:t>rahapesu</w:t>
      </w:r>
      <w:r w:rsidRPr="00D032BE">
        <w:t xml:space="preserve"> ja terrorismi rahastamise riskid on väiksemad, võiks </w:t>
      </w:r>
      <w:r w:rsidR="006043CB">
        <w:t>finantsasutus</w:t>
      </w:r>
      <w:r w:rsidRPr="00D032BE">
        <w:t xml:space="preserve">tel olla lubatud rakendada lihtsustatud hoolsusmeetmeid, mille puhul võetakse arvesse madala </w:t>
      </w:r>
      <w:r w:rsidR="00986BA2">
        <w:t>riski</w:t>
      </w:r>
      <w:r w:rsidR="00213F51">
        <w:t>astme</w:t>
      </w:r>
      <w:r w:rsidR="00213F51" w:rsidRPr="00D032BE">
        <w:t xml:space="preserve"> </w:t>
      </w:r>
      <w:r w:rsidRPr="00D032BE">
        <w:t xml:space="preserve">olemust. Lihtsustatud meetmed peaksid olema väiksemate riskiteguritega samaulatuslikud (nt lihtsustatud meetmeid võidakse </w:t>
      </w:r>
      <w:r w:rsidR="00C62A36">
        <w:t>rakendada</w:t>
      </w:r>
      <w:r w:rsidR="00C62A36" w:rsidRPr="00D032BE">
        <w:t xml:space="preserve"> </w:t>
      </w:r>
      <w:r w:rsidRPr="00D032BE">
        <w:t>üksnes kliendi aktsepteerimise või jooksva</w:t>
      </w:r>
      <w:r w:rsidR="008226AB">
        <w:t xml:space="preserve"> järelevalve</w:t>
      </w:r>
      <w:r w:rsidRPr="00D032BE">
        <w:t xml:space="preserve"> </w:t>
      </w:r>
      <w:r w:rsidR="008226AB">
        <w:t>monitooringu</w:t>
      </w:r>
      <w:r w:rsidRPr="00D032BE">
        <w:t xml:space="preserve"> </w:t>
      </w:r>
      <w:r w:rsidR="008226AB">
        <w:t>käigus</w:t>
      </w:r>
      <w:r w:rsidRPr="00D032BE">
        <w:t>). Näiteid võimalikest meetmetest:</w:t>
      </w:r>
    </w:p>
    <w:p w:rsidR="00D032BE" w:rsidRPr="00D032BE" w:rsidRDefault="00D032BE" w:rsidP="00D032BE">
      <w:pPr>
        <w:pStyle w:val="Sinineloend"/>
      </w:pPr>
      <w:r w:rsidRPr="00D032BE">
        <w:lastRenderedPageBreak/>
        <w:t xml:space="preserve">kliendi ja tegeliku kasusaaja </w:t>
      </w:r>
      <w:r w:rsidR="00557D30">
        <w:t>isik</w:t>
      </w:r>
      <w:r w:rsidRPr="00D032BE">
        <w:t xml:space="preserve"> kontrollitakse pärast ärisuhte sõlmimist (nt kui kontol tehtavad tehingud ületavad eelnevalt määratletud rahalise piirmäära);</w:t>
      </w:r>
    </w:p>
    <w:p w:rsidR="00D032BE" w:rsidRPr="00D032BE" w:rsidRDefault="00D032BE" w:rsidP="00D032BE">
      <w:pPr>
        <w:pStyle w:val="Sinineloend"/>
      </w:pPr>
      <w:r w:rsidRPr="00D032BE">
        <w:t>kliendi isikut tõendavaid andmeid uuendatakse harvemini;</w:t>
      </w:r>
    </w:p>
    <w:p w:rsidR="00D032BE" w:rsidRPr="00D032BE" w:rsidRDefault="00D032BE" w:rsidP="00D032BE">
      <w:pPr>
        <w:pStyle w:val="Sinineloend"/>
      </w:pPr>
      <w:r w:rsidRPr="00D032BE">
        <w:t>jooksva tehingute kontrollimise ulatuse vähendamine vastavalt mõistlikule rahalisele piirmäärale;</w:t>
      </w:r>
    </w:p>
    <w:p w:rsidR="00D032BE" w:rsidRPr="00D032BE" w:rsidRDefault="00D032BE" w:rsidP="00D032BE">
      <w:pPr>
        <w:pStyle w:val="Sinineloend"/>
      </w:pPr>
      <w:r w:rsidRPr="00D032BE">
        <w:t xml:space="preserve">ärisuhte eesmärgi ja kavandatava olemuse mõistmiseks ei koguta konkreetset teavet ega rakendata konkreetseid meetmeid, vaid asjaomased järeldused tehakse tehingute või sõlmitud ärisuhte </w:t>
      </w:r>
      <w:r w:rsidR="00986BA2">
        <w:t>tüübi</w:t>
      </w:r>
      <w:r w:rsidRPr="00D032BE">
        <w:t xml:space="preserve"> põhjal.</w:t>
      </w:r>
    </w:p>
    <w:p w:rsidR="00D032BE" w:rsidRPr="00D032BE" w:rsidRDefault="00D032BE" w:rsidP="00D032BE">
      <w:pPr>
        <w:pStyle w:val="kehatekst"/>
      </w:pPr>
      <w:r w:rsidRPr="00D032BE">
        <w:t xml:space="preserve">Lihtsustatud hoolsusmeetmed ei ole aktsepteeritavad, kui eksisteerib rahapesu või terrorismi rahastamise kahtlus või kui on tegemist kõrgema </w:t>
      </w:r>
      <w:r w:rsidR="00213F51" w:rsidRPr="00D032BE">
        <w:t>riski</w:t>
      </w:r>
      <w:r w:rsidR="00213F51">
        <w:t>astmega</w:t>
      </w:r>
      <w:r w:rsidR="00213F51" w:rsidRPr="00D032BE">
        <w:t xml:space="preserve"> </w:t>
      </w:r>
      <w:r w:rsidRPr="00D032BE">
        <w:t>stsenaariumitega.</w:t>
      </w:r>
    </w:p>
    <w:p w:rsidR="00D032BE" w:rsidRPr="00D032BE" w:rsidRDefault="00D032BE" w:rsidP="00D032BE">
      <w:pPr>
        <w:pStyle w:val="Pealkiri4"/>
      </w:pPr>
      <w:r w:rsidRPr="00D032BE">
        <w:t>Piirmäärad</w:t>
      </w:r>
    </w:p>
    <w:p w:rsidR="00D032BE" w:rsidRPr="00D032BE" w:rsidRDefault="00D032BE" w:rsidP="00D032BE">
      <w:pPr>
        <w:pStyle w:val="Kehatekstloend"/>
      </w:pPr>
      <w:r w:rsidRPr="00D032BE">
        <w:t xml:space="preserve">22. </w:t>
      </w:r>
      <w:r w:rsidRPr="00D032BE">
        <w:tab/>
        <w:t>Soovituse</w:t>
      </w:r>
      <w:r w:rsidR="00847867">
        <w:t xml:space="preserve"> </w:t>
      </w:r>
      <w:r w:rsidRPr="00D032BE">
        <w:t xml:space="preserve">10 kohaselt on juhuti teostatavate tehingute ettenähtud piirmäär 15 000 USD/eurot. Seda piirmäära ületavad finantstehingud hõlmavad olukordi, mil tehing teostatakse ühe </w:t>
      </w:r>
      <w:r w:rsidR="008226AB">
        <w:t>maksena</w:t>
      </w:r>
      <w:r w:rsidRPr="00D032BE">
        <w:t xml:space="preserve"> või </w:t>
      </w:r>
      <w:r w:rsidR="008226AB">
        <w:t>omavahelist seost omavate tehingute summana</w:t>
      </w:r>
      <w:r w:rsidRPr="00D032BE">
        <w:t>.</w:t>
      </w:r>
    </w:p>
    <w:p w:rsidR="00D032BE" w:rsidRPr="00D032BE" w:rsidRDefault="00D032BE" w:rsidP="00D032BE">
      <w:pPr>
        <w:pStyle w:val="Pealkiri4"/>
      </w:pPr>
      <w:r w:rsidRPr="00D032BE">
        <w:t>Jooksvad hoolsusmeetmed</w:t>
      </w:r>
    </w:p>
    <w:p w:rsidR="00D032BE" w:rsidRPr="00D032BE" w:rsidRDefault="00D032BE" w:rsidP="00D032BE">
      <w:pPr>
        <w:pStyle w:val="Kehatekstloend"/>
      </w:pPr>
      <w:r w:rsidRPr="00D032BE">
        <w:t xml:space="preserve">23. </w:t>
      </w:r>
      <w:r w:rsidRPr="00D032BE">
        <w:tab/>
      </w:r>
      <w:r w:rsidR="006043CB">
        <w:t>Finantsasutus</w:t>
      </w:r>
      <w:r w:rsidRPr="00D032BE">
        <w:t xml:space="preserve">ed peaksid olema kohustatud tagama hoolsusmeetmete rakendamise käigus kogutavate dokumentide, andmete ja teabe jooksva aja- ja asjakohasuse, kontrollides olemasolevaid andmeid eelkõige kõrgema </w:t>
      </w:r>
      <w:r w:rsidR="00213F51" w:rsidRPr="00D032BE">
        <w:t>riski</w:t>
      </w:r>
      <w:r w:rsidR="00213F51">
        <w:t>astmega</w:t>
      </w:r>
      <w:r w:rsidR="00213F51" w:rsidRPr="00D032BE">
        <w:t xml:space="preserve"> </w:t>
      </w:r>
      <w:r w:rsidRPr="00D032BE">
        <w:t>klientide osas.</w:t>
      </w:r>
    </w:p>
    <w:p w:rsidR="00D032BE" w:rsidRPr="00D032BE" w:rsidRDefault="00D032BE" w:rsidP="00D032BE">
      <w:pPr>
        <w:rPr>
          <w:rFonts w:ascii="Cambria" w:hAnsi="Cambria"/>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12 TÕLGENDAV MÄRKUS</w:t>
      </w:r>
    </w:p>
    <w:p w:rsidR="00D032BE" w:rsidRPr="00D032BE" w:rsidRDefault="00D032BE" w:rsidP="00D032BE">
      <w:pPr>
        <w:pStyle w:val="Pealkiri2"/>
      </w:pPr>
      <w:r w:rsidRPr="00D032BE">
        <w:t>(RIIKLIKU TAUSTAGA ISIKUD)</w:t>
      </w:r>
    </w:p>
    <w:p w:rsidR="00D032BE" w:rsidRPr="00D032BE" w:rsidRDefault="006043CB" w:rsidP="00D032BE">
      <w:pPr>
        <w:pStyle w:val="kehatekst"/>
      </w:pPr>
      <w:r>
        <w:t>Finantsasutus</w:t>
      </w:r>
      <w:r w:rsidR="00D032BE" w:rsidRPr="00D032BE">
        <w:t xml:space="preserve">ed peaksid võtma mõistlikke meetmeid, et teha kindlaks, kas elukindlustuspoliisi soodustatud isik ja/või vajaduse korral soodustatud isiku tegelik kasusaaja on riikliku taustaga isik. See peaks toimuma hiljemalt väljamakse tegemise ajal. Kui on kindlaks tehtud kõrgem </w:t>
      </w:r>
      <w:r w:rsidR="00213F51" w:rsidRPr="00D032BE">
        <w:t>riski</w:t>
      </w:r>
      <w:r w:rsidR="00213F51">
        <w:t>aste</w:t>
      </w:r>
      <w:r w:rsidR="00D032BE" w:rsidRPr="00D032BE">
        <w:t xml:space="preserve">, peaksid </w:t>
      </w:r>
      <w:r>
        <w:t>finantsasutus</w:t>
      </w:r>
      <w:r w:rsidR="00D032BE" w:rsidRPr="00D032BE">
        <w:t>ed lisaks tavapäraste hoolsusmeetmete rakendamisele olema kohustatud</w:t>
      </w:r>
    </w:p>
    <w:p w:rsidR="00D032BE" w:rsidRPr="00D032BE" w:rsidRDefault="00D032BE" w:rsidP="00D032BE">
      <w:pPr>
        <w:pStyle w:val="a-thtloend"/>
      </w:pPr>
      <w:r w:rsidRPr="00D032BE">
        <w:t>a)</w:t>
      </w:r>
      <w:r w:rsidRPr="00D032BE">
        <w:tab/>
        <w:t>teavitama juhtkonda enne poliisi alusel väljamakse teostamist; ja</w:t>
      </w:r>
    </w:p>
    <w:p w:rsidR="00D032BE" w:rsidRPr="00D032BE" w:rsidRDefault="00D032BE" w:rsidP="00D032BE">
      <w:pPr>
        <w:pStyle w:val="a-thtloend"/>
      </w:pPr>
      <w:r w:rsidRPr="00D032BE">
        <w:t xml:space="preserve">b) </w:t>
      </w:r>
      <w:r w:rsidRPr="00D032BE">
        <w:tab/>
        <w:t>rakendama tugevdatud kontrolli kogu ärisuhtele kindlustusvõtjaga ja kaaluma kahtlastest tehingutest teatamist.</w:t>
      </w:r>
    </w:p>
    <w:p w:rsidR="00D032BE" w:rsidRPr="00D032BE" w:rsidRDefault="00D032BE" w:rsidP="00D032BE">
      <w:pPr>
        <w:rPr>
          <w:rFonts w:ascii="Cambria" w:hAnsi="Cambria"/>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13 TÕLGENDAV MÄRKUS</w:t>
      </w:r>
    </w:p>
    <w:p w:rsidR="00D032BE" w:rsidRPr="00D032BE" w:rsidRDefault="00D032BE" w:rsidP="00D032BE">
      <w:pPr>
        <w:pStyle w:val="Pealkiri2"/>
      </w:pPr>
      <w:r w:rsidRPr="00D032BE">
        <w:t>(KORRESPONDENTPANGANDUS)</w:t>
      </w:r>
    </w:p>
    <w:p w:rsidR="00D032BE" w:rsidRPr="00D032BE" w:rsidRDefault="00D032BE" w:rsidP="00D032BE">
      <w:pPr>
        <w:pStyle w:val="kehatekst"/>
      </w:pPr>
      <w:r w:rsidRPr="00FF3614">
        <w:t xml:space="preserve">Sarnased suhted, millele </w:t>
      </w:r>
      <w:r w:rsidR="006043CB" w:rsidRPr="00FF3614">
        <w:t>finantsasutus</w:t>
      </w:r>
      <w:r w:rsidRPr="00FF3614">
        <w:t xml:space="preserve">ed peaksid kohaldama kriteeriume a–e, hõlmavad näiteks </w:t>
      </w:r>
      <w:r w:rsidR="00B86CDE" w:rsidRPr="00E079EA">
        <w:t>neid, mis on loodud</w:t>
      </w:r>
      <w:r w:rsidRPr="00FF3614">
        <w:t xml:space="preserve"> kas piiriülese </w:t>
      </w:r>
      <w:r w:rsidR="006043CB" w:rsidRPr="00FF3614">
        <w:t>finantsasutus</w:t>
      </w:r>
      <w:r w:rsidRPr="00FF3614">
        <w:t>e enda või tema klientide väärtpaberitehinguteks või rahaliste vahendite ülekandmiseks.</w:t>
      </w:r>
    </w:p>
    <w:p w:rsidR="00D032BE" w:rsidRPr="00D032BE" w:rsidRDefault="00D032BE" w:rsidP="00D032BE">
      <w:pPr>
        <w:pStyle w:val="kehatekst"/>
      </w:pPr>
      <w:r w:rsidRPr="00D032BE">
        <w:t>„</w:t>
      </w:r>
      <w:r w:rsidR="00BF1067">
        <w:t>L</w:t>
      </w:r>
      <w:r w:rsidR="00BF1067" w:rsidRPr="00BF1067">
        <w:t>aiendatud kasutusõigusega konto</w:t>
      </w:r>
      <w:r w:rsidRPr="00D032BE">
        <w:t>” tähendab korrespondentkontot, mida kolmandad isikud kasutavad otseselt enda nimel tehingute teostamiseks.</w:t>
      </w:r>
    </w:p>
    <w:p w:rsidR="00D032BE" w:rsidRPr="00D032BE" w:rsidRDefault="00D032BE" w:rsidP="00D032BE">
      <w:pPr>
        <w:rPr>
          <w:rFonts w:ascii="Cambria" w:hAnsi="Cambria"/>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14 TÕLGENDAV MÄRKUS</w:t>
      </w:r>
    </w:p>
    <w:p w:rsidR="00D032BE" w:rsidRPr="00D032BE" w:rsidRDefault="00D032BE" w:rsidP="00D032BE">
      <w:pPr>
        <w:pStyle w:val="Pealkiri2"/>
      </w:pPr>
      <w:r w:rsidRPr="00D032BE">
        <w:t xml:space="preserve">(RAHA VÕI </w:t>
      </w:r>
      <w:r w:rsidR="004F64DC">
        <w:t>ALTERNATIIVSE MAKSEVAHENDI</w:t>
      </w:r>
      <w:r w:rsidRPr="00D032BE">
        <w:t xml:space="preserve"> ÜLEKANDETEENUSED)</w:t>
      </w:r>
    </w:p>
    <w:p w:rsidR="00D032BE" w:rsidRPr="00D032BE" w:rsidRDefault="00D032BE" w:rsidP="00D032BE">
      <w:pPr>
        <w:pStyle w:val="kehatekst"/>
      </w:pPr>
      <w:r w:rsidRPr="00D032BE">
        <w:t xml:space="preserve">Riigid ei pea kehtestama eraldi litsentseerimis- või registreerimissüsteemi füüsilistele või juriidilistele isikutele, kes on asjaomases riigis juba litsentseeritud või registreeritud </w:t>
      </w:r>
      <w:r w:rsidR="006043CB">
        <w:t>finantsasutus</w:t>
      </w:r>
      <w:r w:rsidRPr="00D032BE">
        <w:t xml:space="preserve">tena (vastavalt FATFi soovituste määratlusele), millel on sellise litsentsi või registreerimise kohaselt lubatud osutada raha või </w:t>
      </w:r>
      <w:r w:rsidR="004F64DC" w:rsidRPr="004F64DC">
        <w:t>alternatiivse</w:t>
      </w:r>
      <w:r w:rsidR="00847867">
        <w:t xml:space="preserve"> </w:t>
      </w:r>
      <w:r w:rsidR="004F64DC" w:rsidRPr="004F64DC">
        <w:t>maksevahendi</w:t>
      </w:r>
      <w:r w:rsidRPr="00D032BE">
        <w:t xml:space="preserve"> ülekandeteenust ja mille suhtes kohaldatakse juba täiel määral FATFi soovitustes sätestatud kohustusi.</w:t>
      </w:r>
    </w:p>
    <w:p w:rsidR="00D032BE" w:rsidRPr="00D032BE" w:rsidRDefault="00D032BE" w:rsidP="00D032BE">
      <w:pPr>
        <w:rPr>
          <w:rFonts w:ascii="Cambria" w:hAnsi="Cambria"/>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16 TÕLGENDAV MÄRKUS</w:t>
      </w:r>
    </w:p>
    <w:p w:rsidR="00D032BE" w:rsidRPr="00D032BE" w:rsidRDefault="00D032BE" w:rsidP="00D032BE">
      <w:pPr>
        <w:pStyle w:val="Pealkiri2"/>
      </w:pPr>
      <w:r w:rsidRPr="00D032BE">
        <w:t>(ELEKTROONILISED ÜLEKANDED)</w:t>
      </w:r>
    </w:p>
    <w:p w:rsidR="00D032BE" w:rsidRPr="00D032BE" w:rsidRDefault="00D032BE" w:rsidP="00D032BE">
      <w:pPr>
        <w:pStyle w:val="A-pealkiri"/>
      </w:pPr>
      <w:r w:rsidRPr="00D032BE">
        <w:t xml:space="preserve">A. </w:t>
      </w:r>
      <w:r w:rsidRPr="00D032BE">
        <w:tab/>
        <w:t>EESMÄRK</w:t>
      </w:r>
    </w:p>
    <w:p w:rsidR="00D032BE" w:rsidRPr="00D032BE" w:rsidRDefault="00D032BE" w:rsidP="00D032BE">
      <w:pPr>
        <w:pStyle w:val="Kehatekstloend"/>
      </w:pPr>
      <w:r w:rsidRPr="00D032BE">
        <w:t xml:space="preserve">1. </w:t>
      </w:r>
      <w:r w:rsidRPr="00D032BE">
        <w:tab/>
        <w:t>S</w:t>
      </w:r>
      <w:r w:rsidRPr="00D032BE">
        <w:rPr>
          <w:szCs w:val="24"/>
        </w:rPr>
        <w:t>oovitus</w:t>
      </w:r>
      <w:r w:rsidR="00847867">
        <w:rPr>
          <w:szCs w:val="24"/>
        </w:rPr>
        <w:t xml:space="preserve"> </w:t>
      </w:r>
      <w:r w:rsidRPr="00D032BE">
        <w:rPr>
          <w:szCs w:val="24"/>
        </w:rPr>
        <w:t>16 töötati välja eesmärgiga takistada terroristide ja teiste kurjategijate piiramatut juurdepääsu elektroonilistele ülekannetele oma rahaliste vahendite liigutamiseks ning avastada väärkasutusjuhtumeid. Eelkõige on erisoovituse eesmärk tagada, et elektrooniliste ülekannete algatajate ja maksesaajate kohta oleks põhilised andmed viivitamatult kättesaadavad</w:t>
      </w:r>
    </w:p>
    <w:p w:rsidR="00D032BE" w:rsidRPr="00D032BE" w:rsidRDefault="00D032BE" w:rsidP="00D032BE">
      <w:pPr>
        <w:pStyle w:val="a-thtloend"/>
      </w:pPr>
      <w:r w:rsidRPr="00D032BE">
        <w:t xml:space="preserve">a) </w:t>
      </w:r>
      <w:r w:rsidRPr="00D032BE">
        <w:tab/>
      </w:r>
      <w:r w:rsidRPr="00D032BE">
        <w:rPr>
          <w:szCs w:val="24"/>
        </w:rPr>
        <w:t>asjakohastele õiguskaitseorganitele ja/või prokuratuurile, et aidata neil avastada, uurida ja kohtu alla anda terroriste või muid kurjategijaid ning jälitada terroristide või muude kurjategijate vara</w:t>
      </w:r>
      <w:r w:rsidRPr="00D032BE">
        <w:t>;</w:t>
      </w:r>
    </w:p>
    <w:p w:rsidR="00D032BE" w:rsidRPr="00D032BE" w:rsidRDefault="00D032BE" w:rsidP="00D032BE">
      <w:pPr>
        <w:pStyle w:val="a-thtloend"/>
      </w:pPr>
      <w:r w:rsidRPr="00D032BE">
        <w:t xml:space="preserve">b) </w:t>
      </w:r>
      <w:r w:rsidRPr="00D032BE">
        <w:tab/>
      </w:r>
      <w:r w:rsidR="00D86A5F">
        <w:rPr>
          <w:szCs w:val="24"/>
        </w:rPr>
        <w:t>Rahapesu andmebüroo</w:t>
      </w:r>
      <w:r w:rsidRPr="00D032BE">
        <w:rPr>
          <w:szCs w:val="24"/>
        </w:rPr>
        <w:t>dele kahtlaste või ebatavaliste tehingute analüüsimiseks ja vajaduse korral nende andmete levitamiseks</w:t>
      </w:r>
      <w:r w:rsidRPr="00D032BE">
        <w:t>, ning</w:t>
      </w:r>
    </w:p>
    <w:p w:rsidR="00D032BE" w:rsidRPr="00D032BE" w:rsidRDefault="00D032BE" w:rsidP="00D032BE">
      <w:pPr>
        <w:pStyle w:val="a-thtloend"/>
      </w:pPr>
      <w:r w:rsidRPr="00D032BE">
        <w:t xml:space="preserve">c) </w:t>
      </w:r>
      <w:r w:rsidRPr="00D032BE">
        <w:tab/>
        <w:t xml:space="preserve">ülekannet teostavatele, vahendavatele või maksesaajatest </w:t>
      </w:r>
      <w:r w:rsidR="006043CB">
        <w:t>finantsasutus</w:t>
      </w:r>
      <w:r w:rsidRPr="00D032BE">
        <w:t>tele, et lihtsustada kahtlaste tehingute kindlakstegemist ja nendest teatamist, kohaldada nõudeid blokeerimismeetmete rakendamiseks ning järgida määratud isikute ja üksustega tehingute teostamise keeldu vastavalt asjaomastele ÜRO Julgeolekunõukogu resolutsioonidele, nagu näiteks resolutsioon 1267 (1999) ja sellele järgnevad resolutsioonid ning resolutsioon 1373 (2001), milles käsitletakse terrorismi ja terrorismi rahastamise ennetamist ja tõkestamist.</w:t>
      </w:r>
    </w:p>
    <w:p w:rsidR="00D032BE" w:rsidRPr="00D032BE" w:rsidRDefault="00D032BE" w:rsidP="00D032BE">
      <w:pPr>
        <w:autoSpaceDE w:val="0"/>
        <w:autoSpaceDN w:val="0"/>
        <w:adjustRightInd w:val="0"/>
        <w:ind w:left="709" w:hanging="709"/>
        <w:rPr>
          <w:rFonts w:ascii="Cambria" w:hAnsi="Cambria"/>
          <w:sz w:val="24"/>
          <w:szCs w:val="24"/>
          <w:lang w:val="et-EE"/>
        </w:rPr>
      </w:pPr>
      <w:r w:rsidRPr="00D032BE">
        <w:rPr>
          <w:rFonts w:ascii="Cambria" w:hAnsi="Cambria"/>
          <w:sz w:val="24"/>
          <w:szCs w:val="24"/>
          <w:lang w:val="et-EE"/>
        </w:rPr>
        <w:t xml:space="preserve">2. </w:t>
      </w:r>
      <w:r w:rsidRPr="00D032BE">
        <w:rPr>
          <w:rFonts w:ascii="Cambria" w:hAnsi="Cambria"/>
          <w:sz w:val="24"/>
          <w:szCs w:val="24"/>
          <w:lang w:val="et-EE"/>
        </w:rPr>
        <w:tab/>
        <w:t>Nende eesmärkide täitmiseks peaksid riigid olema suutelised kõiki elektroonilisi ülekandeid jälgima. Väikestest ülekannetest tuleneva võimaliku terrorismi rahastamise ohu tõttu peaksid riigid viima piirmäära miinimumini, võttes arvesse tehingute põrandaaluseks muutumise riski ja rahalise kaasatuse tähtsust. FATFi eesmärk ei ole kehtestada rangeid standardeid või lubada ühtainust tööprotsessi, mis mõjutaks negatiivselt maksesüsteemi.</w:t>
      </w:r>
    </w:p>
    <w:p w:rsidR="00D032BE" w:rsidRPr="00D032BE" w:rsidRDefault="00D032BE" w:rsidP="00D032BE">
      <w:pPr>
        <w:pStyle w:val="A-pealkiri"/>
      </w:pPr>
      <w:r w:rsidRPr="00D032BE">
        <w:t xml:space="preserve">B. </w:t>
      </w:r>
      <w:r w:rsidRPr="00D032BE">
        <w:tab/>
        <w:t>REGULEERIMISALA</w:t>
      </w:r>
    </w:p>
    <w:p w:rsidR="00D032BE" w:rsidRPr="00D032BE" w:rsidRDefault="00D032BE" w:rsidP="00D032BE">
      <w:pPr>
        <w:pStyle w:val="Kehatekstloend"/>
      </w:pPr>
      <w:r w:rsidRPr="00D032BE">
        <w:t xml:space="preserve">3. </w:t>
      </w:r>
      <w:r w:rsidRPr="00D032BE">
        <w:tab/>
        <w:t>Soovitust</w:t>
      </w:r>
      <w:r w:rsidR="00847867">
        <w:t xml:space="preserve"> </w:t>
      </w:r>
      <w:r w:rsidRPr="00D032BE">
        <w:t>16 kohaldatakse rahvusvahelistele ja riigisisestele elektroonilistele ülekannetele, sh makseseeriatele ja „</w:t>
      </w:r>
      <w:proofErr w:type="spellStart"/>
      <w:r w:rsidR="00B86CDE" w:rsidRPr="00E079EA">
        <w:rPr>
          <w:i/>
        </w:rPr>
        <w:t>cover</w:t>
      </w:r>
      <w:proofErr w:type="spellEnd"/>
      <w:r w:rsidRPr="00D032BE">
        <w:t>” maksetele.</w:t>
      </w:r>
    </w:p>
    <w:p w:rsidR="00D032BE" w:rsidRPr="00D032BE" w:rsidRDefault="00D032BE" w:rsidP="00D032BE">
      <w:pPr>
        <w:pStyle w:val="Kehatekstloend"/>
      </w:pPr>
      <w:r w:rsidRPr="00D032BE">
        <w:t xml:space="preserve">4. </w:t>
      </w:r>
      <w:r w:rsidRPr="00D032BE">
        <w:tab/>
        <w:t>Soovitus</w:t>
      </w:r>
      <w:r w:rsidR="00847867">
        <w:t xml:space="preserve"> </w:t>
      </w:r>
      <w:r w:rsidRPr="00D032BE">
        <w:t>16 ei hõlma järgmisi makseliike:</w:t>
      </w:r>
    </w:p>
    <w:p w:rsidR="00D032BE" w:rsidRPr="00D032BE" w:rsidRDefault="00D032BE" w:rsidP="00D032BE">
      <w:pPr>
        <w:pStyle w:val="a-thtloend"/>
      </w:pPr>
      <w:r w:rsidRPr="00FF3614">
        <w:t xml:space="preserve">a) </w:t>
      </w:r>
      <w:r w:rsidRPr="00FF3614">
        <w:tab/>
      </w:r>
      <w:r w:rsidRPr="00FF3614">
        <w:rPr>
          <w:szCs w:val="24"/>
        </w:rPr>
        <w:t xml:space="preserve">ülekandeid, mis tulenevad krediit-, deebet- või ettemaksekaardiga kaupade või teenuste ostmiseks tehtavatest tehingutest, kui kõikidel tehingust tulenevatel ülekannetel </w:t>
      </w:r>
      <w:r w:rsidR="00B86CDE" w:rsidRPr="00E079EA">
        <w:rPr>
          <w:szCs w:val="24"/>
        </w:rPr>
        <w:t>on olemas</w:t>
      </w:r>
      <w:r w:rsidRPr="00FF3614">
        <w:rPr>
          <w:szCs w:val="24"/>
        </w:rPr>
        <w:t xml:space="preserve"> krediit-, deebet- või ettemaksekaardi number</w:t>
      </w:r>
      <w:r w:rsidRPr="00FF3614">
        <w:t xml:space="preserve">. Kui </w:t>
      </w:r>
      <w:r w:rsidRPr="00FF3614">
        <w:rPr>
          <w:szCs w:val="24"/>
        </w:rPr>
        <w:t xml:space="preserve">krediit-, deebet- või ettemaksekaarte kasutatakse maksesüsteemina isikutevaheliste rahaülekannete </w:t>
      </w:r>
      <w:r w:rsidRPr="00FF3614">
        <w:rPr>
          <w:szCs w:val="24"/>
        </w:rPr>
        <w:lastRenderedPageBreak/>
        <w:t>teostamisel, kuuluvad tehingud soovituse</w:t>
      </w:r>
      <w:r w:rsidR="00847867">
        <w:rPr>
          <w:szCs w:val="24"/>
        </w:rPr>
        <w:t xml:space="preserve"> </w:t>
      </w:r>
      <w:r w:rsidRPr="00FF3614">
        <w:rPr>
          <w:szCs w:val="24"/>
        </w:rPr>
        <w:t>16 alla ja vajalik teave tuleks esitada maksejuhises</w:t>
      </w:r>
      <w:r w:rsidRPr="00FF3614">
        <w:t>;</w:t>
      </w:r>
    </w:p>
    <w:p w:rsidR="00D032BE" w:rsidRPr="00D032BE" w:rsidRDefault="00D032BE" w:rsidP="00D032BE">
      <w:pPr>
        <w:pStyle w:val="a-thtloend"/>
      </w:pPr>
      <w:r w:rsidRPr="00D032BE">
        <w:t xml:space="preserve">b) </w:t>
      </w:r>
      <w:r w:rsidRPr="00D032BE">
        <w:tab/>
        <w:t xml:space="preserve">ülekandeid ühelt </w:t>
      </w:r>
      <w:r w:rsidR="006043CB">
        <w:t>finantsasutus</w:t>
      </w:r>
      <w:r w:rsidRPr="00D032BE">
        <w:t xml:space="preserve">elt teisele ja arveldused, kus nii ülekande algataja kui ka makse saaja on iseenda nimel tegutsevad </w:t>
      </w:r>
      <w:r w:rsidR="006043CB">
        <w:t>finantsasutus</w:t>
      </w:r>
      <w:r w:rsidRPr="00D032BE">
        <w:t>ed.</w:t>
      </w:r>
    </w:p>
    <w:p w:rsidR="00D032BE" w:rsidRPr="00D032BE" w:rsidRDefault="00D032BE" w:rsidP="00D032BE">
      <w:pPr>
        <w:pStyle w:val="Kehatekstloend"/>
      </w:pPr>
      <w:r w:rsidRPr="00D032BE">
        <w:t xml:space="preserve">5. </w:t>
      </w:r>
      <w:r w:rsidRPr="00D032BE">
        <w:tab/>
        <w:t xml:space="preserve">Riigid võivad rakendada rahvusvahelistele elektroonilistele ülekannetele </w:t>
      </w:r>
      <w:r w:rsidRPr="00D032BE">
        <w:rPr>
          <w:i/>
        </w:rPr>
        <w:t xml:space="preserve">de </w:t>
      </w:r>
      <w:proofErr w:type="spellStart"/>
      <w:r w:rsidRPr="00D032BE">
        <w:rPr>
          <w:i/>
        </w:rPr>
        <w:t>minimis</w:t>
      </w:r>
      <w:proofErr w:type="spellEnd"/>
      <w:r w:rsidRPr="00D032BE">
        <w:t xml:space="preserve"> piirmäära (maksimaalselt 1000 USD/eurot), millest allpool peaksid kehtima järgmised nõuded:</w:t>
      </w:r>
    </w:p>
    <w:p w:rsidR="00D032BE" w:rsidRPr="00D032BE" w:rsidRDefault="00D032BE" w:rsidP="00D032BE">
      <w:pPr>
        <w:pStyle w:val="a-thtloend"/>
      </w:pPr>
      <w:r w:rsidRPr="00D032BE">
        <w:t xml:space="preserve">a) </w:t>
      </w:r>
      <w:r w:rsidRPr="00D032BE">
        <w:tab/>
        <w:t xml:space="preserve">riigid peaksid tagama, et </w:t>
      </w:r>
      <w:r w:rsidR="006043CB">
        <w:t>finantsasutus</w:t>
      </w:r>
      <w:r w:rsidRPr="00D032BE">
        <w:t xml:space="preserve">ed lisavad sellistele ülekannetele: i) ülekande algataja nime; </w:t>
      </w:r>
      <w:proofErr w:type="spellStart"/>
      <w:r w:rsidRPr="00D032BE">
        <w:t>ii</w:t>
      </w:r>
      <w:proofErr w:type="spellEnd"/>
      <w:r w:rsidRPr="00D032BE">
        <w:t xml:space="preserve">) makse saaja nime ja </w:t>
      </w:r>
      <w:proofErr w:type="spellStart"/>
      <w:r w:rsidRPr="00D032BE">
        <w:t>iii</w:t>
      </w:r>
      <w:proofErr w:type="spellEnd"/>
      <w:r w:rsidRPr="00D032BE">
        <w:t xml:space="preserve">) kummagi osalise konto numbri või kordumatu tehingutunnuse. Sellise teabe kontrollimine ei ole vajalik, kui ei ole </w:t>
      </w:r>
      <w:r w:rsidR="002A32CF">
        <w:t>rahapesu</w:t>
      </w:r>
      <w:r w:rsidRPr="00D032BE">
        <w:t xml:space="preserve"> või terrorismi rahastamise kahtlust. Kahtluse olemasolu korral peaks </w:t>
      </w:r>
      <w:r w:rsidR="006043CB">
        <w:t>finantsasutus</w:t>
      </w:r>
      <w:r w:rsidRPr="00D032BE">
        <w:t xml:space="preserve"> oma kliendiga seotud teavet kontrollima;</w:t>
      </w:r>
    </w:p>
    <w:p w:rsidR="00D032BE" w:rsidRPr="00D032BE" w:rsidRDefault="00D032BE" w:rsidP="00D032BE">
      <w:pPr>
        <w:pStyle w:val="a-thtloend"/>
      </w:pPr>
      <w:r w:rsidRPr="00D032BE">
        <w:t xml:space="preserve">b) </w:t>
      </w:r>
      <w:r w:rsidRPr="00D032BE">
        <w:tab/>
      </w:r>
      <w:r w:rsidRPr="00D032BE">
        <w:rPr>
          <w:szCs w:val="24"/>
        </w:rPr>
        <w:t>riigid võivad aga nõuda, et sissetulevatele rahvusvahelistele elektroonilistele ülekannetele, mis jäävad allapoole piirmäära, oleks lisatud täielik ja täpne teave ülekande algataja kohta</w:t>
      </w:r>
      <w:r w:rsidRPr="00D032BE">
        <w:t>.</w:t>
      </w:r>
    </w:p>
    <w:p w:rsidR="00D032BE" w:rsidRPr="00D032BE" w:rsidRDefault="00D032BE" w:rsidP="00D032BE">
      <w:pPr>
        <w:pStyle w:val="A-pealkiri"/>
      </w:pPr>
      <w:r w:rsidRPr="00D032BE">
        <w:t xml:space="preserve">C. </w:t>
      </w:r>
      <w:r w:rsidRPr="00D032BE">
        <w:tab/>
        <w:t>RAHVUSVAHELISED ELEKTROONILISED ÜLEKANDED</w:t>
      </w:r>
    </w:p>
    <w:p w:rsidR="00D032BE" w:rsidRPr="00D032BE" w:rsidRDefault="00D032BE" w:rsidP="00D032BE">
      <w:pPr>
        <w:pStyle w:val="Kehatekstloend"/>
      </w:pPr>
      <w:r w:rsidRPr="00D032BE">
        <w:t xml:space="preserve">6. </w:t>
      </w:r>
      <w:r w:rsidRPr="00D032BE">
        <w:tab/>
        <w:t xml:space="preserve">Kõikidele elektroonilistele ülekannetele lisatav teave peaks alati sisaldama järgmist: </w:t>
      </w:r>
    </w:p>
    <w:p w:rsidR="00D032BE" w:rsidRPr="00D032BE" w:rsidRDefault="00D032BE" w:rsidP="00D032BE">
      <w:pPr>
        <w:pStyle w:val="a-thtloend"/>
      </w:pPr>
      <w:r w:rsidRPr="00D032BE">
        <w:t xml:space="preserve">a) </w:t>
      </w:r>
      <w:r w:rsidRPr="00D032BE">
        <w:tab/>
        <w:t>ülekande algataja nimi;</w:t>
      </w:r>
    </w:p>
    <w:p w:rsidR="00D032BE" w:rsidRPr="00D032BE" w:rsidRDefault="00D032BE" w:rsidP="00D032BE">
      <w:pPr>
        <w:pStyle w:val="a-thtloend"/>
      </w:pPr>
      <w:r w:rsidRPr="00D032BE">
        <w:t xml:space="preserve">b) </w:t>
      </w:r>
      <w:r w:rsidRPr="00D032BE">
        <w:tab/>
        <w:t>ülekande algataja konto number, kui sellist kontot kasutatakse tehingu töötlemiseks;</w:t>
      </w:r>
    </w:p>
    <w:p w:rsidR="00D032BE" w:rsidRPr="00D032BE" w:rsidRDefault="00D032BE" w:rsidP="00D032BE">
      <w:pPr>
        <w:pStyle w:val="a-thtloend"/>
      </w:pPr>
      <w:r w:rsidRPr="00D032BE">
        <w:t xml:space="preserve">c) </w:t>
      </w:r>
      <w:r w:rsidRPr="00D032BE">
        <w:tab/>
        <w:t>ülekande algataja aadress või riiklik isikukood või kliendi identifitseerimisnumber</w:t>
      </w:r>
      <w:r w:rsidRPr="00D032BE">
        <w:rPr>
          <w:rStyle w:val="Allmrkuseviide"/>
        </w:rPr>
        <w:footnoteReference w:id="35"/>
      </w:r>
      <w:r w:rsidRPr="00D032BE">
        <w:t xml:space="preserve"> või sünnikuupäev ja -koht;</w:t>
      </w:r>
    </w:p>
    <w:p w:rsidR="00D032BE" w:rsidRPr="00D032BE" w:rsidRDefault="00D032BE" w:rsidP="00D032BE">
      <w:pPr>
        <w:pStyle w:val="a-thtloend"/>
      </w:pPr>
      <w:r w:rsidRPr="00D032BE">
        <w:t xml:space="preserve">d) </w:t>
      </w:r>
      <w:r w:rsidRPr="00D032BE">
        <w:tab/>
        <w:t>makse saaja nimi ja</w:t>
      </w:r>
    </w:p>
    <w:p w:rsidR="00D032BE" w:rsidRPr="00D032BE" w:rsidRDefault="00D032BE" w:rsidP="00D032BE">
      <w:pPr>
        <w:pStyle w:val="a-thtloend"/>
      </w:pPr>
      <w:r w:rsidRPr="00D032BE">
        <w:t xml:space="preserve">e) </w:t>
      </w:r>
      <w:r w:rsidRPr="00D032BE">
        <w:tab/>
        <w:t>makse saaja konto number, kui sellist kontot kasutatakse tehingu töötlemiseks.</w:t>
      </w:r>
    </w:p>
    <w:p w:rsidR="00D032BE" w:rsidRPr="00D032BE" w:rsidRDefault="00D032BE" w:rsidP="00D032BE">
      <w:pPr>
        <w:pStyle w:val="Kehatekstloend"/>
      </w:pPr>
      <w:r w:rsidRPr="00D032BE">
        <w:t xml:space="preserve">7. </w:t>
      </w:r>
      <w:r w:rsidRPr="00D032BE">
        <w:tab/>
        <w:t>Konto puudumise korral tuleks lisada kordumatu tehingutunnus, mis võimaldab tehingu jälgimist.</w:t>
      </w:r>
    </w:p>
    <w:p w:rsidR="00D032BE" w:rsidRPr="00D032BE" w:rsidRDefault="00D032BE" w:rsidP="00D032BE">
      <w:pPr>
        <w:pStyle w:val="Kehatekstloend"/>
      </w:pPr>
      <w:r w:rsidRPr="00D032BE">
        <w:t xml:space="preserve">8. </w:t>
      </w:r>
      <w:r w:rsidRPr="00D032BE">
        <w:tab/>
        <w:t>Ülekande algataja maksejuhiste kogumi (</w:t>
      </w:r>
      <w:proofErr w:type="spellStart"/>
      <w:r w:rsidR="00B86CDE" w:rsidRPr="00E079EA">
        <w:rPr>
          <w:i/>
        </w:rPr>
        <w:t>batch</w:t>
      </w:r>
      <w:proofErr w:type="spellEnd"/>
      <w:r w:rsidR="00B86CDE" w:rsidRPr="00E079EA">
        <w:rPr>
          <w:i/>
        </w:rPr>
        <w:t xml:space="preserve"> </w:t>
      </w:r>
      <w:proofErr w:type="spellStart"/>
      <w:r w:rsidR="00B86CDE" w:rsidRPr="00E079EA">
        <w:rPr>
          <w:i/>
        </w:rPr>
        <w:t>file</w:t>
      </w:r>
      <w:proofErr w:type="spellEnd"/>
      <w:r w:rsidRPr="00D032BE">
        <w:t xml:space="preserve">) alusel tehtavatele rahvusvahelistele elektroonilistele ülekannetele ei ole kohustuslik lisada lõike 6 kohaselt nõutavat teavet ülekande algataja kohta, kui ülekandele on lisatud ülekande algataja kontonumber või kordumatu tehingutunnus (nagu kirjeldatud </w:t>
      </w:r>
      <w:r w:rsidRPr="00D032BE">
        <w:lastRenderedPageBreak/>
        <w:t>eespool punktis 7) ning maksejuhiste kogumile on lisatud täielik ja täpne teave ülekande algataja kohta ning täielik teave makse saaja kohta ning see teave on makse saaja riigis täielikult kättesaadav.</w:t>
      </w:r>
    </w:p>
    <w:p w:rsidR="00D032BE" w:rsidRPr="00D032BE" w:rsidRDefault="00D032BE" w:rsidP="00D032BE">
      <w:pPr>
        <w:pStyle w:val="A-pealkiri"/>
      </w:pPr>
      <w:r w:rsidRPr="00D032BE">
        <w:t xml:space="preserve">D. </w:t>
      </w:r>
      <w:r w:rsidRPr="00D032BE">
        <w:tab/>
        <w:t>RIIGISISESED ELEKTROONILISED ÜLEKANDED</w:t>
      </w:r>
    </w:p>
    <w:p w:rsidR="00D032BE" w:rsidRPr="00D032BE" w:rsidRDefault="00D032BE" w:rsidP="00D032BE">
      <w:pPr>
        <w:autoSpaceDE w:val="0"/>
        <w:autoSpaceDN w:val="0"/>
        <w:adjustRightInd w:val="0"/>
        <w:ind w:left="709" w:hanging="709"/>
        <w:rPr>
          <w:lang w:val="et-EE"/>
        </w:rPr>
      </w:pPr>
      <w:r w:rsidRPr="00D032BE">
        <w:rPr>
          <w:rFonts w:ascii="Cambria" w:hAnsi="Cambria"/>
          <w:sz w:val="24"/>
          <w:szCs w:val="24"/>
          <w:lang w:val="et-EE"/>
        </w:rPr>
        <w:t xml:space="preserve">9. </w:t>
      </w:r>
      <w:r w:rsidRPr="00D032BE">
        <w:rPr>
          <w:rFonts w:ascii="Cambria" w:hAnsi="Cambria"/>
          <w:sz w:val="24"/>
          <w:szCs w:val="24"/>
          <w:lang w:val="et-EE"/>
        </w:rPr>
        <w:tab/>
        <w:t xml:space="preserve">Riigisisestele elektroonilistele ülekannetele lisatav teave peab sisaldama ka andmeid ülekande algataja kohta sarnaselt rahvusvahelistele elektroonilistele ülekannetele, kui maksesaajatele </w:t>
      </w:r>
      <w:r w:rsidR="006043CB">
        <w:rPr>
          <w:rFonts w:ascii="Cambria" w:hAnsi="Cambria"/>
          <w:sz w:val="24"/>
          <w:szCs w:val="24"/>
          <w:lang w:val="et-EE"/>
        </w:rPr>
        <w:t>finantsasutus</w:t>
      </w:r>
      <w:r w:rsidRPr="00D032BE">
        <w:rPr>
          <w:rFonts w:ascii="Cambria" w:hAnsi="Cambria"/>
          <w:sz w:val="24"/>
          <w:szCs w:val="24"/>
          <w:lang w:val="et-EE"/>
        </w:rPr>
        <w:t xml:space="preserve">ele või asjakohastele ametiasutustele ei saa neid andmeid muul viisil kättesaadavateks teha. Viimasel juhul peavad ülekannet teostavad </w:t>
      </w:r>
      <w:r w:rsidR="006043CB">
        <w:rPr>
          <w:rFonts w:ascii="Cambria" w:hAnsi="Cambria"/>
          <w:sz w:val="24"/>
          <w:szCs w:val="24"/>
          <w:lang w:val="et-EE"/>
        </w:rPr>
        <w:t>finantsasutus</w:t>
      </w:r>
      <w:r w:rsidRPr="00D032BE">
        <w:rPr>
          <w:rFonts w:ascii="Cambria" w:hAnsi="Cambria"/>
          <w:sz w:val="24"/>
          <w:szCs w:val="24"/>
          <w:lang w:val="et-EE"/>
        </w:rPr>
        <w:t>ed lisama ülekandele ainult konto numbri või kordumatu tehingutunnuse, kui see konto või tunnus võimaldab seostada tehingut ülekande algataja või makse saajaga</w:t>
      </w:r>
      <w:r w:rsidRPr="00D032BE">
        <w:rPr>
          <w:lang w:val="et-EE"/>
        </w:rPr>
        <w:t>.</w:t>
      </w:r>
    </w:p>
    <w:p w:rsidR="00D032BE" w:rsidRPr="00D032BE" w:rsidRDefault="00D032BE" w:rsidP="00D032BE">
      <w:pPr>
        <w:autoSpaceDE w:val="0"/>
        <w:autoSpaceDN w:val="0"/>
        <w:adjustRightInd w:val="0"/>
        <w:spacing w:line="240" w:lineRule="auto"/>
        <w:ind w:left="709" w:hanging="709"/>
        <w:rPr>
          <w:lang w:val="et-EE"/>
        </w:rPr>
      </w:pPr>
    </w:p>
    <w:p w:rsidR="00D032BE" w:rsidRPr="00D032BE" w:rsidRDefault="00D032BE" w:rsidP="00D032BE">
      <w:pPr>
        <w:autoSpaceDE w:val="0"/>
        <w:autoSpaceDN w:val="0"/>
        <w:adjustRightInd w:val="0"/>
        <w:ind w:left="709" w:hanging="709"/>
        <w:rPr>
          <w:rFonts w:ascii="Cambria" w:hAnsi="Cambria"/>
          <w:sz w:val="24"/>
          <w:szCs w:val="24"/>
          <w:lang w:val="et-EE"/>
        </w:rPr>
      </w:pPr>
      <w:r w:rsidRPr="00D032BE">
        <w:rPr>
          <w:rFonts w:ascii="Cambria" w:hAnsi="Cambria"/>
          <w:sz w:val="24"/>
          <w:szCs w:val="24"/>
          <w:lang w:val="et-EE"/>
        </w:rPr>
        <w:t xml:space="preserve">10. </w:t>
      </w:r>
      <w:r w:rsidRPr="00D032BE">
        <w:rPr>
          <w:rFonts w:ascii="Cambria" w:hAnsi="Cambria"/>
          <w:sz w:val="24"/>
          <w:szCs w:val="24"/>
          <w:lang w:val="et-EE"/>
        </w:rPr>
        <w:tab/>
        <w:t xml:space="preserve">Ülekannet sooritav </w:t>
      </w:r>
      <w:r w:rsidR="006043CB">
        <w:rPr>
          <w:rFonts w:ascii="Cambria" w:hAnsi="Cambria"/>
          <w:sz w:val="24"/>
          <w:szCs w:val="24"/>
          <w:lang w:val="et-EE"/>
        </w:rPr>
        <w:t>finantsasutus</w:t>
      </w:r>
      <w:r w:rsidRPr="00D032BE">
        <w:rPr>
          <w:rFonts w:ascii="Cambria" w:hAnsi="Cambria"/>
          <w:sz w:val="24"/>
          <w:szCs w:val="24"/>
          <w:lang w:val="et-EE"/>
        </w:rPr>
        <w:t xml:space="preserve"> peaks tegema selle teabe kättesaadavaks kolme tööpäeva jooksul pärast taotluse saamist kas maksesaajalt </w:t>
      </w:r>
      <w:r w:rsidR="006043CB">
        <w:rPr>
          <w:rFonts w:ascii="Cambria" w:hAnsi="Cambria"/>
          <w:sz w:val="24"/>
          <w:szCs w:val="24"/>
          <w:lang w:val="et-EE"/>
        </w:rPr>
        <w:t>finantsasutus</w:t>
      </w:r>
      <w:r w:rsidRPr="00D032BE">
        <w:rPr>
          <w:rFonts w:ascii="Cambria" w:hAnsi="Cambria"/>
          <w:sz w:val="24"/>
          <w:szCs w:val="24"/>
          <w:lang w:val="et-EE"/>
        </w:rPr>
        <w:t>elt või asjakohastelt ametiasutustelt. Õiguskaitseorganitel peaks olema õigus nõuda sellise teabe viivitamatut esitamist.</w:t>
      </w:r>
    </w:p>
    <w:p w:rsidR="00D032BE" w:rsidRPr="00D032BE" w:rsidRDefault="00D032BE" w:rsidP="00D032BE">
      <w:pPr>
        <w:pStyle w:val="A-pealkiri"/>
      </w:pPr>
      <w:r w:rsidRPr="00D032BE">
        <w:t xml:space="preserve">E. </w:t>
      </w:r>
      <w:r w:rsidRPr="00D032BE">
        <w:tab/>
        <w:t xml:space="preserve">ÜLEKANNET TEOSTAVATE, VAHENDAVATE JA MAKSESAAJATE </w:t>
      </w:r>
      <w:r w:rsidR="006043CB">
        <w:t>FINANTSASUTUS</w:t>
      </w:r>
      <w:r w:rsidRPr="00D032BE">
        <w:t>TE KOHUSTUSED</w:t>
      </w:r>
    </w:p>
    <w:p w:rsidR="00D032BE" w:rsidRPr="00D032BE" w:rsidRDefault="00D032BE" w:rsidP="00D032BE">
      <w:pPr>
        <w:autoSpaceDE w:val="0"/>
        <w:autoSpaceDN w:val="0"/>
        <w:adjustRightInd w:val="0"/>
        <w:ind w:left="709" w:hanging="709"/>
        <w:rPr>
          <w:rFonts w:ascii="Cambria" w:hAnsi="Cambria"/>
          <w:sz w:val="24"/>
          <w:szCs w:val="24"/>
          <w:lang w:val="et-EE"/>
        </w:rPr>
      </w:pPr>
      <w:r w:rsidRPr="00D032BE">
        <w:rPr>
          <w:rFonts w:ascii="Cambria" w:hAnsi="Cambria"/>
          <w:sz w:val="24"/>
          <w:szCs w:val="24"/>
          <w:lang w:val="et-EE"/>
        </w:rPr>
        <w:t xml:space="preserve">11. </w:t>
      </w:r>
      <w:r w:rsidRPr="00D032BE">
        <w:rPr>
          <w:rFonts w:ascii="Cambria" w:hAnsi="Cambria"/>
          <w:sz w:val="24"/>
          <w:szCs w:val="24"/>
          <w:lang w:val="et-EE"/>
        </w:rPr>
        <w:tab/>
        <w:t xml:space="preserve">Ülekannet teostav </w:t>
      </w:r>
      <w:r w:rsidR="006043CB">
        <w:rPr>
          <w:rFonts w:ascii="Cambria" w:hAnsi="Cambria"/>
          <w:sz w:val="24"/>
          <w:szCs w:val="24"/>
          <w:lang w:val="et-EE"/>
        </w:rPr>
        <w:t>finantsasutus</w:t>
      </w:r>
      <w:r w:rsidRPr="00D032BE">
        <w:rPr>
          <w:rFonts w:ascii="Cambria" w:hAnsi="Cambria"/>
          <w:sz w:val="24"/>
          <w:szCs w:val="24"/>
          <w:lang w:val="et-EE"/>
        </w:rPr>
        <w:t xml:space="preserve"> peaks tagama, et nõuetele vastavatele elektroonilistele ülekannetele lisatakse nõutavad ja täpsed andmed ülekande algataja kohta ning nõutavad andmed makse saaja kohta.</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Kehatekstloend"/>
      </w:pPr>
      <w:r w:rsidRPr="00D032BE">
        <w:t xml:space="preserve">12. </w:t>
      </w:r>
      <w:r w:rsidRPr="00D032BE">
        <w:tab/>
        <w:t xml:space="preserve">Ülekannet teostav </w:t>
      </w:r>
      <w:r w:rsidR="006043CB">
        <w:t>finantsasutus</w:t>
      </w:r>
      <w:r w:rsidRPr="00D032BE">
        <w:t xml:space="preserve"> peaks tagama, et allapoole kehtivat piirmäära jäävatele rahvusvahelistele elektroonilistele ülekannetele on lisatud ülekande algataja nimi ja makse saaja nimi ning mõlema kontonumber või kordumatu tehingutunnus.</w:t>
      </w:r>
    </w:p>
    <w:p w:rsidR="00D032BE" w:rsidRPr="00D032BE" w:rsidRDefault="00D032BE" w:rsidP="00D032BE">
      <w:pPr>
        <w:pStyle w:val="Kehatekstloend"/>
      </w:pPr>
      <w:r w:rsidRPr="00D032BE">
        <w:t xml:space="preserve">13. </w:t>
      </w:r>
      <w:r w:rsidRPr="00D032BE">
        <w:tab/>
        <w:t xml:space="preserve">Ülekannet teostav </w:t>
      </w:r>
      <w:r w:rsidR="006043CB">
        <w:t>finantsasutus</w:t>
      </w:r>
      <w:r w:rsidRPr="00D032BE">
        <w:t xml:space="preserve"> peaks säilitama kõiki ülekande algataja ja makse saaja kohta kogutud andmeid vastavalt soovitusele</w:t>
      </w:r>
      <w:r w:rsidR="00847867">
        <w:t xml:space="preserve"> </w:t>
      </w:r>
      <w:r w:rsidRPr="00D032BE">
        <w:t>11.</w:t>
      </w:r>
    </w:p>
    <w:p w:rsidR="00D032BE" w:rsidRPr="00D032BE" w:rsidRDefault="00D032BE" w:rsidP="00D032BE">
      <w:pPr>
        <w:pStyle w:val="Kehatekstloend"/>
      </w:pPr>
      <w:r w:rsidRPr="00D032BE">
        <w:t xml:space="preserve">14. </w:t>
      </w:r>
      <w:r w:rsidRPr="00D032BE">
        <w:tab/>
        <w:t xml:space="preserve">Kui ülekannet teostav </w:t>
      </w:r>
      <w:r w:rsidR="006043CB">
        <w:t>finantsasutus</w:t>
      </w:r>
      <w:r w:rsidRPr="00D032BE">
        <w:t xml:space="preserve"> eespool sätestatud nõudeid ei täida, ei tohiks tal olla lubatud elektroonilist ülekannet teostada.</w:t>
      </w:r>
    </w:p>
    <w:p w:rsidR="00D032BE" w:rsidRPr="00D032BE" w:rsidRDefault="00D032BE" w:rsidP="00D032BE">
      <w:pPr>
        <w:pStyle w:val="Pealkiri4"/>
      </w:pPr>
      <w:r w:rsidRPr="00D032BE">
        <w:t xml:space="preserve">Vahendav </w:t>
      </w:r>
      <w:r w:rsidR="006043CB">
        <w:t>finantsasutus</w:t>
      </w:r>
    </w:p>
    <w:p w:rsidR="00D032BE" w:rsidRPr="00D032BE" w:rsidRDefault="00D032BE" w:rsidP="00D032BE">
      <w:pPr>
        <w:autoSpaceDE w:val="0"/>
        <w:autoSpaceDN w:val="0"/>
        <w:adjustRightInd w:val="0"/>
        <w:ind w:left="709" w:hanging="709"/>
        <w:rPr>
          <w:rFonts w:ascii="Cambria" w:hAnsi="Cambria"/>
          <w:sz w:val="24"/>
          <w:szCs w:val="24"/>
          <w:lang w:val="et-EE"/>
        </w:rPr>
      </w:pPr>
      <w:r w:rsidRPr="00D032BE">
        <w:rPr>
          <w:rFonts w:ascii="Cambria" w:hAnsi="Cambria"/>
          <w:sz w:val="24"/>
          <w:szCs w:val="24"/>
          <w:lang w:val="et-EE"/>
        </w:rPr>
        <w:t xml:space="preserve">15. </w:t>
      </w:r>
      <w:r w:rsidRPr="00D032BE">
        <w:rPr>
          <w:rFonts w:ascii="Cambria" w:hAnsi="Cambria"/>
          <w:sz w:val="24"/>
          <w:szCs w:val="24"/>
          <w:lang w:val="et-EE"/>
        </w:rPr>
        <w:tab/>
        <w:t xml:space="preserve">Rahvusvaheliste elektrooniliste ülekannete korral peaksid </w:t>
      </w:r>
      <w:r w:rsidR="006043CB">
        <w:rPr>
          <w:rFonts w:ascii="Cambria" w:hAnsi="Cambria"/>
          <w:sz w:val="24"/>
          <w:szCs w:val="24"/>
          <w:lang w:val="et-EE"/>
        </w:rPr>
        <w:t>finantsasutus</w:t>
      </w:r>
      <w:r w:rsidRPr="00D032BE">
        <w:rPr>
          <w:rFonts w:ascii="Cambria" w:hAnsi="Cambria"/>
          <w:sz w:val="24"/>
          <w:szCs w:val="24"/>
          <w:lang w:val="et-EE"/>
        </w:rPr>
        <w:t xml:space="preserve">ed, kellel on sellistes elektrooniliste ülekannete ahelates vahendaja osa, tagama, et kõik elektroonilisele ülekandele lisatud andmed ülekande algataja ja makse saaja kohta jääksid sellele ülekandele lisatuiks. </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autoSpaceDE w:val="0"/>
        <w:autoSpaceDN w:val="0"/>
        <w:adjustRightInd w:val="0"/>
        <w:ind w:left="709" w:hanging="709"/>
        <w:rPr>
          <w:rFonts w:ascii="Cambria" w:hAnsi="Cambria"/>
          <w:sz w:val="24"/>
          <w:szCs w:val="24"/>
          <w:lang w:val="et-EE"/>
        </w:rPr>
      </w:pPr>
      <w:r w:rsidRPr="00D032BE">
        <w:rPr>
          <w:rFonts w:ascii="Cambria" w:hAnsi="Cambria"/>
          <w:sz w:val="24"/>
          <w:szCs w:val="24"/>
          <w:lang w:val="et-EE"/>
        </w:rPr>
        <w:t xml:space="preserve">16. </w:t>
      </w:r>
      <w:r w:rsidRPr="00D032BE">
        <w:rPr>
          <w:rFonts w:ascii="Cambria" w:hAnsi="Cambria"/>
          <w:sz w:val="24"/>
          <w:szCs w:val="24"/>
          <w:lang w:val="et-EE"/>
        </w:rPr>
        <w:tab/>
        <w:t xml:space="preserve">Kui tehnilistel põhjustel ei jää rahvusvahelisele elektroonilisele ülekandele lisatud ülekande algataja või makse saaja nõutavad andmed lisatuiks sellega seotud riigisisesele elektroonilisele ülekandele, peaks ülekannet vahendav </w:t>
      </w:r>
      <w:r w:rsidR="006043CB">
        <w:rPr>
          <w:rFonts w:ascii="Cambria" w:hAnsi="Cambria"/>
          <w:sz w:val="24"/>
          <w:szCs w:val="24"/>
          <w:lang w:val="et-EE"/>
        </w:rPr>
        <w:lastRenderedPageBreak/>
        <w:t>finantsasutus</w:t>
      </w:r>
      <w:r w:rsidRPr="00D032BE">
        <w:rPr>
          <w:rFonts w:ascii="Cambria" w:hAnsi="Cambria"/>
          <w:sz w:val="24"/>
          <w:szCs w:val="24"/>
          <w:lang w:val="et-EE"/>
        </w:rPr>
        <w:t xml:space="preserve"> säilitama vähemalt viie aasta jooksul kõik ülekannet teostavalt </w:t>
      </w:r>
      <w:r w:rsidR="006043CB">
        <w:rPr>
          <w:rFonts w:ascii="Cambria" w:hAnsi="Cambria"/>
          <w:sz w:val="24"/>
          <w:szCs w:val="24"/>
          <w:lang w:val="et-EE"/>
        </w:rPr>
        <w:t>finantsasutus</w:t>
      </w:r>
      <w:r w:rsidRPr="00D032BE">
        <w:rPr>
          <w:rFonts w:ascii="Cambria" w:hAnsi="Cambria"/>
          <w:sz w:val="24"/>
          <w:szCs w:val="24"/>
          <w:lang w:val="et-EE"/>
        </w:rPr>
        <w:t xml:space="preserve">elt või teiselt vahendavalt </w:t>
      </w:r>
      <w:r w:rsidR="006043CB">
        <w:rPr>
          <w:rFonts w:ascii="Cambria" w:hAnsi="Cambria"/>
          <w:sz w:val="24"/>
          <w:szCs w:val="24"/>
          <w:lang w:val="et-EE"/>
        </w:rPr>
        <w:t>finantsasutus</w:t>
      </w:r>
      <w:r w:rsidRPr="00D032BE">
        <w:rPr>
          <w:rFonts w:ascii="Cambria" w:hAnsi="Cambria"/>
          <w:sz w:val="24"/>
          <w:szCs w:val="24"/>
          <w:lang w:val="et-EE"/>
        </w:rPr>
        <w:t>elt saadud andmed.</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Kehatekstloend"/>
      </w:pPr>
      <w:r w:rsidRPr="00D032BE">
        <w:t xml:space="preserve">17. </w:t>
      </w:r>
      <w:r w:rsidRPr="00D032BE">
        <w:tab/>
        <w:t xml:space="preserve">Vahendav </w:t>
      </w:r>
      <w:r w:rsidR="006043CB">
        <w:t>finantsasutus</w:t>
      </w:r>
      <w:r w:rsidRPr="00D032BE">
        <w:t xml:space="preserve"> peaks rakendama mõistlikke meetmeid selliste rahvusvaheliste elektrooniliste ülekannete tuvastamiseks, millel puuduvad nõutavad ülekande algataja andmed või nõutavad makse saaja andmed. Sellised meetmed peaksid olema kooskõlas täisautomaatse töötlusega.</w:t>
      </w:r>
    </w:p>
    <w:p w:rsidR="00D032BE" w:rsidRPr="00D032BE" w:rsidRDefault="00D032BE" w:rsidP="00D032BE">
      <w:pPr>
        <w:pStyle w:val="Kehatekstloend"/>
      </w:pPr>
      <w:r w:rsidRPr="00D032BE">
        <w:t xml:space="preserve">18. </w:t>
      </w:r>
      <w:r w:rsidRPr="00D032BE">
        <w:tab/>
        <w:t xml:space="preserve">Vahendav </w:t>
      </w:r>
      <w:r w:rsidR="006043CB">
        <w:t>finantsasutus</w:t>
      </w:r>
      <w:r w:rsidRPr="00D032BE">
        <w:t xml:space="preserve"> peaks kehtestama tõhusad riskipõhised tegevusjuhised ja protseduurireeglid, et otsustada: i) millal puudlike ülekande algataja või makse saaja andmetega elektroonilisi ülekandeid teostada, nende teostamisest keelduda või need peatada ja </w:t>
      </w:r>
      <w:proofErr w:type="spellStart"/>
      <w:r w:rsidRPr="00D032BE">
        <w:t>ii</w:t>
      </w:r>
      <w:proofErr w:type="spellEnd"/>
      <w:r w:rsidRPr="00D032BE">
        <w:t>) millised on asjakohased järelkontrollimeetmed.</w:t>
      </w:r>
    </w:p>
    <w:p w:rsidR="00D032BE" w:rsidRPr="00D032BE" w:rsidRDefault="00D032BE" w:rsidP="00D032BE">
      <w:pPr>
        <w:pStyle w:val="Pealkiri4"/>
      </w:pPr>
      <w:r w:rsidRPr="00D032BE">
        <w:t xml:space="preserve">Maksesaaja </w:t>
      </w:r>
      <w:r w:rsidR="006043CB">
        <w:t>finantsasutus</w:t>
      </w:r>
    </w:p>
    <w:p w:rsidR="00D032BE" w:rsidRPr="00D032BE" w:rsidRDefault="00D032BE" w:rsidP="00D032BE">
      <w:pPr>
        <w:pStyle w:val="Kehatekstloend"/>
      </w:pPr>
      <w:r w:rsidRPr="00D032BE">
        <w:t xml:space="preserve">19. </w:t>
      </w:r>
      <w:r w:rsidRPr="00D032BE">
        <w:tab/>
        <w:t xml:space="preserve">Maksesaaja </w:t>
      </w:r>
      <w:r w:rsidR="006043CB">
        <w:t>finantsasutus</w:t>
      </w:r>
      <w:r w:rsidRPr="00D032BE">
        <w:t xml:space="preserve"> peaks rakendama mõistlikke meetmeid puudulike ülekande algataja või makse saaja andmetega rahvusvaheliste elektrooniliste ülekannete tuvastamiseks. Sellised meetmed võivad hõlmata tehingujärgset jälgimist või reaalajas jälgimist, kui see on teostatav.</w:t>
      </w:r>
    </w:p>
    <w:p w:rsidR="00D032BE" w:rsidRPr="00D032BE" w:rsidRDefault="00D032BE" w:rsidP="00D032BE">
      <w:pPr>
        <w:pStyle w:val="Kehatekstloend"/>
      </w:pPr>
      <w:r w:rsidRPr="00D032BE">
        <w:t xml:space="preserve">20. </w:t>
      </w:r>
      <w:r w:rsidRPr="00D032BE">
        <w:tab/>
        <w:t xml:space="preserve">Nõuetele vastavate elektrooniliste ülekannete korral peaks maksesaaja </w:t>
      </w:r>
      <w:r w:rsidR="006043CB">
        <w:t>finantsasutus</w:t>
      </w:r>
      <w:r w:rsidRPr="00D032BE">
        <w:t xml:space="preserve"> kontrollima makse saaja isikusamasust, kui seda ei ole eelnevalt kontrollitud, ning säilitama neid andmeid kooskõlas soovitusega</w:t>
      </w:r>
      <w:r w:rsidR="00847867">
        <w:t xml:space="preserve"> </w:t>
      </w:r>
      <w:r w:rsidRPr="00D032BE">
        <w:t>11.</w:t>
      </w:r>
    </w:p>
    <w:p w:rsidR="00D032BE" w:rsidRPr="00D032BE" w:rsidRDefault="00D032BE" w:rsidP="00D032BE">
      <w:pPr>
        <w:pStyle w:val="Kehatekstloend"/>
      </w:pPr>
      <w:r w:rsidRPr="00D032BE">
        <w:t xml:space="preserve">21. </w:t>
      </w:r>
      <w:r w:rsidRPr="00D032BE">
        <w:tab/>
        <w:t xml:space="preserve">Maksesaaja </w:t>
      </w:r>
      <w:r w:rsidR="006043CB">
        <w:t>finantsasutus</w:t>
      </w:r>
      <w:r w:rsidRPr="00D032BE">
        <w:t xml:space="preserve"> peaks kehtestama tõhusad riskipõhised tegevusjuhised ja protseduurireeglid, et otsustada: i) millal puudlike ülekande algataja või makse saaja andmetega elektroonilisi ülekandeid teostada, nende teostamisest keelduda või need peatada ja </w:t>
      </w:r>
      <w:proofErr w:type="spellStart"/>
      <w:r w:rsidRPr="00D032BE">
        <w:t>ii</w:t>
      </w:r>
      <w:proofErr w:type="spellEnd"/>
      <w:r w:rsidRPr="00D032BE">
        <w:t>) millised on asjakohased järelkontrollimeetmed.</w:t>
      </w:r>
    </w:p>
    <w:p w:rsidR="00D032BE" w:rsidRPr="00D032BE" w:rsidRDefault="00D032BE" w:rsidP="00D032BE">
      <w:pPr>
        <w:pStyle w:val="A-pealkiri"/>
      </w:pPr>
      <w:r w:rsidRPr="00D032BE">
        <w:t xml:space="preserve">F. </w:t>
      </w:r>
      <w:r w:rsidRPr="00D032BE">
        <w:tab/>
        <w:t xml:space="preserve">RAHA VÕI </w:t>
      </w:r>
      <w:r w:rsidR="004F64DC">
        <w:t>ALTERNATIIVSE MAKSEVAHENDI</w:t>
      </w:r>
      <w:r w:rsidRPr="00D032BE">
        <w:t xml:space="preserve"> ÜLEKANDETEENUSE PAKKUJAD</w:t>
      </w:r>
    </w:p>
    <w:p w:rsidR="00D032BE" w:rsidRPr="00D032BE" w:rsidRDefault="00D032BE" w:rsidP="00D032BE">
      <w:pPr>
        <w:pStyle w:val="Kehatekstloend"/>
      </w:pPr>
      <w:r w:rsidRPr="00D032BE">
        <w:t xml:space="preserve">22. </w:t>
      </w:r>
      <w:r w:rsidRPr="00D032BE">
        <w:tab/>
        <w:t xml:space="preserve">Raha või </w:t>
      </w:r>
      <w:r w:rsidR="004F64DC" w:rsidRPr="004F64DC">
        <w:t>alternatiivse</w:t>
      </w:r>
      <w:r w:rsidR="00847867">
        <w:t xml:space="preserve"> </w:t>
      </w:r>
      <w:r w:rsidR="004F64DC" w:rsidRPr="004F64DC">
        <w:t>maksevahendi</w:t>
      </w:r>
      <w:r w:rsidRPr="00D032BE">
        <w:t xml:space="preserve"> ülekandeteenused pakkujad peaksid olema kohustatud täitma soovituse</w:t>
      </w:r>
      <w:r w:rsidR="00847867">
        <w:t xml:space="preserve"> </w:t>
      </w:r>
      <w:r w:rsidRPr="00D032BE">
        <w:t xml:space="preserve">16 kõiki asjakohaseid nõudeid riikides, kus nad otseselt või agentide kaudu tegutsevad. Raha või </w:t>
      </w:r>
      <w:r w:rsidR="004F64DC" w:rsidRPr="004F64DC">
        <w:t>alternatiivse</w:t>
      </w:r>
      <w:r w:rsidR="00847867">
        <w:t xml:space="preserve"> </w:t>
      </w:r>
      <w:r w:rsidR="004F64DC" w:rsidRPr="004F64DC">
        <w:t>maksevahendi</w:t>
      </w:r>
      <w:r w:rsidRPr="00D032BE">
        <w:t xml:space="preserve"> ülekandeteenuse sellise pakkuja puhul, kes omab kontrolli nii elektroonilise ülekande teostamise kui ka maksesaaja poole üle, peaks raha ja väärtuse ülekandeteenuse pakkuja:</w:t>
      </w:r>
    </w:p>
    <w:p w:rsidR="00D032BE" w:rsidRPr="00D032BE" w:rsidRDefault="00D032BE" w:rsidP="00D032BE">
      <w:pPr>
        <w:pStyle w:val="a-thtloend"/>
      </w:pPr>
      <w:r w:rsidRPr="00D032BE">
        <w:t xml:space="preserve">a) </w:t>
      </w:r>
      <w:r w:rsidRPr="00D032BE">
        <w:tab/>
        <w:t>võtma kahtlastest tehingutest teatamise vajalikkuse kindlakstegemisel arvesse kõiki andmeid nii ülekande teostamise kui ka maksesaaja poole kohta ja</w:t>
      </w:r>
    </w:p>
    <w:p w:rsidR="00D032BE" w:rsidRPr="00D032BE" w:rsidRDefault="00D032BE" w:rsidP="00D032BE">
      <w:pPr>
        <w:pStyle w:val="a-thtloend"/>
      </w:pPr>
      <w:r w:rsidRPr="00D032BE">
        <w:t xml:space="preserve">b) </w:t>
      </w:r>
      <w:r w:rsidRPr="00D032BE">
        <w:tab/>
        <w:t xml:space="preserve">teatama kahtlastest tehingutest igas selle kahtlase elektroonilise ülekandega seotud riigis ning tegema asjaomased tehingu andmed </w:t>
      </w:r>
      <w:r w:rsidR="00D86A5F">
        <w:t>Rahapesu andmebüroo</w:t>
      </w:r>
      <w:r w:rsidRPr="00D032BE">
        <w:t>le kättesaadavateks.</w:t>
      </w:r>
    </w:p>
    <w:p w:rsidR="00D032BE" w:rsidRPr="00D032BE" w:rsidRDefault="00D032BE" w:rsidP="00D032BE">
      <w:pPr>
        <w:pStyle w:val="kehatekst"/>
      </w:pPr>
    </w:p>
    <w:tbl>
      <w:tblPr>
        <w:tblW w:w="0" w:type="auto"/>
        <w:tblInd w:w="-34" w:type="dxa"/>
        <w:tblLook w:val="00A0" w:firstRow="1" w:lastRow="0" w:firstColumn="1" w:lastColumn="0" w:noHBand="0" w:noVBand="0"/>
      </w:tblPr>
      <w:tblGrid>
        <w:gridCol w:w="2686"/>
        <w:gridCol w:w="6590"/>
      </w:tblGrid>
      <w:tr w:rsidR="00D032BE" w:rsidRPr="00D032BE">
        <w:trPr>
          <w:tblHeader/>
        </w:trPr>
        <w:tc>
          <w:tcPr>
            <w:tcW w:w="9276" w:type="dxa"/>
            <w:gridSpan w:val="2"/>
          </w:tcPr>
          <w:p w:rsidR="00D032BE" w:rsidRPr="00D032BE" w:rsidRDefault="00D032BE" w:rsidP="00DF6E88">
            <w:pPr>
              <w:pStyle w:val="kehatekst"/>
              <w:spacing w:line="240" w:lineRule="auto"/>
              <w:ind w:left="0"/>
              <w:rPr>
                <w:rFonts w:ascii="Calibri" w:hAnsi="Calibri" w:cs="Calibri"/>
                <w:b/>
              </w:rPr>
            </w:pPr>
            <w:r w:rsidRPr="00D032BE">
              <w:rPr>
                <w:rFonts w:ascii="Calibri" w:hAnsi="Calibri" w:cs="Calibri"/>
                <w:b/>
                <w:color w:val="348093"/>
              </w:rPr>
              <w:t>Käesolevas soovituses kasutatakse järgmisi mõisteid:</w:t>
            </w:r>
          </w:p>
        </w:tc>
      </w:tr>
      <w:tr w:rsidR="00D07855" w:rsidRPr="003371E6">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lastRenderedPageBreak/>
              <w:t>„</w:t>
            </w:r>
            <w:proofErr w:type="spellStart"/>
            <w:r w:rsidRPr="00B86CDE">
              <w:rPr>
                <w:rFonts w:ascii="Calibri" w:hAnsi="Calibri" w:cs="Calibri"/>
                <w:b/>
                <w:i/>
              </w:rPr>
              <w:t>Cover</w:t>
            </w:r>
            <w:proofErr w:type="spellEnd"/>
            <w:r w:rsidRPr="00D032BE">
              <w:rPr>
                <w:rFonts w:ascii="Calibri" w:hAnsi="Calibri" w:cs="Calibri"/>
                <w:b/>
              </w:rPr>
              <w:t xml:space="preserve">” makse </w:t>
            </w:r>
          </w:p>
        </w:tc>
        <w:tc>
          <w:tcPr>
            <w:tcW w:w="6590" w:type="dxa"/>
          </w:tcPr>
          <w:p w:rsidR="00D07855" w:rsidRPr="00D032BE" w:rsidRDefault="00D07855" w:rsidP="00DF6E88">
            <w:pPr>
              <w:pStyle w:val="kehatekst"/>
              <w:spacing w:line="240" w:lineRule="auto"/>
              <w:ind w:left="0"/>
            </w:pPr>
            <w:r w:rsidRPr="00D032BE">
              <w:t xml:space="preserve">on elektrooniline ülekanne, </w:t>
            </w:r>
            <w:r w:rsidRPr="00B86CDE">
              <w:t xml:space="preserve">kus otse ülekannet teostavalt </w:t>
            </w:r>
            <w:r>
              <w:t>finantsasutus</w:t>
            </w:r>
            <w:r w:rsidRPr="00B86CDE">
              <w:t xml:space="preserve">elt maksasaaja </w:t>
            </w:r>
            <w:r>
              <w:t>finantsasutus</w:t>
            </w:r>
            <w:r w:rsidRPr="00B86CDE">
              <w:t>ele saadetavad maksejuhised on kombineeritud rahastamisjuhise („</w:t>
            </w:r>
            <w:proofErr w:type="spellStart"/>
            <w:r w:rsidRPr="00B86CDE">
              <w:rPr>
                <w:i/>
              </w:rPr>
              <w:t>cover</w:t>
            </w:r>
            <w:proofErr w:type="spellEnd"/>
            <w:r w:rsidRPr="00B86CDE">
              <w:t xml:space="preserve">”) suunamisega ülekannet teostavalt </w:t>
            </w:r>
            <w:r>
              <w:t>finantsasutus</w:t>
            </w:r>
            <w:r w:rsidRPr="00B86CDE">
              <w:t xml:space="preserve">elt maksesaaja </w:t>
            </w:r>
            <w:r>
              <w:t>finantsasutus</w:t>
            </w:r>
            <w:r w:rsidRPr="00B86CDE">
              <w:t xml:space="preserve">ele ühe või enama vahendava </w:t>
            </w:r>
            <w:r>
              <w:t>finantsasutus</w:t>
            </w:r>
            <w:r w:rsidRPr="00B86CDE">
              <w:t>e kaudu</w:t>
            </w:r>
            <w:r w:rsidRPr="00D032BE">
              <w:t>.</w:t>
            </w:r>
          </w:p>
        </w:tc>
      </w:tr>
      <w:tr w:rsidR="00D07855" w:rsidRPr="003371E6">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 xml:space="preserve">Elektrooniline ülekanne </w:t>
            </w:r>
          </w:p>
        </w:tc>
        <w:tc>
          <w:tcPr>
            <w:tcW w:w="6590" w:type="dxa"/>
          </w:tcPr>
          <w:p w:rsidR="00D07855" w:rsidRPr="00D032BE" w:rsidRDefault="00D07855" w:rsidP="00DF6E88">
            <w:pPr>
              <w:pStyle w:val="kehatekst"/>
              <w:spacing w:line="240" w:lineRule="auto"/>
              <w:ind w:left="0"/>
            </w:pPr>
            <w:r w:rsidRPr="00D032BE">
              <w:t xml:space="preserve">on </w:t>
            </w:r>
            <w:r>
              <w:t>finantsasutus</w:t>
            </w:r>
            <w:r w:rsidRPr="00D032BE">
              <w:t xml:space="preserve">e poolt ülekande algataja nimel elektrooniliste vahenditega teostatav tehing, mille eesmärk on teha teatav rahasumma kättesaadavaks makse saajale maksesaaja </w:t>
            </w:r>
            <w:r>
              <w:t>finantsasutus</w:t>
            </w:r>
            <w:r w:rsidRPr="00D032BE">
              <w:t>es, olenemata sellest kas ülekande algataja ja makse saaja on üks ja seesama isik</w:t>
            </w:r>
            <w:r w:rsidRPr="00D032BE">
              <w:rPr>
                <w:rStyle w:val="Allmrkuseviide"/>
              </w:rPr>
              <w:footnoteReference w:id="36"/>
            </w:r>
            <w:r w:rsidRPr="00D032BE">
              <w:t>.</w:t>
            </w:r>
          </w:p>
        </w:tc>
      </w:tr>
      <w:tr w:rsidR="00D07855" w:rsidRPr="003371E6">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Kordumatu tehingutunnus</w:t>
            </w:r>
          </w:p>
        </w:tc>
        <w:tc>
          <w:tcPr>
            <w:tcW w:w="6590" w:type="dxa"/>
          </w:tcPr>
          <w:p w:rsidR="00D07855" w:rsidRPr="00D032BE" w:rsidRDefault="00D07855" w:rsidP="00DF6E88">
            <w:pPr>
              <w:pStyle w:val="kehatekst"/>
              <w:spacing w:line="240" w:lineRule="auto"/>
              <w:ind w:left="0"/>
            </w:pPr>
            <w:r w:rsidRPr="00D032BE">
              <w:t>on makseteenuse osutaja poolt vastavalt elektroonilise ülekande teostamiseks kasutatava makse- ja arveldussüsteemi või maksejuhiste edastamise süsteemi protokollile määratav tähtede, numbrite või sümbolite kombinatsioon.</w:t>
            </w:r>
          </w:p>
        </w:tc>
      </w:tr>
      <w:tr w:rsidR="00D032BE" w:rsidRPr="003371E6">
        <w:tc>
          <w:tcPr>
            <w:tcW w:w="2686" w:type="dxa"/>
          </w:tcPr>
          <w:p w:rsidR="00D032BE" w:rsidRPr="00D032BE" w:rsidRDefault="00D032BE" w:rsidP="00DF6E88">
            <w:pPr>
              <w:pStyle w:val="kehatekst"/>
              <w:spacing w:line="240" w:lineRule="auto"/>
              <w:ind w:left="0"/>
              <w:jc w:val="left"/>
              <w:rPr>
                <w:rFonts w:ascii="Calibri" w:hAnsi="Calibri" w:cs="Calibri"/>
                <w:b/>
              </w:rPr>
            </w:pPr>
            <w:r w:rsidRPr="00D032BE">
              <w:rPr>
                <w:rFonts w:ascii="Calibri" w:hAnsi="Calibri" w:cs="Calibri"/>
                <w:b/>
              </w:rPr>
              <w:t xml:space="preserve">Makse saaja </w:t>
            </w:r>
          </w:p>
        </w:tc>
        <w:tc>
          <w:tcPr>
            <w:tcW w:w="6590" w:type="dxa"/>
          </w:tcPr>
          <w:p w:rsidR="00D032BE" w:rsidRPr="00D032BE" w:rsidRDefault="00D032BE" w:rsidP="00DF6E88">
            <w:pPr>
              <w:pStyle w:val="kehatekst"/>
              <w:spacing w:line="240" w:lineRule="auto"/>
              <w:ind w:left="0"/>
            </w:pPr>
            <w:r w:rsidRPr="00D032BE">
              <w:t xml:space="preserve">on füüsiline või juriidiline isik või </w:t>
            </w:r>
            <w:r w:rsidR="00DD0067">
              <w:t xml:space="preserve">lepinguline </w:t>
            </w:r>
            <w:r w:rsidRPr="00D032BE">
              <w:t>õiguslik üksus, kelle ülekande algataja on märkinud taotletava elektroonilise ülekande saajaks.</w:t>
            </w:r>
          </w:p>
        </w:tc>
      </w:tr>
      <w:tr w:rsidR="00D032BE" w:rsidRPr="003371E6">
        <w:tc>
          <w:tcPr>
            <w:tcW w:w="2686" w:type="dxa"/>
          </w:tcPr>
          <w:p w:rsidR="00D032BE" w:rsidRPr="00D032BE" w:rsidRDefault="00D032BE" w:rsidP="00DF6E88">
            <w:pPr>
              <w:pStyle w:val="kehatekst"/>
              <w:spacing w:line="240" w:lineRule="auto"/>
              <w:ind w:left="0"/>
              <w:jc w:val="left"/>
              <w:rPr>
                <w:rFonts w:ascii="Calibri" w:hAnsi="Calibri" w:cs="Calibri"/>
                <w:b/>
              </w:rPr>
            </w:pPr>
            <w:r w:rsidRPr="00D032BE">
              <w:rPr>
                <w:rFonts w:ascii="Calibri" w:hAnsi="Calibri" w:cs="Calibri"/>
                <w:b/>
              </w:rPr>
              <w:t xml:space="preserve">Maksesaaja </w:t>
            </w:r>
            <w:r w:rsidR="006043CB">
              <w:rPr>
                <w:rFonts w:ascii="Calibri" w:hAnsi="Calibri" w:cs="Calibri"/>
                <w:b/>
              </w:rPr>
              <w:t>finantsasutus</w:t>
            </w:r>
          </w:p>
        </w:tc>
        <w:tc>
          <w:tcPr>
            <w:tcW w:w="6590" w:type="dxa"/>
          </w:tcPr>
          <w:p w:rsidR="00D032BE" w:rsidRPr="00D032BE" w:rsidRDefault="00D032BE" w:rsidP="00DF6E88">
            <w:pPr>
              <w:pStyle w:val="kehatekst"/>
              <w:spacing w:line="240" w:lineRule="auto"/>
              <w:ind w:left="0"/>
            </w:pPr>
            <w:r w:rsidRPr="00D032BE">
              <w:t xml:space="preserve">on </w:t>
            </w:r>
            <w:r w:rsidR="006043CB">
              <w:t>finantsasutus</w:t>
            </w:r>
            <w:r w:rsidRPr="00D032BE">
              <w:t xml:space="preserve">, mis võtab elektroonilise ülekande vastu otse ülekannet teostavalt </w:t>
            </w:r>
            <w:r w:rsidR="006043CB">
              <w:t>finantsasutus</w:t>
            </w:r>
            <w:r w:rsidRPr="00D032BE">
              <w:t xml:space="preserve">elt või vahendava </w:t>
            </w:r>
            <w:r w:rsidR="006043CB">
              <w:t>finantsasutus</w:t>
            </w:r>
            <w:r w:rsidRPr="00D032BE">
              <w:t>e kaudu ning teeb rahalised vahendid makse saajale kättesaadavateks.</w:t>
            </w:r>
          </w:p>
        </w:tc>
      </w:tr>
      <w:tr w:rsidR="00D07855" w:rsidRPr="003371E6">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 xml:space="preserve">Nõuetele vastav elektrooniline ülekanne </w:t>
            </w:r>
          </w:p>
        </w:tc>
        <w:tc>
          <w:tcPr>
            <w:tcW w:w="6590" w:type="dxa"/>
          </w:tcPr>
          <w:p w:rsidR="00D07855" w:rsidRPr="00D032BE" w:rsidRDefault="00D07855" w:rsidP="00DF6E88">
            <w:pPr>
              <w:pStyle w:val="kehatekst"/>
              <w:spacing w:line="240" w:lineRule="auto"/>
              <w:ind w:left="0"/>
            </w:pPr>
            <w:r w:rsidRPr="00D032BE">
              <w:t>on rahvusvaheline elektrooniline ülekanne, mis jääb soovituse</w:t>
            </w:r>
            <w:r w:rsidR="00847867">
              <w:t xml:space="preserve"> </w:t>
            </w:r>
            <w:r w:rsidRPr="00D032BE">
              <w:t>15 tõlgendava märkuse lõikes 5 kirjeldatud piirmäärast ülespoole.</w:t>
            </w:r>
          </w:p>
        </w:tc>
      </w:tr>
      <w:tr w:rsidR="00D032BE" w:rsidRPr="00D032BE">
        <w:tc>
          <w:tcPr>
            <w:tcW w:w="2686" w:type="dxa"/>
          </w:tcPr>
          <w:p w:rsidR="00D032BE" w:rsidRPr="00D032BE" w:rsidRDefault="00D032BE" w:rsidP="00DF6E88">
            <w:pPr>
              <w:pStyle w:val="kehatekst"/>
              <w:spacing w:line="240" w:lineRule="auto"/>
              <w:ind w:left="0"/>
              <w:jc w:val="left"/>
              <w:rPr>
                <w:rFonts w:ascii="Calibri" w:hAnsi="Calibri" w:cs="Calibri"/>
                <w:b/>
              </w:rPr>
            </w:pPr>
            <w:r w:rsidRPr="00D032BE">
              <w:rPr>
                <w:rFonts w:ascii="Calibri" w:hAnsi="Calibri" w:cs="Calibri"/>
                <w:b/>
              </w:rPr>
              <w:t xml:space="preserve">Rahvusvaheline elektrooniline ülekanne </w:t>
            </w:r>
          </w:p>
        </w:tc>
        <w:tc>
          <w:tcPr>
            <w:tcW w:w="6590" w:type="dxa"/>
          </w:tcPr>
          <w:p w:rsidR="00D032BE" w:rsidRPr="00D032BE" w:rsidRDefault="00D032BE" w:rsidP="00DF6E88">
            <w:pPr>
              <w:pStyle w:val="kehatekst"/>
              <w:spacing w:line="240" w:lineRule="auto"/>
              <w:ind w:left="0"/>
            </w:pPr>
            <w:r w:rsidRPr="00D032BE">
              <w:t xml:space="preserve">on elektrooniline ülekanne, mille puhul ülekannet teostav </w:t>
            </w:r>
            <w:r w:rsidR="006043CB">
              <w:t>finantsasutus</w:t>
            </w:r>
            <w:r w:rsidRPr="00D032BE">
              <w:t xml:space="preserve"> ja maksesaaja </w:t>
            </w:r>
            <w:r w:rsidR="006043CB">
              <w:t>finantsasutus</w:t>
            </w:r>
            <w:r w:rsidRPr="00D032BE">
              <w:t xml:space="preserve"> asuvad eri riikides. See hõlmab ka elektrooniliste ülekannete ahelat, milles vähemalt üks osalev </w:t>
            </w:r>
            <w:r w:rsidR="006043CB">
              <w:t>finantsasutus</w:t>
            </w:r>
            <w:r w:rsidRPr="00D032BE">
              <w:t xml:space="preserve"> asub teises riigis.</w:t>
            </w:r>
          </w:p>
        </w:tc>
      </w:tr>
      <w:tr w:rsidR="00D032BE" w:rsidRPr="00D032BE">
        <w:tc>
          <w:tcPr>
            <w:tcW w:w="2686" w:type="dxa"/>
          </w:tcPr>
          <w:p w:rsidR="00D032BE" w:rsidRPr="00D032BE" w:rsidRDefault="00D032BE" w:rsidP="00DF6E88">
            <w:pPr>
              <w:pStyle w:val="kehatekst"/>
              <w:spacing w:line="240" w:lineRule="auto"/>
              <w:ind w:left="0"/>
              <w:jc w:val="left"/>
              <w:rPr>
                <w:rFonts w:ascii="Calibri" w:hAnsi="Calibri" w:cs="Calibri"/>
                <w:b/>
              </w:rPr>
            </w:pPr>
            <w:r w:rsidRPr="00D032BE">
              <w:rPr>
                <w:rFonts w:ascii="Calibri" w:hAnsi="Calibri" w:cs="Calibri"/>
                <w:b/>
              </w:rPr>
              <w:t xml:space="preserve">Riigisisene elektrooniline ülekanne </w:t>
            </w:r>
          </w:p>
        </w:tc>
        <w:tc>
          <w:tcPr>
            <w:tcW w:w="6590" w:type="dxa"/>
          </w:tcPr>
          <w:p w:rsidR="00D032BE" w:rsidRPr="00D032BE" w:rsidRDefault="00D032BE" w:rsidP="00DF6E88">
            <w:pPr>
              <w:pStyle w:val="kehatekst"/>
              <w:spacing w:line="240" w:lineRule="auto"/>
              <w:ind w:left="0"/>
            </w:pPr>
            <w:r w:rsidRPr="00D032BE">
              <w:t xml:space="preserve">on elektrooniline ülekanne, mille puhul ülekannet teostav </w:t>
            </w:r>
            <w:r w:rsidR="006043CB">
              <w:t>finantsasutus</w:t>
            </w:r>
            <w:r w:rsidRPr="00D032BE">
              <w:t xml:space="preserve"> ja maksesaaja </w:t>
            </w:r>
            <w:r w:rsidR="006043CB">
              <w:t>finantsasutus</w:t>
            </w:r>
            <w:r w:rsidRPr="00D032BE">
              <w:t xml:space="preserve"> asuvad samas riigis. Seega hõlmab see mis tahes elektrooniliste ülekannete ahelat, mis teostatakse täielikult ühe riigi piires, kuigi maksejuhiste edastamiseks kasutatav süsteem võib asuda teises riigis. See hõlmab ka elektrooniliste ülekannete ahelat, mis teostatakse täielikult Euroopa Majanduspiirkonna (EMP) piires</w:t>
            </w:r>
            <w:r w:rsidRPr="00D032BE">
              <w:rPr>
                <w:rStyle w:val="Allmrkuseviide"/>
              </w:rPr>
              <w:footnoteReference w:id="37"/>
            </w:r>
            <w:r w:rsidRPr="00D032BE">
              <w:t>.</w:t>
            </w:r>
          </w:p>
        </w:tc>
      </w:tr>
      <w:tr w:rsidR="00D07855" w:rsidRPr="003371E6">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lastRenderedPageBreak/>
              <w:t xml:space="preserve">Seeriamakse </w:t>
            </w:r>
          </w:p>
        </w:tc>
        <w:tc>
          <w:tcPr>
            <w:tcW w:w="6590" w:type="dxa"/>
          </w:tcPr>
          <w:p w:rsidR="00D07855" w:rsidRPr="00D032BE" w:rsidRDefault="00D07855" w:rsidP="00DF6E88">
            <w:pPr>
              <w:pStyle w:val="kehatekst"/>
              <w:spacing w:line="240" w:lineRule="auto"/>
              <w:ind w:left="0"/>
            </w:pPr>
            <w:r w:rsidRPr="00D032BE">
              <w:t xml:space="preserve">on otsene järjestikune maksete ahel, kus elektrooniline ülekanne ja sellele lisatud maksejuhised liiguvad koos ülekannet teostavalt </w:t>
            </w:r>
            <w:r>
              <w:t>finantsasutus</w:t>
            </w:r>
            <w:r w:rsidRPr="00D032BE">
              <w:t xml:space="preserve">elt maksesaaja </w:t>
            </w:r>
            <w:r>
              <w:t>finantsasutus</w:t>
            </w:r>
            <w:r w:rsidRPr="00D032BE">
              <w:t xml:space="preserve">ele kas otse või ühe või enama vahendava </w:t>
            </w:r>
            <w:r>
              <w:t>finantsasutus</w:t>
            </w:r>
            <w:r w:rsidRPr="00D032BE">
              <w:t>e (nt korrespondentspanga) kaudu .</w:t>
            </w:r>
          </w:p>
        </w:tc>
      </w:tr>
      <w:tr w:rsidR="00D07855" w:rsidRPr="00D032BE">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 xml:space="preserve">Täielik </w:t>
            </w:r>
          </w:p>
        </w:tc>
        <w:tc>
          <w:tcPr>
            <w:tcW w:w="6590" w:type="dxa"/>
          </w:tcPr>
          <w:p w:rsidR="00D07855" w:rsidRPr="00D032BE" w:rsidRDefault="00D07855" w:rsidP="00DF6E88">
            <w:pPr>
              <w:pStyle w:val="kehatekst"/>
              <w:spacing w:line="240" w:lineRule="auto"/>
              <w:ind w:left="0"/>
            </w:pPr>
            <w:r w:rsidRPr="00D032BE">
              <w:t>tähendab olukorda, kus kõik nõutava teabe osad on olemas. Täielikud andmed ülekande algataja kohta on sätestatud lõike 6 punktides a, b ja c ning täielikud andmed makse saaja kohta on sätestatud lõike 6 punktides d ja e.</w:t>
            </w:r>
          </w:p>
        </w:tc>
      </w:tr>
      <w:tr w:rsidR="00D07855" w:rsidRPr="00D032BE">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Täisautomaatne töötlus</w:t>
            </w:r>
          </w:p>
        </w:tc>
        <w:tc>
          <w:tcPr>
            <w:tcW w:w="6590" w:type="dxa"/>
          </w:tcPr>
          <w:p w:rsidR="00D07855" w:rsidRPr="00D032BE" w:rsidRDefault="00D07855" w:rsidP="00DF6E88">
            <w:pPr>
              <w:pStyle w:val="kehatekst"/>
              <w:spacing w:line="240" w:lineRule="auto"/>
              <w:ind w:left="0"/>
            </w:pPr>
            <w:r w:rsidRPr="00D032BE">
              <w:t>on maksetehingute teostamine elektrooniliselt ilma manuaalse sekkumise vajaduseta.</w:t>
            </w:r>
          </w:p>
        </w:tc>
      </w:tr>
      <w:tr w:rsidR="00D07855" w:rsidRPr="00D032BE">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 xml:space="preserve">Täpne </w:t>
            </w:r>
          </w:p>
        </w:tc>
        <w:tc>
          <w:tcPr>
            <w:tcW w:w="6590" w:type="dxa"/>
          </w:tcPr>
          <w:p w:rsidR="00D07855" w:rsidRPr="00D032BE" w:rsidRDefault="00D07855" w:rsidP="00DF6E88">
            <w:pPr>
              <w:pStyle w:val="kehatekst"/>
              <w:spacing w:line="240" w:lineRule="auto"/>
              <w:ind w:left="0"/>
            </w:pPr>
            <w:r w:rsidRPr="00D032BE">
              <w:t>tähendab teavet, mille täpsust on kontrollitud.</w:t>
            </w:r>
          </w:p>
        </w:tc>
      </w:tr>
      <w:tr w:rsidR="00D032BE" w:rsidRPr="003371E6">
        <w:tc>
          <w:tcPr>
            <w:tcW w:w="2686" w:type="dxa"/>
          </w:tcPr>
          <w:p w:rsidR="00D032BE" w:rsidRPr="00D032BE" w:rsidRDefault="00D032BE" w:rsidP="00DF6E88">
            <w:pPr>
              <w:pStyle w:val="kehatekst"/>
              <w:spacing w:line="240" w:lineRule="auto"/>
              <w:ind w:left="0"/>
              <w:jc w:val="left"/>
              <w:rPr>
                <w:rFonts w:ascii="Calibri" w:hAnsi="Calibri" w:cs="Calibri"/>
                <w:b/>
              </w:rPr>
            </w:pPr>
            <w:r w:rsidRPr="00D032BE">
              <w:rPr>
                <w:rFonts w:ascii="Calibri" w:hAnsi="Calibri" w:cs="Calibri"/>
                <w:b/>
              </w:rPr>
              <w:t xml:space="preserve">Vahendav </w:t>
            </w:r>
            <w:r w:rsidR="006043CB">
              <w:rPr>
                <w:rFonts w:ascii="Calibri" w:hAnsi="Calibri" w:cs="Calibri"/>
                <w:b/>
              </w:rPr>
              <w:t>finantsasutus</w:t>
            </w:r>
          </w:p>
        </w:tc>
        <w:tc>
          <w:tcPr>
            <w:tcW w:w="6590" w:type="dxa"/>
          </w:tcPr>
          <w:p w:rsidR="00D032BE" w:rsidRPr="00D032BE" w:rsidRDefault="00D032BE" w:rsidP="007B47DF">
            <w:pPr>
              <w:pStyle w:val="kehatekst"/>
              <w:spacing w:line="240" w:lineRule="auto"/>
              <w:ind w:left="0"/>
            </w:pPr>
            <w:r w:rsidRPr="00D032BE">
              <w:t>on seeriamaksete või „</w:t>
            </w:r>
            <w:proofErr w:type="spellStart"/>
            <w:r w:rsidR="00B86CDE" w:rsidRPr="00E079EA">
              <w:rPr>
                <w:i/>
              </w:rPr>
              <w:t>cover</w:t>
            </w:r>
            <w:proofErr w:type="spellEnd"/>
            <w:r w:rsidRPr="00D032BE">
              <w:rPr>
                <w:i/>
              </w:rPr>
              <w:t>”</w:t>
            </w:r>
            <w:r w:rsidRPr="00D032BE">
              <w:t xml:space="preserve"> maksete ahelas osalev </w:t>
            </w:r>
            <w:r w:rsidR="006043CB">
              <w:t>finantsasutus</w:t>
            </w:r>
            <w:r w:rsidRPr="00D032BE">
              <w:t xml:space="preserve">, mis võtab vastu ja edastab elektroonilise ülekande ülekannet teostava </w:t>
            </w:r>
            <w:r w:rsidR="006043CB">
              <w:t>finantsasutus</w:t>
            </w:r>
            <w:r w:rsidRPr="00D032BE">
              <w:t xml:space="preserve">e ja maksesaaja </w:t>
            </w:r>
            <w:r w:rsidR="006043CB">
              <w:t>finantsasutus</w:t>
            </w:r>
            <w:r w:rsidRPr="00D032BE">
              <w:t xml:space="preserve">e või teise vahendava </w:t>
            </w:r>
            <w:r w:rsidR="006043CB">
              <w:t>finantsasutus</w:t>
            </w:r>
            <w:r w:rsidRPr="00D032BE">
              <w:t>e nimel.</w:t>
            </w:r>
          </w:p>
        </w:tc>
      </w:tr>
      <w:tr w:rsidR="00373E20" w:rsidRPr="003371E6">
        <w:tc>
          <w:tcPr>
            <w:tcW w:w="2686" w:type="dxa"/>
          </w:tcPr>
          <w:p w:rsidR="00373E20" w:rsidRPr="00D032BE" w:rsidRDefault="00373E20" w:rsidP="00DF6E88">
            <w:pPr>
              <w:pStyle w:val="kehatekst"/>
              <w:spacing w:line="240" w:lineRule="auto"/>
              <w:ind w:left="0"/>
              <w:jc w:val="left"/>
              <w:rPr>
                <w:rFonts w:ascii="Calibri" w:hAnsi="Calibri" w:cs="Calibri"/>
                <w:b/>
              </w:rPr>
            </w:pPr>
            <w:r w:rsidRPr="00D032BE">
              <w:rPr>
                <w:rFonts w:ascii="Calibri" w:hAnsi="Calibri" w:cs="Calibri"/>
                <w:b/>
              </w:rPr>
              <w:t xml:space="preserve">Ülekande algataja </w:t>
            </w:r>
          </w:p>
        </w:tc>
        <w:tc>
          <w:tcPr>
            <w:tcW w:w="6590" w:type="dxa"/>
          </w:tcPr>
          <w:p w:rsidR="00373E20" w:rsidRPr="00D032BE" w:rsidRDefault="00373E20" w:rsidP="00DF6E88">
            <w:pPr>
              <w:pStyle w:val="kehatekst"/>
              <w:spacing w:line="240" w:lineRule="auto"/>
              <w:ind w:left="0"/>
            </w:pPr>
            <w:r w:rsidRPr="00D032BE">
              <w:t xml:space="preserve">on konto omanik, kes annab loa ülekande tegemiseks sellelt kontolt, või konto puudumise korral see füüsiline või juriidiline isik, kes annab ülekannet teostavale </w:t>
            </w:r>
            <w:r>
              <w:t>finantsasutus</w:t>
            </w:r>
            <w:r w:rsidRPr="00D032BE">
              <w:t>ele elektroonilise ülekande tegemise korralduse.</w:t>
            </w:r>
          </w:p>
        </w:tc>
      </w:tr>
      <w:tr w:rsidR="00D032BE" w:rsidRPr="003371E6">
        <w:tc>
          <w:tcPr>
            <w:tcW w:w="2686" w:type="dxa"/>
          </w:tcPr>
          <w:p w:rsidR="00D032BE" w:rsidRPr="00D032BE" w:rsidRDefault="00D032BE" w:rsidP="00DF6E88">
            <w:pPr>
              <w:pStyle w:val="kehatekst"/>
              <w:spacing w:line="240" w:lineRule="auto"/>
              <w:ind w:left="0"/>
              <w:jc w:val="left"/>
              <w:rPr>
                <w:rFonts w:ascii="Calibri" w:hAnsi="Calibri" w:cs="Calibri"/>
                <w:b/>
              </w:rPr>
            </w:pPr>
            <w:r w:rsidRPr="00D032BE">
              <w:rPr>
                <w:rFonts w:ascii="Calibri" w:hAnsi="Calibri" w:cs="Calibri"/>
                <w:b/>
              </w:rPr>
              <w:t xml:space="preserve">Ülekannet teostav </w:t>
            </w:r>
            <w:r w:rsidR="006043CB">
              <w:rPr>
                <w:rFonts w:ascii="Calibri" w:hAnsi="Calibri" w:cs="Calibri"/>
                <w:b/>
              </w:rPr>
              <w:t>finantsasutus</w:t>
            </w:r>
          </w:p>
        </w:tc>
        <w:tc>
          <w:tcPr>
            <w:tcW w:w="6590" w:type="dxa"/>
          </w:tcPr>
          <w:p w:rsidR="00D032BE" w:rsidRPr="00D032BE" w:rsidRDefault="00D032BE" w:rsidP="00DF6E88">
            <w:pPr>
              <w:pStyle w:val="kehatekst"/>
              <w:spacing w:line="240" w:lineRule="auto"/>
              <w:ind w:left="0"/>
            </w:pPr>
            <w:r w:rsidRPr="00D032BE">
              <w:t xml:space="preserve">on </w:t>
            </w:r>
            <w:r w:rsidR="006043CB">
              <w:t>finantsasutus</w:t>
            </w:r>
            <w:r w:rsidRPr="00D032BE">
              <w:t>, mis pärast elektroonilise ülekande taotluse saamist algatab elektroonilise ülekande ja kannab rahalised vahendid üle ülekande algataja nimel.</w:t>
            </w:r>
          </w:p>
        </w:tc>
      </w:tr>
      <w:tr w:rsidR="00D07855" w:rsidRPr="003371E6">
        <w:tc>
          <w:tcPr>
            <w:tcW w:w="2686" w:type="dxa"/>
          </w:tcPr>
          <w:p w:rsidR="00D07855" w:rsidRPr="00D032BE" w:rsidRDefault="00D07855" w:rsidP="00DF6E88">
            <w:pPr>
              <w:pStyle w:val="kehatekst"/>
              <w:spacing w:line="240" w:lineRule="auto"/>
              <w:ind w:left="0"/>
              <w:jc w:val="left"/>
              <w:rPr>
                <w:rFonts w:ascii="Calibri" w:hAnsi="Calibri" w:cs="Calibri"/>
                <w:b/>
              </w:rPr>
            </w:pPr>
            <w:r w:rsidRPr="00D032BE">
              <w:rPr>
                <w:rFonts w:ascii="Calibri" w:hAnsi="Calibri" w:cs="Calibri"/>
                <w:b/>
              </w:rPr>
              <w:t xml:space="preserve">Ülekannete kogum </w:t>
            </w:r>
          </w:p>
        </w:tc>
        <w:tc>
          <w:tcPr>
            <w:tcW w:w="6590" w:type="dxa"/>
          </w:tcPr>
          <w:p w:rsidR="00D07855" w:rsidRPr="00D032BE" w:rsidRDefault="00D07855" w:rsidP="00DF6E88">
            <w:pPr>
              <w:pStyle w:val="kehatekst"/>
              <w:spacing w:line="240" w:lineRule="auto"/>
              <w:ind w:left="0"/>
            </w:pPr>
            <w:r w:rsidRPr="00D032BE">
              <w:t xml:space="preserve">on ülekanne, mis koosneb mitmest eraldiseisvast elektroonilisest ülekandest, mis saadetakse samasse </w:t>
            </w:r>
            <w:r>
              <w:t>finantsasutus</w:t>
            </w:r>
            <w:r w:rsidRPr="00D032BE">
              <w:t>se ja mis võivad, aga ei pruugi olla mõeldud samale isikule.</w:t>
            </w:r>
          </w:p>
        </w:tc>
      </w:tr>
    </w:tbl>
    <w:p w:rsidR="00D032BE" w:rsidRPr="00D032BE" w:rsidRDefault="00D032BE" w:rsidP="00D032BE">
      <w:pPr>
        <w:pStyle w:val="kehatekst"/>
      </w:pPr>
    </w:p>
    <w:p w:rsidR="00D032BE" w:rsidRPr="00D032BE" w:rsidRDefault="00D032BE" w:rsidP="00D032BE">
      <w:pPr>
        <w:spacing w:line="240" w:lineRule="auto"/>
        <w:rPr>
          <w:rFonts w:ascii="Cambria" w:hAnsi="Cambria"/>
          <w:sz w:val="21"/>
          <w:szCs w:val="21"/>
          <w:lang w:val="et-EE"/>
        </w:rPr>
      </w:pPr>
      <w:r w:rsidRPr="00D032BE">
        <w:rPr>
          <w:rFonts w:ascii="Cambria" w:hAnsi="Cambria"/>
          <w:sz w:val="21"/>
          <w:szCs w:val="21"/>
          <w:lang w:val="et-EE"/>
        </w:rPr>
        <w:br w:type="page"/>
      </w:r>
    </w:p>
    <w:p w:rsidR="00D032BE" w:rsidRPr="00D032BE" w:rsidRDefault="00D032BE" w:rsidP="00D032BE">
      <w:pPr>
        <w:rPr>
          <w:rFonts w:ascii="Cambria" w:hAnsi="Cambria"/>
          <w:sz w:val="21"/>
          <w:szCs w:val="21"/>
          <w:lang w:val="et-EE"/>
        </w:rPr>
      </w:pPr>
    </w:p>
    <w:p w:rsidR="002D4AC1" w:rsidRDefault="00D032BE" w:rsidP="00D032BE">
      <w:pPr>
        <w:pStyle w:val="Pealkiri2"/>
      </w:pPr>
      <w:r w:rsidRPr="00D032BE">
        <w:t>SOOVITUSE</w:t>
      </w:r>
      <w:r w:rsidR="00847867">
        <w:t xml:space="preserve"> </w:t>
      </w:r>
      <w:r w:rsidR="002D4AC1">
        <w:t>17 TÕLGENDAV MÄRKUS</w:t>
      </w:r>
    </w:p>
    <w:p w:rsidR="00D032BE" w:rsidRPr="00D032BE" w:rsidRDefault="00D032BE" w:rsidP="00D032BE">
      <w:pPr>
        <w:pStyle w:val="Pealkiri2"/>
      </w:pPr>
      <w:r w:rsidRPr="00D032BE">
        <w:t>(</w:t>
      </w:r>
      <w:r w:rsidR="002D4AC1">
        <w:t>KOLMANDALE ISIKULE TUGINEMINE HOOLSUSMEETMETE KOHALDAMISEL</w:t>
      </w:r>
      <w:r w:rsidRPr="00D032BE">
        <w:t>)</w:t>
      </w:r>
    </w:p>
    <w:p w:rsidR="00D032BE" w:rsidRPr="00D032BE" w:rsidRDefault="00D032BE" w:rsidP="00D032BE">
      <w:pPr>
        <w:pStyle w:val="Kehatekstloend"/>
      </w:pPr>
      <w:r w:rsidRPr="00D032BE">
        <w:t xml:space="preserve">1. </w:t>
      </w:r>
      <w:r w:rsidRPr="00D032BE">
        <w:tab/>
        <w:t>Käesolevat s</w:t>
      </w:r>
      <w:r w:rsidRPr="00D032BE">
        <w:rPr>
          <w:szCs w:val="24"/>
        </w:rPr>
        <w:t>oovitust ei kohaldata tegevuse edasiandmise (</w:t>
      </w:r>
      <w:proofErr w:type="spellStart"/>
      <w:r w:rsidRPr="00D032BE">
        <w:rPr>
          <w:i/>
          <w:iCs/>
          <w:szCs w:val="24"/>
        </w:rPr>
        <w:t>outsourcing</w:t>
      </w:r>
      <w:proofErr w:type="spellEnd"/>
      <w:r w:rsidRPr="00D032BE">
        <w:rPr>
          <w:szCs w:val="24"/>
        </w:rPr>
        <w:t>) ega esindussuhete puhul</w:t>
      </w:r>
      <w:r w:rsidRPr="00D032BE">
        <w:t>. Kolmandale isikutele tuginemise korral peaks kolmas isik rakendama hoolsusmeetmeid ja täitma andmete säilitamise nõudeid kooskõlas soovitustega</w:t>
      </w:r>
      <w:r w:rsidR="00847867">
        <w:t xml:space="preserve"> </w:t>
      </w:r>
      <w:r w:rsidRPr="00D032BE">
        <w:t xml:space="preserve">10 ja 11, olema reguleeritud ning allutatud järelevalvele või kontrollile. Kolmandal isikul on tavaliselt kliendiga juba sõlmitud ärisuhe, mis on kliendi ja tugineva asutuse vahel sõlmitavast suhtest eraldiseisev, ning ta rakendab hoolsusmeetmete rakendamisel omaenda protseduurireegleid. Sellele vastupidine on tegevuse edasiandmine/esindussuhe, mille puhul delegeeritud üksus rakendab hoolsusmeetmeid delegeeriva </w:t>
      </w:r>
      <w:r w:rsidR="006043CB">
        <w:t>finantsasutus</w:t>
      </w:r>
      <w:r w:rsidRPr="00D032BE">
        <w:t xml:space="preserve">e nimel ja kooskõlas viimase protseduurireeglitega ning delegeeriv </w:t>
      </w:r>
      <w:r w:rsidR="006043CB">
        <w:t>finantsasutus</w:t>
      </w:r>
      <w:r w:rsidRPr="00D032BE">
        <w:t xml:space="preserve"> kontrollib nende protseduurireeglite tõhusat täitmist delegeeritud üksuse poolt.</w:t>
      </w:r>
    </w:p>
    <w:p w:rsidR="00D032BE" w:rsidRPr="00D032BE" w:rsidRDefault="00D032BE" w:rsidP="00D032BE">
      <w:pPr>
        <w:pStyle w:val="Kehatekstloend"/>
      </w:pPr>
      <w:r w:rsidRPr="00D032BE">
        <w:t xml:space="preserve">2. </w:t>
      </w:r>
      <w:r w:rsidRPr="00D032BE">
        <w:tab/>
        <w:t>Soovituse</w:t>
      </w:r>
      <w:r w:rsidR="00847867">
        <w:t xml:space="preserve"> </w:t>
      </w:r>
      <w:r w:rsidRPr="00D032BE">
        <w:t xml:space="preserve">17 tähenduses loetakse asjakohasteks pädevateks asutusteks i) asukohariigi pädevat asutust, mis peaks olema kaasatud kontserni tegevusjuhistest ja kontrollmehhanismidest arusaamise eesmärgil kontserniülese tasandil, ja </w:t>
      </w:r>
      <w:proofErr w:type="spellStart"/>
      <w:r w:rsidRPr="00D032BE">
        <w:t>ii</w:t>
      </w:r>
      <w:proofErr w:type="spellEnd"/>
      <w:r w:rsidRPr="00D032BE">
        <w:t>) asukohariigi pädevaid asutusi, mis peaksid olema kaasatud seoses filiaalide/tütarettevõtetega.</w:t>
      </w:r>
    </w:p>
    <w:p w:rsidR="00F86AA1" w:rsidRDefault="00D032BE" w:rsidP="00E079EA">
      <w:pPr>
        <w:pStyle w:val="Kehatekstloend"/>
        <w:tabs>
          <w:tab w:val="left" w:pos="6521"/>
        </w:tabs>
      </w:pPr>
      <w:r w:rsidRPr="00D032BE">
        <w:t xml:space="preserve">3. </w:t>
      </w:r>
      <w:r w:rsidRPr="00D032BE">
        <w:tab/>
        <w:t xml:space="preserve">„Kolmas isik” tähendab </w:t>
      </w:r>
      <w:r w:rsidR="006043CB">
        <w:t>finantsasutus</w:t>
      </w:r>
      <w:r w:rsidRPr="00D032BE">
        <w:t>t või mittefinantsteenuseid pakkuvat ettevõtjat või kutsetöötajat, kelle suhtes teostatakse järelevalvet või kontrolli ning kes vastab soovituses</w:t>
      </w:r>
      <w:r w:rsidR="00847867">
        <w:t xml:space="preserve"> </w:t>
      </w:r>
      <w:r w:rsidRPr="00D032BE">
        <w:t>17 sätestatud nõuetele.</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18 TÕLGENDAV MÄRKUS</w:t>
      </w:r>
      <w:r w:rsidRPr="00D032BE">
        <w:br/>
        <w:t>(</w:t>
      </w:r>
      <w:r w:rsidRPr="00D032BE">
        <w:rPr>
          <w:caps/>
        </w:rPr>
        <w:t>Sisekontrollimehhanismid ja välismaised filiaalid ja tütarettevõtted</w:t>
      </w:r>
      <w:r w:rsidRPr="00D032BE">
        <w:t>)</w:t>
      </w:r>
    </w:p>
    <w:p w:rsidR="00D032BE" w:rsidRPr="00D032BE" w:rsidRDefault="00D032BE" w:rsidP="00D032BE">
      <w:pPr>
        <w:pStyle w:val="Kehatekstloend"/>
      </w:pPr>
      <w:r w:rsidRPr="00D032BE">
        <w:t xml:space="preserve">1. </w:t>
      </w:r>
      <w:r w:rsidRPr="00D032BE">
        <w:tab/>
      </w:r>
      <w:r w:rsidR="006043CB">
        <w:t>Finantsasutus</w:t>
      </w:r>
      <w:r w:rsidRPr="00D032BE">
        <w:t xml:space="preserve">te </w:t>
      </w:r>
      <w:r w:rsidR="002A32CF">
        <w:t>rahapesu</w:t>
      </w:r>
      <w:r w:rsidRPr="00D032BE">
        <w:t xml:space="preserve"> ja terrorismi rahastamise </w:t>
      </w:r>
      <w:r w:rsidR="002A32CF">
        <w:t>tõkestamise</w:t>
      </w:r>
      <w:r w:rsidRPr="00D032BE">
        <w:t xml:space="preserve"> </w:t>
      </w:r>
      <w:r w:rsidR="00500F39">
        <w:t>meetmed</w:t>
      </w:r>
      <w:r w:rsidRPr="00D032BE">
        <w:t xml:space="preserve"> peaksid hõlmama järgmist:</w:t>
      </w:r>
    </w:p>
    <w:p w:rsidR="00D032BE" w:rsidRPr="00D032BE" w:rsidRDefault="00D032BE" w:rsidP="00D032BE">
      <w:pPr>
        <w:pStyle w:val="a-thtloend"/>
      </w:pPr>
      <w:r w:rsidRPr="00D032BE">
        <w:t xml:space="preserve">a) </w:t>
      </w:r>
      <w:r w:rsidRPr="00D032BE">
        <w:tab/>
      </w:r>
      <w:r w:rsidRPr="00D032BE">
        <w:rPr>
          <w:szCs w:val="24"/>
        </w:rPr>
        <w:t>asutusesiseste eeskirjade, menetluste ja kontrollimehhanismide, sh asjakohase nõuetele vastavuse tagamise korra ning personalivalikul kõrgete standardite tagamiseks asjakohaste sõelumisprotseduuride väljatöötamine</w:t>
      </w:r>
      <w:r w:rsidRPr="00D032BE">
        <w:t>;</w:t>
      </w:r>
    </w:p>
    <w:p w:rsidR="00D032BE" w:rsidRPr="00D032BE" w:rsidRDefault="00D032BE" w:rsidP="00D032BE">
      <w:pPr>
        <w:pStyle w:val="a-thtloend"/>
      </w:pPr>
      <w:r w:rsidRPr="00D032BE">
        <w:t xml:space="preserve">b) </w:t>
      </w:r>
      <w:r w:rsidRPr="00D032BE">
        <w:tab/>
      </w:r>
      <w:r w:rsidRPr="00D032BE">
        <w:rPr>
          <w:szCs w:val="24"/>
        </w:rPr>
        <w:t>töötajate pideva koolitamise programm</w:t>
      </w:r>
      <w:r w:rsidRPr="00D032BE">
        <w:t>; ja</w:t>
      </w:r>
    </w:p>
    <w:p w:rsidR="00D032BE" w:rsidRPr="00D032BE" w:rsidRDefault="00D032BE" w:rsidP="00D032BE">
      <w:pPr>
        <w:pStyle w:val="a-thtloend"/>
      </w:pPr>
      <w:r w:rsidRPr="00D032BE">
        <w:t xml:space="preserve">c) </w:t>
      </w:r>
      <w:r w:rsidRPr="00D032BE">
        <w:tab/>
        <w:t xml:space="preserve">sõltumatu </w:t>
      </w:r>
      <w:r w:rsidRPr="00D032BE">
        <w:rPr>
          <w:szCs w:val="24"/>
        </w:rPr>
        <w:t>auditeerimisfunktsioon süsteemi kontrollimiseks</w:t>
      </w:r>
      <w:r w:rsidRPr="00D032BE">
        <w:t>.</w:t>
      </w:r>
    </w:p>
    <w:p w:rsidR="00D032BE" w:rsidRPr="00D032BE" w:rsidRDefault="00D032BE" w:rsidP="00D032BE">
      <w:pPr>
        <w:pStyle w:val="Kehatekstloend"/>
      </w:pPr>
      <w:r w:rsidRPr="00D032BE">
        <w:t xml:space="preserve">2. </w:t>
      </w:r>
      <w:r w:rsidRPr="00D032BE">
        <w:tab/>
      </w:r>
      <w:r w:rsidRPr="00D032BE">
        <w:rPr>
          <w:szCs w:val="24"/>
        </w:rPr>
        <w:t xml:space="preserve">Rakendatavate meetmete liik ja ulatus peab olema sobiv, arvestades </w:t>
      </w:r>
      <w:r w:rsidR="002A32CF">
        <w:rPr>
          <w:szCs w:val="24"/>
        </w:rPr>
        <w:t>rahapesu</w:t>
      </w:r>
      <w:r w:rsidRPr="00D032BE">
        <w:rPr>
          <w:szCs w:val="24"/>
        </w:rPr>
        <w:t xml:space="preserve"> ja terrorismi rahastamise riski ja äritegevuse ulatust</w:t>
      </w:r>
      <w:r w:rsidRPr="00D032BE">
        <w:t>.</w:t>
      </w:r>
    </w:p>
    <w:p w:rsidR="00D032BE" w:rsidRPr="00D032BE" w:rsidRDefault="00D032BE" w:rsidP="00D032BE">
      <w:pPr>
        <w:pStyle w:val="Kehatekstloend"/>
      </w:pPr>
      <w:r w:rsidRPr="00D032BE">
        <w:t xml:space="preserve">3. </w:t>
      </w:r>
      <w:r w:rsidRPr="00D032BE">
        <w:tab/>
      </w:r>
      <w:r w:rsidRPr="00D032BE">
        <w:rPr>
          <w:szCs w:val="24"/>
        </w:rPr>
        <w:t>Nõuetele vastavuse korraldamine peaks hõlmama ka nõuete järgimise eest vastutava isiku määramist juhatuse tasandil</w:t>
      </w:r>
      <w:r w:rsidRPr="00D032BE">
        <w:t>.</w:t>
      </w:r>
    </w:p>
    <w:p w:rsidR="00D032BE" w:rsidRPr="00D032BE" w:rsidRDefault="00D032BE" w:rsidP="00D032BE">
      <w:pPr>
        <w:pStyle w:val="Kehatekstloend"/>
      </w:pPr>
      <w:r w:rsidRPr="00D032BE">
        <w:t xml:space="preserve">4. </w:t>
      </w:r>
      <w:r w:rsidRPr="00D032BE">
        <w:tab/>
        <w:t xml:space="preserve">Finantskontsernide </w:t>
      </w:r>
      <w:r w:rsidR="002A32CF">
        <w:t>rahapesu</w:t>
      </w:r>
      <w:r w:rsidRPr="00D032BE">
        <w:t xml:space="preserve"> ja terrorismi rahastamise </w:t>
      </w:r>
      <w:r w:rsidR="002A32CF">
        <w:t>tõkestamise</w:t>
      </w:r>
      <w:r w:rsidRPr="00D032BE">
        <w:t xml:space="preserve"> </w:t>
      </w:r>
      <w:r w:rsidR="00500F39">
        <w:t>meetmed</w:t>
      </w:r>
      <w:r w:rsidRPr="00D032BE">
        <w:t xml:space="preserve"> peaksid kehtima ka kõikide finantskontserni filiaalide ja enamusosalusega tütarettevõtete suhtes. Need </w:t>
      </w:r>
      <w:r w:rsidR="00500F39">
        <w:t>meetmed</w:t>
      </w:r>
      <w:r w:rsidRPr="00D032BE">
        <w:t xml:space="preserve"> peaksid sisaldama eespool punktides a–c sätestatud meetmeid ning olema filiaalide ja enamusosalusega tütarettevõtete tegevus</w:t>
      </w:r>
      <w:r w:rsidR="00500F39">
        <w:t>t arvestades asjakohased. Neid meetmeid</w:t>
      </w:r>
      <w:r w:rsidRPr="00D032BE">
        <w:t xml:space="preserve"> tuleks rakendada tulemuslikult filiaalide ja enamusosalusega tütarettevõtete tasandil. </w:t>
      </w:r>
      <w:r w:rsidR="00500F39">
        <w:t>Meetmed</w:t>
      </w:r>
      <w:r w:rsidRPr="00D032BE">
        <w:t xml:space="preserve"> peaksid sisaldama tegevusjuhiseid ja protseduurireegleid sellise teabe jagamiseks, mis on vajalik hoolsusmeetme rakendamiseks ning </w:t>
      </w:r>
      <w:r w:rsidR="002A32CF">
        <w:t>rahapesu</w:t>
      </w:r>
      <w:r w:rsidRPr="00D032BE">
        <w:t xml:space="preserve"> ja terrorismi rahastamise riskide juhtimiseks. Kui see on rahapesu ja terrorismi rahastamise tõkestamiseks vajalik, peaksid filiaalid ja tütarettevõtted esitama kontserni tasandil vastavus-, auditi- ja/või rahapesu ja terrorismi rahastamise tõkestamise üksustele teavet klientide, kontode ja tehingute kohta. Kehtestada tuleks piisavad mehhanismid edastatava teabe kasutamiseks ja konfidentsiaalsuse kaitsmiseks.</w:t>
      </w:r>
    </w:p>
    <w:p w:rsidR="00D032BE" w:rsidRPr="00D032BE" w:rsidRDefault="00D032BE" w:rsidP="00D032BE">
      <w:pPr>
        <w:pStyle w:val="Kehatekstloend"/>
      </w:pPr>
      <w:r w:rsidRPr="00D032BE">
        <w:t xml:space="preserve">5. </w:t>
      </w:r>
      <w:r w:rsidRPr="00D032BE">
        <w:tab/>
        <w:t xml:space="preserve">Kui välismaiste üksuste puhul ei ole asukohariigi minimaalsed </w:t>
      </w:r>
      <w:r w:rsidR="002A32CF">
        <w:t>rahapesu</w:t>
      </w:r>
      <w:r w:rsidRPr="00D032BE">
        <w:t xml:space="preserve"> ja terrorismi rahastamise </w:t>
      </w:r>
      <w:r w:rsidR="002A32CF">
        <w:t>tõkestamise</w:t>
      </w:r>
      <w:r w:rsidRPr="00D032BE">
        <w:t xml:space="preserve"> nõuded nii ranged kui päritoluriigis, peaksid </w:t>
      </w:r>
      <w:r w:rsidR="006043CB">
        <w:t>finantsasutus</w:t>
      </w:r>
      <w:r w:rsidRPr="00D032BE">
        <w:t xml:space="preserve">ed olema kohustatud tagama, et nende asukohariigis asuvad filiaalid ja enamusosalusega tütarettevõtted rakendavad asukohariigi seaduste ja määrustega lubatud ulatuses päritoluriigi nõudeid. Kui eespool kirjeldatud meetmete nõuetekohane rakendamine ei ole asukohariigis lubatud, peaksid </w:t>
      </w:r>
      <w:r w:rsidR="006043CB">
        <w:t>finantsasutus</w:t>
      </w:r>
      <w:r w:rsidRPr="00D032BE">
        <w:t xml:space="preserve">ed </w:t>
      </w:r>
      <w:r w:rsidR="00C62A36">
        <w:t>rakendama</w:t>
      </w:r>
      <w:r w:rsidR="00C62A36" w:rsidRPr="00D032BE">
        <w:t xml:space="preserve"> </w:t>
      </w:r>
      <w:r w:rsidRPr="00D032BE">
        <w:t xml:space="preserve">asjakohaseid lisameetmeid </w:t>
      </w:r>
      <w:r w:rsidR="002A32CF">
        <w:t>rahapesu</w:t>
      </w:r>
      <w:r w:rsidRPr="00D032BE">
        <w:t xml:space="preserve"> ja terrorismi rahastamise riskide juhtimiseks ning teavitama sellest oma päritoluriigi järelvalveasutusi.</w:t>
      </w:r>
    </w:p>
    <w:p w:rsidR="00D032BE" w:rsidRPr="00D032BE" w:rsidRDefault="00D032BE" w:rsidP="00D032BE">
      <w:pPr>
        <w:pStyle w:val="kehatekst"/>
      </w:pPr>
      <w:r w:rsidRPr="00D032BE">
        <w:t xml:space="preserve">Kui need </w:t>
      </w:r>
      <w:r w:rsidR="00966538" w:rsidRPr="00C62A36">
        <w:t>lisa</w:t>
      </w:r>
      <w:r w:rsidR="007D41C3">
        <w:t>meetmed</w:t>
      </w:r>
      <w:r w:rsidRPr="00D032BE">
        <w:t xml:space="preserve"> ei ole piisavad, peaksid päritoluriigi pädevad asutused kaaluma täiendavate järelevalveabinõude kohaldamist, sh finantskontserni </w:t>
      </w:r>
      <w:r w:rsidRPr="00D032BE">
        <w:lastRenderedPageBreak/>
        <w:t>lisakontrollide teostamist ja vajaduse korral nõudmist, et finantskontsern lõpetaks oma tegevuse asukohariigis.</w:t>
      </w:r>
    </w:p>
    <w:p w:rsidR="00D032BE" w:rsidRPr="00D032BE" w:rsidRDefault="00D032BE" w:rsidP="00D032BE">
      <w:pPr>
        <w:rPr>
          <w:rFonts w:asciiTheme="majorHAnsi" w:hAnsiTheme="majorHAnsi"/>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19 TÕLGENDAV MÄRKUS</w:t>
      </w:r>
    </w:p>
    <w:p w:rsidR="00D032BE" w:rsidRPr="00D032BE" w:rsidRDefault="00D032BE" w:rsidP="00D032BE">
      <w:pPr>
        <w:pStyle w:val="Pealkiri2"/>
      </w:pPr>
      <w:r w:rsidRPr="00D032BE">
        <w:t xml:space="preserve">(KÕRGEMA </w:t>
      </w:r>
      <w:r w:rsidR="00213F51">
        <w:t>RISKIASTMEGA</w:t>
      </w:r>
      <w:r w:rsidR="00213F51" w:rsidRPr="00D032BE">
        <w:t xml:space="preserve"> </w:t>
      </w:r>
      <w:r w:rsidRPr="00D032BE">
        <w:t>RIIGID)</w:t>
      </w:r>
    </w:p>
    <w:p w:rsidR="00D032BE" w:rsidRPr="00D032BE" w:rsidRDefault="00D032BE" w:rsidP="00D032BE">
      <w:pPr>
        <w:pStyle w:val="Kehatekstloend"/>
      </w:pPr>
      <w:r w:rsidRPr="00D032BE">
        <w:t xml:space="preserve">1. </w:t>
      </w:r>
      <w:r w:rsidRPr="00D032BE">
        <w:tab/>
        <w:t xml:space="preserve">Tugevdatud hoolsusmeetmed, mida </w:t>
      </w:r>
      <w:r w:rsidR="006043CB">
        <w:t>finantsasutus</w:t>
      </w:r>
      <w:r w:rsidRPr="00D032BE">
        <w:t>ed võiksid rakendada, hõlmavad soovituse</w:t>
      </w:r>
      <w:r w:rsidR="00847867">
        <w:t xml:space="preserve"> </w:t>
      </w:r>
      <w:r w:rsidRPr="00D032BE">
        <w:t>10 tõlgendava märkuse lõikes 20 sätestatud meetmeid ja mis tahes muid meetmeid, millel on riskide vähendamisele sarnane mõju.</w:t>
      </w:r>
    </w:p>
    <w:p w:rsidR="00D032BE" w:rsidRPr="00D032BE" w:rsidRDefault="00D032BE" w:rsidP="00D032BE">
      <w:pPr>
        <w:pStyle w:val="Kehatekstloend"/>
      </w:pPr>
      <w:r w:rsidRPr="00D032BE">
        <w:t xml:space="preserve">2. </w:t>
      </w:r>
      <w:r w:rsidRPr="00D032BE">
        <w:tab/>
        <w:t>Näited vastumeetmetest, mida riigid võiksid rakendada, hõlmavad alljärgnevaid meetmeid, aga ka mis tahes muid meetmeid, millel on riskide vähendamisele sarnane mõju:</w:t>
      </w:r>
    </w:p>
    <w:p w:rsidR="00D032BE" w:rsidRPr="00D032BE" w:rsidRDefault="00D032BE" w:rsidP="00D032BE">
      <w:pPr>
        <w:pStyle w:val="a-thtloend"/>
      </w:pPr>
      <w:r w:rsidRPr="00D032BE">
        <w:t xml:space="preserve">a) </w:t>
      </w:r>
      <w:r w:rsidRPr="00D032BE">
        <w:tab/>
      </w:r>
      <w:r w:rsidR="006043CB">
        <w:t>finantsasutus</w:t>
      </w:r>
      <w:r w:rsidRPr="00D032BE">
        <w:t>telt tugevdatud hoolsusmeetmete konkreetsete osade rakendamise nõudmine;</w:t>
      </w:r>
    </w:p>
    <w:p w:rsidR="00D032BE" w:rsidRPr="00D032BE" w:rsidRDefault="00D032BE" w:rsidP="00D032BE">
      <w:pPr>
        <w:pStyle w:val="a-thtloend"/>
      </w:pPr>
      <w:r w:rsidRPr="00D032BE">
        <w:t>b)</w:t>
      </w:r>
      <w:r w:rsidRPr="00D032BE">
        <w:tab/>
        <w:t xml:space="preserve">asjakohaste tugevdatud teatamismehhanismide või süstemaatilise aruandluse juurutamine </w:t>
      </w:r>
      <w:r w:rsidR="006043CB">
        <w:t>finantsasutus</w:t>
      </w:r>
      <w:r w:rsidRPr="00D032BE">
        <w:t>tes;</w:t>
      </w:r>
    </w:p>
    <w:p w:rsidR="00D032BE" w:rsidRPr="00D032BE" w:rsidRDefault="00D032BE" w:rsidP="00D032BE">
      <w:pPr>
        <w:pStyle w:val="a-thtloend"/>
      </w:pPr>
      <w:r w:rsidRPr="00D032BE">
        <w:t xml:space="preserve">c) </w:t>
      </w:r>
      <w:r w:rsidRPr="00D032BE">
        <w:tab/>
        <w:t xml:space="preserve">asjaomasest riigist pärit </w:t>
      </w:r>
      <w:r w:rsidR="006043CB">
        <w:t>finantsasutus</w:t>
      </w:r>
      <w:r w:rsidRPr="00D032BE">
        <w:t xml:space="preserve">te tütarettevõtete või filiaalide või esinduste asutamisest keeldumine või muul moel selle asjaolu arvessevõtmine, et asjaomane </w:t>
      </w:r>
      <w:r w:rsidR="006043CB">
        <w:t>finantsasutus</w:t>
      </w:r>
      <w:r w:rsidRPr="00D032BE">
        <w:t xml:space="preserve"> on pärit riigist, mis ei rakenda piisavaid </w:t>
      </w:r>
      <w:r w:rsidR="002A32CF">
        <w:t>rahapesu</w:t>
      </w:r>
      <w:r w:rsidRPr="00D032BE">
        <w:t xml:space="preserve"> ja terrorismi rahastamise </w:t>
      </w:r>
      <w:r w:rsidR="002A32CF">
        <w:t>tõkestamise</w:t>
      </w:r>
      <w:r w:rsidRPr="00D032BE">
        <w:t xml:space="preserve"> meetmeid;</w:t>
      </w:r>
    </w:p>
    <w:p w:rsidR="00D032BE" w:rsidRPr="00D032BE" w:rsidRDefault="00D032BE" w:rsidP="00D032BE">
      <w:pPr>
        <w:pStyle w:val="a-thtloend"/>
      </w:pPr>
      <w:r w:rsidRPr="00D032BE">
        <w:t xml:space="preserve">d) </w:t>
      </w:r>
      <w:r w:rsidRPr="00D032BE">
        <w:tab/>
      </w:r>
      <w:r w:rsidR="006043CB">
        <w:t>finantsasutus</w:t>
      </w:r>
      <w:r w:rsidRPr="00D032BE">
        <w:t xml:space="preserve">tel asjaomases riigis filiaalide või esinduste asutamise keelamine või muul moel selle asjaolu arvessevõtmine, et asjaomane filiaal või esindus asuks riigis, mis ei rakenda piisavaid </w:t>
      </w:r>
      <w:r w:rsidR="002A32CF">
        <w:t>rahapesu</w:t>
      </w:r>
      <w:r w:rsidRPr="00D032BE">
        <w:t xml:space="preserve"> ja terrorismi rahastamise </w:t>
      </w:r>
      <w:r w:rsidR="002A32CF">
        <w:t>tõkestamise</w:t>
      </w:r>
      <w:r w:rsidRPr="00D032BE">
        <w:t xml:space="preserve"> meetmeid;</w:t>
      </w:r>
    </w:p>
    <w:p w:rsidR="00D032BE" w:rsidRPr="00D032BE" w:rsidRDefault="00D032BE" w:rsidP="00D032BE">
      <w:pPr>
        <w:pStyle w:val="a-thtloend"/>
      </w:pPr>
      <w:r w:rsidRPr="00D032BE">
        <w:t xml:space="preserve">e) </w:t>
      </w:r>
      <w:r w:rsidRPr="00D032BE">
        <w:tab/>
        <w:t>tuvastatud riigi või selles riigis asuvate isikutega ärisuhetele või finantstehingutele piirangute kehtestamine;</w:t>
      </w:r>
    </w:p>
    <w:p w:rsidR="00D032BE" w:rsidRPr="00D032BE" w:rsidRDefault="00D032BE" w:rsidP="00D032BE">
      <w:pPr>
        <w:pStyle w:val="a-thtloend"/>
      </w:pPr>
      <w:r w:rsidRPr="00D032BE">
        <w:t xml:space="preserve">f) </w:t>
      </w:r>
      <w:r w:rsidRPr="00D032BE">
        <w:tab/>
      </w:r>
      <w:r w:rsidR="006043CB">
        <w:t>finantsasutus</w:t>
      </w:r>
      <w:r w:rsidRPr="00D032BE">
        <w:t>tel hoolsusmeetmete rakendamise puhul asjaomases riigis asuvatele kolmandatele isikutele tuginemise keelamine;</w:t>
      </w:r>
    </w:p>
    <w:p w:rsidR="00D032BE" w:rsidRPr="00D032BE" w:rsidRDefault="00D032BE" w:rsidP="00D032BE">
      <w:pPr>
        <w:pStyle w:val="a-thtloend"/>
      </w:pPr>
      <w:r w:rsidRPr="00D032BE">
        <w:t>g)</w:t>
      </w:r>
      <w:r w:rsidRPr="00D032BE">
        <w:tab/>
      </w:r>
      <w:r w:rsidR="006043CB">
        <w:t>finantsasutus</w:t>
      </w:r>
      <w:r w:rsidRPr="00D032BE">
        <w:t xml:space="preserve">telt asjaomases riigis asuvate </w:t>
      </w:r>
      <w:r w:rsidR="006043CB">
        <w:t>finantsasutus</w:t>
      </w:r>
      <w:r w:rsidRPr="00D032BE">
        <w:t>tega sõlmitud korrespondentsuhete läbivaatamise ja muutmise või vajaduse korral lõpetamise nõudmine;</w:t>
      </w:r>
    </w:p>
    <w:p w:rsidR="00D032BE" w:rsidRPr="00D032BE" w:rsidRDefault="00D032BE" w:rsidP="00D032BE">
      <w:pPr>
        <w:pStyle w:val="a-thtloend"/>
      </w:pPr>
      <w:r w:rsidRPr="00D032BE">
        <w:t xml:space="preserve">h) </w:t>
      </w:r>
      <w:r w:rsidRPr="00D032BE">
        <w:tab/>
      </w:r>
      <w:r w:rsidR="006043CB">
        <w:t>finantsasutus</w:t>
      </w:r>
      <w:r w:rsidRPr="00D032BE">
        <w:t>te kohustamine kohaldama asjaomases riigis asuvatele filiaalidele ja tütarettevõtetele tugevdatud järelevalve- ja/või välisauditi nõudeid;</w:t>
      </w:r>
    </w:p>
    <w:p w:rsidR="00D032BE" w:rsidRPr="00D032BE" w:rsidRDefault="00D032BE" w:rsidP="00D032BE">
      <w:pPr>
        <w:pStyle w:val="a-thtloend"/>
      </w:pPr>
      <w:r w:rsidRPr="00D032BE">
        <w:t xml:space="preserve">i) </w:t>
      </w:r>
      <w:r w:rsidRPr="00D032BE">
        <w:tab/>
        <w:t>finantskontsernide kohustamine kohaldama tugevdatud välisauditi nõudeid nende asjaomases riigis asuvate filiaalide ja tütarettevõtete suhtes.</w:t>
      </w:r>
    </w:p>
    <w:p w:rsidR="00D032BE" w:rsidRPr="00D032BE" w:rsidRDefault="00D032BE" w:rsidP="00D032BE">
      <w:pPr>
        <w:pStyle w:val="kehatekst"/>
      </w:pPr>
      <w:r w:rsidRPr="00D032BE">
        <w:t xml:space="preserve">Kehtestatud peaksid olema tõhusad meetmed tagamaks, et </w:t>
      </w:r>
      <w:r w:rsidR="006043CB">
        <w:t>finantsasutus</w:t>
      </w:r>
      <w:r w:rsidRPr="00D032BE">
        <w:t xml:space="preserve">i teavitatakse probleemidest seoses puudustega teistes riikides rakendatavate </w:t>
      </w:r>
      <w:r w:rsidR="002A32CF">
        <w:t>rahapesu</w:t>
      </w:r>
      <w:r w:rsidRPr="00D032BE">
        <w:t xml:space="preserve"> ja terrorismi rahastamise </w:t>
      </w:r>
      <w:r w:rsidR="00A35E9F">
        <w:t>tõkestamise</w:t>
      </w:r>
      <w:r w:rsidRPr="00D032BE">
        <w:t xml:space="preserve"> meetmetes.</w:t>
      </w:r>
    </w:p>
    <w:p w:rsidR="00D032BE" w:rsidRPr="00D032BE" w:rsidRDefault="00D032BE" w:rsidP="00D032BE">
      <w:pPr>
        <w:pStyle w:val="Pealkiri2"/>
      </w:pPr>
      <w:r w:rsidRPr="00D032BE">
        <w:lastRenderedPageBreak/>
        <w:t>SOOVITUSE</w:t>
      </w:r>
      <w:r w:rsidR="00847867">
        <w:t xml:space="preserve"> </w:t>
      </w:r>
      <w:r w:rsidRPr="00D032BE">
        <w:t>20 TÕLGENDAV MÄRKUS</w:t>
      </w:r>
      <w:r w:rsidRPr="00D032BE">
        <w:br/>
        <w:t>(KAHTLASTEST TEHINGUTEST TEATAMINE)</w:t>
      </w:r>
    </w:p>
    <w:p w:rsidR="00D032BE" w:rsidRPr="00D032BE" w:rsidRDefault="00D032BE" w:rsidP="00D032BE">
      <w:pPr>
        <w:pStyle w:val="Kehatekstloend"/>
      </w:pPr>
      <w:r w:rsidRPr="00D032BE">
        <w:t xml:space="preserve">1. </w:t>
      </w:r>
      <w:r w:rsidRPr="00D032BE">
        <w:tab/>
        <w:t>„Kuritegeliku tegevuse” all mõeldakse soovituses</w:t>
      </w:r>
      <w:r w:rsidR="00847867">
        <w:t xml:space="preserve"> </w:t>
      </w:r>
      <w:r w:rsidRPr="00D032BE">
        <w:t>20 kõiki kuritegusid, mis kujutavad endast rahapesu eelkuritegu või vähemalt neid õigusrikkumisi, mis soovituse</w:t>
      </w:r>
      <w:r w:rsidR="00847867">
        <w:t xml:space="preserve"> </w:t>
      </w:r>
      <w:r w:rsidRPr="00D032BE">
        <w:t>3 kohaselt kujutavad endast eelkuritegu.</w:t>
      </w:r>
    </w:p>
    <w:p w:rsidR="00D032BE" w:rsidRPr="00D032BE" w:rsidRDefault="00D032BE" w:rsidP="00D032BE">
      <w:pPr>
        <w:pStyle w:val="kehatekst"/>
      </w:pPr>
      <w:r w:rsidRPr="00D032BE">
        <w:t>Riikidel soovitatakse tungivalt rakendada neist kahest lähenemisest esimest.</w:t>
      </w:r>
    </w:p>
    <w:p w:rsidR="00D032BE" w:rsidRPr="00D032BE" w:rsidRDefault="00D032BE" w:rsidP="00D032BE">
      <w:pPr>
        <w:pStyle w:val="Kehatekstloend"/>
      </w:pPr>
      <w:r w:rsidRPr="00D032BE">
        <w:t xml:space="preserve">2. </w:t>
      </w:r>
      <w:r w:rsidRPr="00D032BE">
        <w:tab/>
        <w:t>„Terrorismi rahastamise” all mõeldakse soovituses</w:t>
      </w:r>
      <w:r w:rsidR="00847867">
        <w:t xml:space="preserve"> </w:t>
      </w:r>
      <w:r w:rsidRPr="00D032BE">
        <w:t>20 terrorikuritegude rahastamist, aga ka terroristlike ühenduste või terroristide rahastamist, isegi kui puudub seos konkreetse terrorikuriteo või konkreetsete terrorikuritegudega.</w:t>
      </w:r>
    </w:p>
    <w:p w:rsidR="00D032BE" w:rsidRPr="00D032BE" w:rsidRDefault="00D032BE" w:rsidP="00D032BE">
      <w:pPr>
        <w:pStyle w:val="Kehatekstloend"/>
      </w:pPr>
      <w:r w:rsidRPr="00D032BE">
        <w:t xml:space="preserve">3. </w:t>
      </w:r>
      <w:r w:rsidRPr="00D032BE">
        <w:tab/>
        <w:t>Teatada tuleks kõikidest kahtlastest tehingutest, sh tehingute teostamise katsetest, olenemata tehingu summast.</w:t>
      </w:r>
    </w:p>
    <w:p w:rsidR="00D032BE" w:rsidRPr="00D032BE" w:rsidRDefault="00D032BE" w:rsidP="00D032BE">
      <w:pPr>
        <w:pStyle w:val="Kehatekstloend"/>
      </w:pPr>
      <w:r w:rsidRPr="00D032BE">
        <w:t xml:space="preserve">4. </w:t>
      </w:r>
      <w:r w:rsidRPr="00D032BE">
        <w:tab/>
        <w:t>Teatamise nõue peaks olema otsene kohustus ning igasugused kaudsed või ebaselgelt kehtestatud kohustused teatada kahtlastest tehingutest kas rahapesu või terrorismi rahastamise kuriteo eest võimalikule kohtulikule vastutusele võtmise või muul eesmärgil (nn „kaudne teatamine“) ei ole aktsepteeritavad.</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SOOVITUSTE</w:t>
      </w:r>
      <w:r w:rsidR="00847867">
        <w:t xml:space="preserve"> </w:t>
      </w:r>
      <w:r w:rsidRPr="00D032BE">
        <w:t xml:space="preserve">22 JA 23 TÕLGENDAV MÄRKUS </w:t>
      </w:r>
      <w:r w:rsidRPr="00D032BE">
        <w:br/>
        <w:t xml:space="preserve">(MITTEFINANTSTEENUSEID PAKKUVAD </w:t>
      </w:r>
      <w:r w:rsidR="002D4AC1">
        <w:t>KOHUSTATUD</w:t>
      </w:r>
      <w:r w:rsidRPr="00D032BE">
        <w:t xml:space="preserve"> ETTEVÕTJAD JA KUTSETÖÖTAJAD)</w:t>
      </w:r>
    </w:p>
    <w:p w:rsidR="00D032BE" w:rsidRPr="00D032BE" w:rsidRDefault="00D032BE" w:rsidP="002D4AC1">
      <w:pPr>
        <w:pStyle w:val="Kehatekstloend"/>
      </w:pPr>
      <w:r w:rsidRPr="00D032BE">
        <w:t xml:space="preserve">1. </w:t>
      </w:r>
      <w:r w:rsidRPr="00D032BE">
        <w:tab/>
        <w:t>Tehingutele kehtestatud piirmäärad on järgmised:</w:t>
      </w:r>
    </w:p>
    <w:p w:rsidR="00D032BE" w:rsidRPr="00D032BE" w:rsidRDefault="00D032BE" w:rsidP="002D4AC1">
      <w:pPr>
        <w:pStyle w:val="Sinineloend"/>
        <w:contextualSpacing w:val="0"/>
      </w:pPr>
      <w:r w:rsidRPr="00D032BE">
        <w:t>kasiinod (soovitus</w:t>
      </w:r>
      <w:r w:rsidR="00847867">
        <w:t xml:space="preserve"> </w:t>
      </w:r>
      <w:r w:rsidRPr="00D032BE">
        <w:t>22) – 3000 USD/eurot;</w:t>
      </w:r>
    </w:p>
    <w:p w:rsidR="00D032BE" w:rsidRPr="00D032BE" w:rsidRDefault="00D032BE" w:rsidP="002D4AC1">
      <w:pPr>
        <w:pStyle w:val="Sinineloend"/>
        <w:contextualSpacing w:val="0"/>
      </w:pPr>
      <w:r w:rsidRPr="00D032BE">
        <w:t>väärismetallide ja vääriskividega kauplejad sularahatehingute korral (soovitused</w:t>
      </w:r>
      <w:r w:rsidR="00847867">
        <w:t xml:space="preserve"> </w:t>
      </w:r>
      <w:r w:rsidRPr="00D032BE">
        <w:t>22 ja 23) – 15 000 USD/eurot.</w:t>
      </w:r>
    </w:p>
    <w:p w:rsidR="00D032BE" w:rsidRPr="00D032BE" w:rsidRDefault="00D032BE" w:rsidP="002D4AC1">
      <w:pPr>
        <w:autoSpaceDE w:val="0"/>
        <w:autoSpaceDN w:val="0"/>
        <w:adjustRightInd w:val="0"/>
        <w:spacing w:after="120"/>
        <w:ind w:left="709"/>
        <w:rPr>
          <w:rFonts w:asciiTheme="majorHAnsi" w:hAnsiTheme="majorHAnsi"/>
          <w:sz w:val="24"/>
          <w:szCs w:val="24"/>
          <w:lang w:val="et-EE"/>
        </w:rPr>
      </w:pPr>
      <w:r w:rsidRPr="00D032BE">
        <w:rPr>
          <w:rFonts w:asciiTheme="majorHAnsi" w:hAnsiTheme="majorHAnsi"/>
          <w:sz w:val="24"/>
          <w:szCs w:val="24"/>
          <w:lang w:val="et-EE"/>
        </w:rPr>
        <w:t>Kehtestatud piirmäärast suuremad finantstehingud on ka sellised, kus tehing sooritatakse ühe maksena või mitme maksena, mis näivad olevat seotud.</w:t>
      </w:r>
    </w:p>
    <w:p w:rsidR="00D032BE" w:rsidRPr="00D032BE" w:rsidRDefault="00D032BE" w:rsidP="002D4AC1">
      <w:pPr>
        <w:autoSpaceDE w:val="0"/>
        <w:autoSpaceDN w:val="0"/>
        <w:adjustRightInd w:val="0"/>
        <w:spacing w:after="120"/>
        <w:ind w:left="709"/>
        <w:rPr>
          <w:lang w:val="et-EE"/>
        </w:rPr>
      </w:pPr>
    </w:p>
    <w:p w:rsidR="00D032BE" w:rsidRPr="00D032BE" w:rsidRDefault="00D032BE" w:rsidP="002D4AC1">
      <w:pPr>
        <w:autoSpaceDE w:val="0"/>
        <w:autoSpaceDN w:val="0"/>
        <w:adjustRightInd w:val="0"/>
        <w:spacing w:after="120"/>
        <w:ind w:left="709" w:hanging="709"/>
        <w:rPr>
          <w:rFonts w:asciiTheme="majorHAnsi" w:hAnsiTheme="majorHAnsi"/>
          <w:sz w:val="24"/>
          <w:szCs w:val="24"/>
          <w:lang w:val="et-EE"/>
        </w:rPr>
      </w:pPr>
      <w:r w:rsidRPr="00D032BE">
        <w:rPr>
          <w:lang w:val="et-EE"/>
        </w:rPr>
        <w:t xml:space="preserve">2. </w:t>
      </w:r>
      <w:r w:rsidRPr="00D032BE">
        <w:rPr>
          <w:lang w:val="et-EE"/>
        </w:rPr>
        <w:tab/>
      </w:r>
      <w:r w:rsidR="006043CB">
        <w:rPr>
          <w:rFonts w:asciiTheme="majorHAnsi" w:hAnsiTheme="majorHAnsi"/>
          <w:sz w:val="24"/>
          <w:szCs w:val="24"/>
          <w:lang w:val="et-EE"/>
        </w:rPr>
        <w:t>Finantsasutus</w:t>
      </w:r>
      <w:r w:rsidRPr="00D032BE">
        <w:rPr>
          <w:rFonts w:asciiTheme="majorHAnsi" w:hAnsiTheme="majorHAnsi"/>
          <w:sz w:val="24"/>
          <w:szCs w:val="24"/>
          <w:lang w:val="et-EE"/>
        </w:rPr>
        <w:t>te suhtes kohaldatavad tõlgendavad märkused kehtivad asjakohasel juhul ka mittefinantsteenuseid pakkuvate määratud ettevõtjate ja kutsetöötajate suhtes. Soovituste</w:t>
      </w:r>
      <w:r w:rsidR="00847867">
        <w:rPr>
          <w:rFonts w:asciiTheme="majorHAnsi" w:hAnsiTheme="majorHAnsi"/>
          <w:sz w:val="24"/>
          <w:szCs w:val="24"/>
          <w:lang w:val="et-EE"/>
        </w:rPr>
        <w:t xml:space="preserve"> </w:t>
      </w:r>
      <w:r w:rsidRPr="00D032BE">
        <w:rPr>
          <w:rFonts w:asciiTheme="majorHAnsi" w:hAnsiTheme="majorHAnsi"/>
          <w:sz w:val="24"/>
          <w:szCs w:val="24"/>
          <w:lang w:val="et-EE"/>
        </w:rPr>
        <w:t>22 ja 23 täitmiseks ei pea riigid vastu võtma seadusi ega täitmisele pööratavaid vahendeid, mis reguleerivad üksnes juriste, notareid, raamatupidajaid ja teisi mittefinantsteenuseid pakkuvaid määratud ettevõtjaid ja kutsetöötajaid, kui loetletud tegevusi reguleerivad seadused või täitmisele pööratavad vahendid hõlmavad ka asjaomaseid ettevõtjaid või kutsetöötajaid.</w:t>
      </w:r>
    </w:p>
    <w:p w:rsidR="00D032BE" w:rsidRPr="00D032BE" w:rsidRDefault="00D032BE" w:rsidP="002D4AC1">
      <w:pPr>
        <w:spacing w:after="120"/>
        <w:rPr>
          <w:rFonts w:asciiTheme="majorHAnsi" w:hAnsiTheme="majorHAnsi"/>
          <w:sz w:val="24"/>
          <w:szCs w:val="24"/>
          <w:lang w:val="et-EE"/>
        </w:rPr>
      </w:pPr>
      <w:r w:rsidRPr="00D032BE">
        <w:rPr>
          <w:rFonts w:asciiTheme="majorHAnsi" w:hAnsiTheme="majorHAnsi"/>
          <w:sz w:val="24"/>
          <w:szCs w:val="24"/>
          <w:lang w:val="et-EE"/>
        </w:rPr>
        <w:br w:type="page"/>
      </w:r>
    </w:p>
    <w:p w:rsidR="00D032BE" w:rsidRPr="00D032BE" w:rsidRDefault="00D032BE" w:rsidP="00D032BE">
      <w:pPr>
        <w:pStyle w:val="Pealkiri2"/>
      </w:pPr>
      <w:r w:rsidRPr="00D032BE">
        <w:lastRenderedPageBreak/>
        <w:t>SOOVITUSE</w:t>
      </w:r>
      <w:r w:rsidR="00847867">
        <w:t xml:space="preserve"> </w:t>
      </w:r>
      <w:r w:rsidRPr="00D032BE">
        <w:t xml:space="preserve">22 TÕLGENDAV MÄRKUS </w:t>
      </w:r>
      <w:r w:rsidRPr="00D032BE">
        <w:br/>
        <w:t xml:space="preserve">(MITTEFINANTSTEENUSEID PAKKUVAD </w:t>
      </w:r>
      <w:r w:rsidR="002D4AC1">
        <w:t>KOHUSTATUD</w:t>
      </w:r>
      <w:r w:rsidRPr="00D032BE">
        <w:t xml:space="preserve"> ETTEVÕTJAD JA KUTSETÖÖTAJAD –</w:t>
      </w:r>
      <w:r w:rsidR="002D4AC1">
        <w:t xml:space="preserve"> </w:t>
      </w:r>
      <w:r w:rsidRPr="00D032BE">
        <w:t>HOOLSUSMEETMED)</w:t>
      </w:r>
    </w:p>
    <w:p w:rsidR="00D032BE" w:rsidRPr="00D032BE" w:rsidRDefault="00D032BE" w:rsidP="00D032BE">
      <w:pPr>
        <w:pStyle w:val="Kehatekstloend"/>
      </w:pPr>
      <w:r w:rsidRPr="00D032BE">
        <w:t xml:space="preserve">1. </w:t>
      </w:r>
      <w:r w:rsidRPr="00D032BE">
        <w:tab/>
        <w:t>Kinnisvaravahendajad peaksid täitma soovituse</w:t>
      </w:r>
      <w:r w:rsidR="00847867">
        <w:t xml:space="preserve"> </w:t>
      </w:r>
      <w:r w:rsidRPr="00D032BE">
        <w:t>10 nõudeid nii kinnisvara ostjate kui ka müüjatega seoses.</w:t>
      </w:r>
    </w:p>
    <w:p w:rsidR="00D032BE" w:rsidRPr="00D032BE" w:rsidRDefault="00D032BE" w:rsidP="00D032BE">
      <w:pPr>
        <w:pStyle w:val="Kehatekstloend"/>
      </w:pPr>
      <w:r w:rsidRPr="00D032BE">
        <w:t xml:space="preserve">2. </w:t>
      </w:r>
      <w:r w:rsidRPr="00D032BE">
        <w:tab/>
        <w:t>Kasiinod peaksid rakendama soovitust</w:t>
      </w:r>
      <w:r w:rsidR="00847867">
        <w:t xml:space="preserve"> </w:t>
      </w:r>
      <w:r w:rsidRPr="00D032BE">
        <w:t>10, k.a klientide tuvastamine ja isikusamasuse kontrollimine, kui nende kliendid teostavad finantstehinguid, mille väärtus on 3000 USD/eurot või rohkem. Kliendi tuvastamine kasiinosse sisenemisel võib, aga ei pruugi olla piisav. Riigid peavad kehtestama kasiinodele kohustuse tagada, et nad suudavad seostada hoolsusmeetmetega konkreetse kliendi kohta kogutud teavet selle kliendi poolt kasiinos teostatud tehingutega.</w:t>
      </w:r>
    </w:p>
    <w:p w:rsidR="00D032BE" w:rsidRPr="00D032BE" w:rsidRDefault="00D032BE" w:rsidP="00D032BE">
      <w:pPr>
        <w:rPr>
          <w:rFonts w:asciiTheme="majorHAnsi" w:hAnsiTheme="majorHAnsi"/>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Pr="00D032BE">
        <w:t>23 TÕLGENDAV MÄRKUS</w:t>
      </w:r>
    </w:p>
    <w:p w:rsidR="00D032BE" w:rsidRPr="00D032BE" w:rsidRDefault="00D032BE" w:rsidP="00D032BE">
      <w:pPr>
        <w:pStyle w:val="Pealkiri2"/>
      </w:pPr>
      <w:r w:rsidRPr="00D032BE">
        <w:t xml:space="preserve">(MITTEFINANTSTEENUSEID PAKKUVAD </w:t>
      </w:r>
      <w:r w:rsidR="002D4AC1">
        <w:t>KOHUSTATUD</w:t>
      </w:r>
      <w:r w:rsidRPr="00D032BE">
        <w:t xml:space="preserve"> ETTEVÕTJAD JA KUTSETÖÖTAJAD – MUUD MEETMED)</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1. </w:t>
      </w:r>
      <w:r w:rsidRPr="00D032BE">
        <w:rPr>
          <w:rFonts w:asciiTheme="majorHAnsi" w:hAnsiTheme="majorHAnsi"/>
          <w:sz w:val="24"/>
          <w:szCs w:val="24"/>
          <w:lang w:val="et-EE"/>
        </w:rPr>
        <w:tab/>
        <w:t>Juristid, notarid ja muud õigusteenuse osutajad ning õigusteenust osutavad raamatupidajad ei pea oma kahtlustest teatama, kui asjakohane teave saadi asjaoludel, millele laieneb ametisaladuse või teabevahetust advokaatidega kaitsva kutsesaladuse nõue.</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2. </w:t>
      </w:r>
      <w:r w:rsidRPr="00D032BE">
        <w:rPr>
          <w:rFonts w:asciiTheme="majorHAnsi" w:hAnsiTheme="majorHAnsi"/>
          <w:sz w:val="24"/>
          <w:szCs w:val="24"/>
          <w:lang w:val="et-EE"/>
        </w:rPr>
        <w:tab/>
        <w:t>Igas riigis tuleb kindlaks määrata valdkonnad, mille kohta kehtib ametisaladuse nõue või millele kohaldatakse kutsesaladust. Tavaliselt hõlmab see teavet, mida juristid, notarid ja muud õigusteenuse osutajad saavad oma klientidelt või klientide kaudu: a) kliendi õigusliku staatuse tuvastamisel või b) täites oma ülesandeid kliendi kaitsmisel või esindamisel kohtu-, haldus-, arbitraaži- või vahendusmenetluses.</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3. </w:t>
      </w:r>
      <w:r w:rsidRPr="00D032BE">
        <w:rPr>
          <w:rFonts w:asciiTheme="majorHAnsi" w:hAnsiTheme="majorHAnsi"/>
          <w:sz w:val="24"/>
          <w:szCs w:val="24"/>
          <w:lang w:val="et-EE"/>
        </w:rPr>
        <w:tab/>
        <w:t xml:space="preserve">Riigid võivad lubada juristidel, notaritel, muudel õigusteenuse osutajatel ja raamatupidajatel teatada kahtlastest tehingutest asjaomastele isereguleeruvatele organisatsioonidele, kui need organisatsioonid ja </w:t>
      </w:r>
      <w:r w:rsidR="00D86A5F">
        <w:rPr>
          <w:rFonts w:asciiTheme="majorHAnsi" w:hAnsiTheme="majorHAnsi"/>
          <w:sz w:val="24"/>
          <w:szCs w:val="24"/>
          <w:lang w:val="et-EE"/>
        </w:rPr>
        <w:t>Rahapesu andmebüroo</w:t>
      </w:r>
      <w:r w:rsidRPr="00D032BE">
        <w:rPr>
          <w:rFonts w:asciiTheme="majorHAnsi" w:hAnsiTheme="majorHAnsi"/>
          <w:sz w:val="24"/>
          <w:szCs w:val="24"/>
          <w:lang w:val="et-EE"/>
        </w:rPr>
        <w:t xml:space="preserve"> teevad omavahel sobivas vormis koostööd.</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4. </w:t>
      </w:r>
      <w:r w:rsidRPr="00D032BE">
        <w:rPr>
          <w:rFonts w:asciiTheme="majorHAnsi" w:hAnsiTheme="majorHAnsi"/>
          <w:sz w:val="24"/>
          <w:szCs w:val="24"/>
          <w:lang w:val="et-EE"/>
        </w:rPr>
        <w:tab/>
        <w:t>Kui juristid, notarid, muud õigusteenuse osutajad ja õigusteenust osutavad raamatupidajad soovitavad kliendil hoiduda ebaseaduslikust tegevusest, ei loeta seda teabe andmiseks.</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24 TÕLGENDAV MÄRKUS</w:t>
      </w:r>
    </w:p>
    <w:p w:rsidR="00D032BE" w:rsidRPr="00D032BE" w:rsidRDefault="00D032BE" w:rsidP="00D032BE">
      <w:pPr>
        <w:pStyle w:val="Pealkiri2"/>
      </w:pPr>
      <w:r w:rsidRPr="00D032BE">
        <w:t>(JURIIDILISTE ISIKUTE LÄBIPAISTVUS JA TEGELIKUD KASUSAAJAD)</w:t>
      </w:r>
    </w:p>
    <w:p w:rsidR="00D032BE" w:rsidRPr="00D032BE" w:rsidRDefault="00D032BE" w:rsidP="00D032BE">
      <w:pPr>
        <w:pStyle w:val="Kehatekstloend"/>
      </w:pPr>
      <w:r w:rsidRPr="00D032BE">
        <w:t xml:space="preserve">1. </w:t>
      </w:r>
      <w:r w:rsidRPr="00D032BE">
        <w:tab/>
        <w:t>Pädevad asutused peaksid olema suutelised hankima piisavat, täpset ja ajakohast teavet selles riigid asutatud</w:t>
      </w:r>
      <w:r w:rsidRPr="00D032BE">
        <w:rPr>
          <w:rStyle w:val="Allmrkuseviide"/>
        </w:rPr>
        <w:footnoteReference w:id="38"/>
      </w:r>
      <w:r w:rsidRPr="00D032BE">
        <w:t xml:space="preserve"> ettevõtete ja muude juriidiliste isikute tegelike kasusaajate ja kontrolliva osaluse kohta (tegelike kasusaajate andmed</w:t>
      </w:r>
      <w:r w:rsidRPr="00D032BE">
        <w:rPr>
          <w:rStyle w:val="Allmrkuseviide"/>
        </w:rPr>
        <w:footnoteReference w:id="39"/>
      </w:r>
      <w:r w:rsidRPr="00D032BE">
        <w:t>) või omama õigeaegset juurdepääsu sellisele teabele. Riigid võivad valida, milliseid mehhanisme nad selle eesmärgi saavutamiseks kasutavad, ent samas peaksid nad järgima ka allpool sätestatud miinimumnõudeid. On väga tõenäoline, et riikidel tuleb selle eesmärgi saavutamiseks rakendada eri meetmete kombinatsiooni.</w:t>
      </w:r>
    </w:p>
    <w:p w:rsidR="00D032BE" w:rsidRPr="00D032BE" w:rsidRDefault="00D032BE" w:rsidP="00D032BE">
      <w:pPr>
        <w:pStyle w:val="Kehatekstloend"/>
      </w:pPr>
      <w:r w:rsidRPr="00D032BE">
        <w:t xml:space="preserve">2. </w:t>
      </w:r>
      <w:r w:rsidRPr="00D032BE">
        <w:tab/>
        <w:t>Osana juriidiliste isikute piisava läbipaistvuse tagamise protsessist peaksid riigid kehtestama mehhanismid, millega</w:t>
      </w:r>
    </w:p>
    <w:p w:rsidR="00D032BE" w:rsidRPr="00D032BE" w:rsidRDefault="00D032BE" w:rsidP="00D032BE">
      <w:pPr>
        <w:pStyle w:val="a-thtloend"/>
      </w:pPr>
      <w:r w:rsidRPr="00D032BE">
        <w:t xml:space="preserve">a) </w:t>
      </w:r>
      <w:r w:rsidRPr="00D032BE">
        <w:tab/>
        <w:t>tuvastatakse ja määratletakse riigis asuvate juriidiliste isikute eri liigid, vormid ja põhiomadused;</w:t>
      </w:r>
    </w:p>
    <w:p w:rsidR="00D032BE" w:rsidRPr="00D032BE" w:rsidRDefault="00D032BE" w:rsidP="00D032BE">
      <w:pPr>
        <w:pStyle w:val="a-thtloend"/>
      </w:pPr>
      <w:r w:rsidRPr="00D032BE">
        <w:t xml:space="preserve">b) </w:t>
      </w:r>
      <w:r w:rsidRPr="00D032BE">
        <w:tab/>
        <w:t xml:space="preserve">tehakse kindlaks ja määratletakse järgmised protsessid: i) nende juriidiliste isikute asutamine ja </w:t>
      </w:r>
      <w:proofErr w:type="spellStart"/>
      <w:r w:rsidRPr="00D032BE">
        <w:t>ii</w:t>
      </w:r>
      <w:proofErr w:type="spellEnd"/>
      <w:r w:rsidRPr="00D032BE">
        <w:t xml:space="preserve">) põhilise teabe ja tegelike kasusaajate andmete saamine ja salvestamine; </w:t>
      </w:r>
    </w:p>
    <w:p w:rsidR="00D032BE" w:rsidRPr="00D032BE" w:rsidRDefault="00D032BE" w:rsidP="00D032BE">
      <w:pPr>
        <w:pStyle w:val="a-thtloend"/>
      </w:pPr>
      <w:r w:rsidRPr="00D032BE">
        <w:t>c)</w:t>
      </w:r>
      <w:r w:rsidRPr="00D032BE">
        <w:tab/>
        <w:t>eespool viidatud teave tehakse avalikult kättesaadavaks ja</w:t>
      </w:r>
    </w:p>
    <w:p w:rsidR="00D032BE" w:rsidRPr="00D032BE" w:rsidRDefault="00D032BE" w:rsidP="00D032BE">
      <w:pPr>
        <w:pStyle w:val="a-thtloend"/>
      </w:pPr>
      <w:r w:rsidRPr="00D032BE">
        <w:t xml:space="preserve">d) </w:t>
      </w:r>
      <w:r w:rsidRPr="00D032BE">
        <w:tab/>
        <w:t xml:space="preserve">hinnatakse riigis asutatud eri liiki juriidiliste isikutega seotud </w:t>
      </w:r>
      <w:r w:rsidR="002A32CF">
        <w:t>rahapesu</w:t>
      </w:r>
      <w:r w:rsidRPr="00D032BE">
        <w:t xml:space="preserve"> ja terrorismi rahastamise riske.</w:t>
      </w:r>
    </w:p>
    <w:p w:rsidR="00D032BE" w:rsidRPr="00D032BE" w:rsidRDefault="00D032BE" w:rsidP="00D032BE">
      <w:pPr>
        <w:pStyle w:val="A-pealkiri"/>
      </w:pPr>
      <w:r w:rsidRPr="00D032BE">
        <w:t xml:space="preserve">A. </w:t>
      </w:r>
      <w:r w:rsidRPr="00D032BE">
        <w:tab/>
        <w:t>PÕHIANDMED</w:t>
      </w:r>
    </w:p>
    <w:p w:rsidR="00D032BE" w:rsidRPr="00D032BE" w:rsidRDefault="00D032BE" w:rsidP="00D032BE">
      <w:pPr>
        <w:pStyle w:val="Kehatekstloend"/>
      </w:pPr>
      <w:r w:rsidRPr="00D032BE">
        <w:t xml:space="preserve">3. </w:t>
      </w:r>
      <w:r w:rsidRPr="00D032BE">
        <w:tab/>
        <w:t>Ettevõtte tegelike kasusaajate kindlakstegemiseks vajavad pädevad asutused ettevõtte kohta teatavaid põhiandmeid, mis peaksid sisaldama teavet vähemalt ettevõtte seadusliku omandi- ja kontrollistruktuuri kohta. See hõlmab teavet ettevõtte staatuse ja volituste ning aktsionäride ja juhtide kohta.</w:t>
      </w:r>
    </w:p>
    <w:p w:rsidR="00D032BE" w:rsidRPr="00D032BE" w:rsidRDefault="00D032BE" w:rsidP="00D032BE">
      <w:pPr>
        <w:pStyle w:val="Kehatekstloend"/>
      </w:pPr>
      <w:r w:rsidRPr="00D032BE">
        <w:t xml:space="preserve">4. </w:t>
      </w:r>
      <w:r w:rsidRPr="00D032BE">
        <w:tab/>
        <w:t>Kõik riigis asutatud ettevõtted peaksid olema registreeritud ettevõtete registris</w:t>
      </w:r>
      <w:r w:rsidRPr="00D032BE">
        <w:rPr>
          <w:rStyle w:val="Allmrkuseviide"/>
        </w:rPr>
        <w:footnoteReference w:id="40"/>
      </w:r>
      <w:r w:rsidRPr="00D032BE">
        <w:t>. Olenemata sellest, millist mehhanismide kombinatsiooni tegelike kasusaajate andmete saamiseks ja salvestamiseks kasutatakse (vt punkti B), on teatavad põhiandmed, mida ettevõtted</w:t>
      </w:r>
      <w:r w:rsidRPr="00D032BE">
        <w:rPr>
          <w:rStyle w:val="Allmrkuseviide"/>
        </w:rPr>
        <w:footnoteReference w:id="41"/>
      </w:r>
      <w:r w:rsidRPr="00D032BE">
        <w:t xml:space="preserve"> peaksid vajaliku eeltingimusena enda </w:t>
      </w:r>
      <w:r w:rsidRPr="00D032BE">
        <w:lastRenderedPageBreak/>
        <w:t xml:space="preserve">kohta koguma ja säilitama. Ettevõtted peaksid koguma </w:t>
      </w:r>
      <w:r w:rsidR="00D85288">
        <w:t xml:space="preserve">ja säilitama vähemalt järgmisi </w:t>
      </w:r>
      <w:r w:rsidRPr="00D032BE">
        <w:t>põhiandmeid:</w:t>
      </w:r>
    </w:p>
    <w:p w:rsidR="00D032BE" w:rsidRPr="00D032BE" w:rsidRDefault="00D032BE" w:rsidP="00D032BE">
      <w:pPr>
        <w:pStyle w:val="a-thtloend"/>
      </w:pPr>
      <w:r w:rsidRPr="00D032BE">
        <w:t xml:space="preserve">a) </w:t>
      </w:r>
      <w:r w:rsidRPr="00D032BE">
        <w:tab/>
        <w:t>ettevõtte nimi, asutamise tõend, õiguslik vorm ja staatus, registreeritud asukoha aadress, peamised reguleerivad õigusnormid (nt asutamisleping ja põhikiri), juhtkonna liikmete nimed; ja</w:t>
      </w:r>
    </w:p>
    <w:p w:rsidR="00D032BE" w:rsidRPr="00D032BE" w:rsidRDefault="00D032BE" w:rsidP="00D032BE">
      <w:pPr>
        <w:pStyle w:val="a-thtloend"/>
      </w:pPr>
      <w:r w:rsidRPr="00D032BE">
        <w:t xml:space="preserve">b) </w:t>
      </w:r>
      <w:r w:rsidRPr="00D032BE">
        <w:tab/>
        <w:t>osanike või liikmete nimekiri, mis sisaldab osanike ja liikmete nimesid ning igale osanikule</w:t>
      </w:r>
      <w:r w:rsidRPr="00D032BE">
        <w:rPr>
          <w:rStyle w:val="Allmrkuseviide"/>
        </w:rPr>
        <w:footnoteReference w:id="42"/>
      </w:r>
      <w:r w:rsidRPr="00D032BE">
        <w:t xml:space="preserve"> kuuluvat osalust ja osaluse liiki (sh sellega seotud hääleõiguse olemuse kirjeldust).</w:t>
      </w:r>
    </w:p>
    <w:p w:rsidR="00D032BE" w:rsidRPr="00D032BE" w:rsidRDefault="00D032BE" w:rsidP="00D032BE">
      <w:pPr>
        <w:pStyle w:val="Kehatekstloend"/>
      </w:pPr>
      <w:r w:rsidRPr="00D032BE">
        <w:t xml:space="preserve">5. </w:t>
      </w:r>
      <w:r w:rsidRPr="00D032BE">
        <w:tab/>
        <w:t>Ettevõtete registris tuleks säilitada kõiki lõike 4 punktis a sätestatud põhiandmeid.</w:t>
      </w:r>
    </w:p>
    <w:p w:rsidR="00D032BE" w:rsidRPr="00D032BE" w:rsidRDefault="00D032BE" w:rsidP="00D032BE">
      <w:pPr>
        <w:pStyle w:val="Kehatekstloend"/>
      </w:pPr>
      <w:r w:rsidRPr="00D032BE">
        <w:t xml:space="preserve">6. </w:t>
      </w:r>
      <w:r w:rsidRPr="00D032BE">
        <w:tab/>
        <w:t>Ettevõtted peaksid säilitama lõike 4 punktis b sätestatud põhiandmeid asjaomases riigis, kas oma registreeritud asukohas või ettevõtete registrile teatatud muus asukohas. Ent kui ettevõte või ettevõtete register säilitab tegelike kasusaajate andmeid asjaomases riigis, ei pea osanike nimekiri asuma samas riigis, tingimusel et ettevõte suudab neid andmeid nõudmise korral kiiresti esitada.</w:t>
      </w:r>
    </w:p>
    <w:p w:rsidR="00D032BE" w:rsidRPr="00D032BE" w:rsidRDefault="00D032BE" w:rsidP="00D032BE">
      <w:pPr>
        <w:pStyle w:val="A-pealkiri"/>
      </w:pPr>
      <w:r w:rsidRPr="00D032BE">
        <w:t xml:space="preserve">B. </w:t>
      </w:r>
      <w:r w:rsidRPr="00D032BE">
        <w:tab/>
        <w:t>TEGELIKE KASUSAAJATE ANDMED</w:t>
      </w:r>
    </w:p>
    <w:p w:rsidR="00D032BE" w:rsidRPr="00D032BE" w:rsidRDefault="00D032BE" w:rsidP="00D032BE">
      <w:pPr>
        <w:pStyle w:val="Kehatekstloend"/>
      </w:pPr>
      <w:r w:rsidRPr="00D032BE">
        <w:t xml:space="preserve">7. </w:t>
      </w:r>
      <w:r w:rsidRPr="00D032BE">
        <w:tab/>
        <w:t>Riigid peaksid tagama, et a) ettevõtted koguvad andmeid oma tegelike kasusaajate kohta ja need on selles riigis ettenähtud kohas kättesaadavad või b) on kehtestatud mehhanismid, mille abil pädev asutus saab ettevõtte tegelikud kasusaajad õigel ajal kindlaks teha.</w:t>
      </w:r>
    </w:p>
    <w:p w:rsidR="00D032BE" w:rsidRPr="00D032BE" w:rsidRDefault="00D032BE" w:rsidP="00D032BE">
      <w:pPr>
        <w:pStyle w:val="Kehatekstloend"/>
      </w:pPr>
      <w:r w:rsidRPr="00D032BE">
        <w:t xml:space="preserve">8. </w:t>
      </w:r>
      <w:r w:rsidRPr="00D032BE">
        <w:tab/>
        <w:t>Lõikes 7 sätestatud nõuete täitmiseks peaksid riigid kasutama üht või mitut alljärgnevatest mehhanismidest:</w:t>
      </w:r>
    </w:p>
    <w:p w:rsidR="00D032BE" w:rsidRPr="00D032BE" w:rsidRDefault="00D032BE" w:rsidP="00D032BE">
      <w:pPr>
        <w:pStyle w:val="a-thtloend"/>
      </w:pPr>
      <w:r w:rsidRPr="00D032BE">
        <w:t xml:space="preserve">a) </w:t>
      </w:r>
      <w:r w:rsidRPr="00D032BE">
        <w:tab/>
        <w:t>nõudma ettevõtetelt või ettevõtete registritelt ettevõtete tegelike kasusaajate kohta ajakohaste andmete kogumist ja säilitamist;</w:t>
      </w:r>
    </w:p>
    <w:p w:rsidR="00D032BE" w:rsidRPr="00D032BE" w:rsidRDefault="00D032BE" w:rsidP="00D032BE">
      <w:pPr>
        <w:pStyle w:val="a-thtloend"/>
      </w:pPr>
      <w:r w:rsidRPr="00D032BE">
        <w:t xml:space="preserve">b) </w:t>
      </w:r>
      <w:r w:rsidRPr="00D032BE">
        <w:tab/>
        <w:t>nõudma ettevõtetelt mõistlike meetmete</w:t>
      </w:r>
      <w:r w:rsidRPr="00D032BE">
        <w:rPr>
          <w:rStyle w:val="Allmrkuseviide"/>
        </w:rPr>
        <w:footnoteReference w:id="43"/>
      </w:r>
      <w:r w:rsidRPr="00D032BE">
        <w:t xml:space="preserve"> võtmist ettevõtete tegelike kasusaajate kohta ajakohaste andmete kogumiseks ja säilitamiseks;</w:t>
      </w:r>
    </w:p>
    <w:p w:rsidR="00D032BE" w:rsidRPr="00D032BE" w:rsidRDefault="00D032BE" w:rsidP="00D032BE">
      <w:pPr>
        <w:pStyle w:val="a-thtloend"/>
      </w:pPr>
      <w:r w:rsidRPr="00D07855">
        <w:t xml:space="preserve">c) </w:t>
      </w:r>
      <w:r w:rsidRPr="00D07855">
        <w:tab/>
        <w:t xml:space="preserve">kasutama olemasolevat teavet, </w:t>
      </w:r>
      <w:r w:rsidR="00847867">
        <w:t>sh</w:t>
      </w:r>
      <w:r w:rsidRPr="00D07855">
        <w:t xml:space="preserve">: i) </w:t>
      </w:r>
      <w:r w:rsidR="006043CB" w:rsidRPr="00D07855">
        <w:t>finantsasutus</w:t>
      </w:r>
      <w:r w:rsidRPr="00D07855">
        <w:t>te ja/või mittefinantsteenuseid pakkuvate ettevõtjate ja kutsetöötajate poolt kooskõlas soovitustega</w:t>
      </w:r>
      <w:r w:rsidR="00847867">
        <w:t xml:space="preserve"> </w:t>
      </w:r>
      <w:r w:rsidRPr="00D07855">
        <w:t>10 ja 22</w:t>
      </w:r>
      <w:r w:rsidRPr="00D07855">
        <w:rPr>
          <w:rStyle w:val="Allmrkuseviide"/>
        </w:rPr>
        <w:footnoteReference w:id="44"/>
      </w:r>
      <w:r w:rsidRPr="00D07855">
        <w:t xml:space="preserve"> kogutavat teavet; </w:t>
      </w:r>
      <w:proofErr w:type="spellStart"/>
      <w:r w:rsidRPr="00D07855">
        <w:t>ii</w:t>
      </w:r>
      <w:proofErr w:type="spellEnd"/>
      <w:r w:rsidRPr="00D07855">
        <w:t xml:space="preserve">) muude pädevate asutuste poolt säilitavat teavet ettevõtete seadusliku omandivormi ja tegelike kasusaajate kohta (nt ettevõtete registrid, maksuametid, finantsorganid või muud seadusandjad); </w:t>
      </w:r>
      <w:proofErr w:type="spellStart"/>
      <w:r w:rsidRPr="00D07855">
        <w:t>iii</w:t>
      </w:r>
      <w:proofErr w:type="spellEnd"/>
      <w:r w:rsidRPr="00D07855">
        <w:t xml:space="preserve">) ettevõtete poolt punkti A </w:t>
      </w:r>
      <w:r w:rsidRPr="00D07855">
        <w:lastRenderedPageBreak/>
        <w:t xml:space="preserve">nõuete kohaselt säilitatavat teavet ja </w:t>
      </w:r>
      <w:proofErr w:type="spellStart"/>
      <w:r w:rsidRPr="00D07855">
        <w:t>iv</w:t>
      </w:r>
      <w:proofErr w:type="spellEnd"/>
      <w:r w:rsidRPr="00D07855">
        <w:t xml:space="preserve">) olemasolevat teavet selliste ettevõtete kohta, mis on noteeritud börsil, kus kehtivad </w:t>
      </w:r>
      <w:r w:rsidRPr="00D07855">
        <w:rPr>
          <w:szCs w:val="24"/>
        </w:rPr>
        <w:t>avalikustamisnõuded</w:t>
      </w:r>
      <w:r w:rsidRPr="00D07855">
        <w:t xml:space="preserve"> (kas börsieeskirjade või õigusaktide või </w:t>
      </w:r>
      <w:r w:rsidRPr="00EE7F9E">
        <w:t>täitmisele pööratavate vahendite alusel),</w:t>
      </w:r>
      <w:r w:rsidRPr="00D07855">
        <w:t xml:space="preserve"> millega tagatakse tegelike kasusaajate piisav läbipaistvus.</w:t>
      </w:r>
    </w:p>
    <w:p w:rsidR="00D032BE" w:rsidRPr="00D032BE" w:rsidRDefault="00D032BE" w:rsidP="00D032BE">
      <w:pPr>
        <w:pStyle w:val="Kehatekstloend"/>
      </w:pPr>
      <w:r w:rsidRPr="00D032BE">
        <w:t xml:space="preserve">9. </w:t>
      </w:r>
      <w:r w:rsidRPr="00D032BE">
        <w:tab/>
        <w:t>Olenemata sellest, millist eespool kirjeldatud mehhanismi kasutatakse, peaksid riigid tagama, et ettevõtted teevad tegelike kasusaajate väljaselgitamisel pädevate asutustega võimalikult täielikku koostööd. See peaks hõlmama järgmist:</w:t>
      </w:r>
    </w:p>
    <w:p w:rsidR="00D032BE" w:rsidRPr="00D032BE" w:rsidRDefault="00D032BE" w:rsidP="00D032BE">
      <w:pPr>
        <w:pStyle w:val="a-thtloend"/>
      </w:pPr>
      <w:r w:rsidRPr="00D032BE">
        <w:t xml:space="preserve">a) </w:t>
      </w:r>
      <w:r w:rsidRPr="00D032BE">
        <w:tab/>
        <w:t>nõue, et ettevõtted</w:t>
      </w:r>
      <w:r w:rsidRPr="00D032BE">
        <w:rPr>
          <w:rStyle w:val="Allmrkuseviide"/>
        </w:rPr>
        <w:footnoteReference w:id="45"/>
      </w:r>
      <w:r w:rsidRPr="00D032BE">
        <w:t xml:space="preserve"> volitavad ühe või mitu riigis alaliselt elavat isikut, kes vastutavad pädevate asutuste ees kõikide põhiandmete ja tegelike kasusaajate kohta olemasoleva teabe esitamise ning pädevatele asutustele täiendava abi osutamise eest; ja/või</w:t>
      </w:r>
    </w:p>
    <w:p w:rsidR="00D032BE" w:rsidRPr="00D032BE" w:rsidRDefault="00D032BE" w:rsidP="00D032BE">
      <w:pPr>
        <w:pStyle w:val="a-thtloend"/>
      </w:pPr>
      <w:r w:rsidRPr="00D032BE">
        <w:t xml:space="preserve">b) </w:t>
      </w:r>
      <w:r w:rsidRPr="00D032BE">
        <w:tab/>
        <w:t>nõue, et ettevõtted volitavad riigis asuva mittefinantsteenuseid pakkuva määratud ettevõtja või kutsetöötaja, kes vastutab pädevate asutuste ees kõikide põhiandmete ja tegelike kasusaajate kohta olemasoleva teabe esitamise ning pädevatele asutustele täiendava abi osutamise eest; ja/või</w:t>
      </w:r>
    </w:p>
    <w:p w:rsidR="00D032BE" w:rsidRPr="00D032BE" w:rsidRDefault="00D032BE" w:rsidP="00D032BE">
      <w:pPr>
        <w:pStyle w:val="a-thtloend"/>
      </w:pPr>
      <w:r w:rsidRPr="00D032BE">
        <w:t xml:space="preserve">c) </w:t>
      </w:r>
      <w:r w:rsidRPr="00D032BE">
        <w:tab/>
        <w:t>muud riigi poolt määratletud võrdväärseid meetmeid, mis võimaldavad tõhusalt tagada koostöö.</w:t>
      </w:r>
    </w:p>
    <w:p w:rsidR="00D032BE" w:rsidRPr="00D032BE" w:rsidRDefault="00D032BE" w:rsidP="00D032BE">
      <w:pPr>
        <w:pStyle w:val="Kehatekstloend"/>
      </w:pPr>
      <w:r w:rsidRPr="00D032BE">
        <w:t xml:space="preserve">10. </w:t>
      </w:r>
      <w:r w:rsidRPr="00D032BE">
        <w:tab/>
        <w:t xml:space="preserve">Kõik eespool viidatud isikud, ametiasutused ja üksused ning ka ettevõtted ise (või ettevõtete haldurid, likvideerijad või muud ettevõtte tegevuse lõpetamisega seotud isikud) peaksid säilitama eespool kirjeldatud teavet ja andmeid vähemalt viis aastat pärast ettevõtte tegevuse lõpetamise või muul moel eksisteerimise lõppemise kuupäeva või viis aastat pärast kuupäeva, mil ettevõtte lakkab olemast kutselise vahendaja või </w:t>
      </w:r>
      <w:r w:rsidR="006043CB">
        <w:t>finantsasutus</w:t>
      </w:r>
      <w:r w:rsidRPr="00D032BE">
        <w:t>e klient.</w:t>
      </w:r>
    </w:p>
    <w:p w:rsidR="00D032BE" w:rsidRPr="00D032BE" w:rsidRDefault="00D032BE" w:rsidP="00D032BE">
      <w:pPr>
        <w:pStyle w:val="A-pealkiri"/>
      </w:pPr>
      <w:r w:rsidRPr="00D032BE">
        <w:t xml:space="preserve">C. </w:t>
      </w:r>
      <w:r w:rsidRPr="00D032BE">
        <w:tab/>
        <w:t>ÕIGEAEGNE JUURDEPÄÄS AJAKOHASELE JA TÄPSELE TEABELE</w:t>
      </w:r>
    </w:p>
    <w:p w:rsidR="00D032BE" w:rsidRPr="00D032BE" w:rsidRDefault="00D032BE" w:rsidP="00D032BE">
      <w:pPr>
        <w:pStyle w:val="Kehatekstloend"/>
      </w:pPr>
      <w:r w:rsidRPr="00D032BE">
        <w:t xml:space="preserve">11. </w:t>
      </w:r>
      <w:r w:rsidRPr="00D032BE">
        <w:tab/>
        <w:t>Riigid peaksid kehtestama mehhanismid, millega tagatakse põhiandmete, sh ettevõtete registri esitatava teabe täpsus ja õigeaegne ajakohastamine. Riigid peaksid nõudma, et lõikes 7 kirjeldatud olemasolev teave on täpne ja võimalikult ajakohane ning et seda uuendatakse mõistliku perioodi jooksul pärast mis tahes muudatuste tegemist.</w:t>
      </w:r>
    </w:p>
    <w:p w:rsidR="00D032BE" w:rsidRPr="00D032BE" w:rsidRDefault="00D032BE" w:rsidP="00D032BE">
      <w:pPr>
        <w:pStyle w:val="Kehatekstloend"/>
      </w:pPr>
      <w:r w:rsidRPr="00D032BE">
        <w:t xml:space="preserve">12. </w:t>
      </w:r>
      <w:r w:rsidRPr="00D032BE">
        <w:tab/>
        <w:t>Pädevatel asutustel ja eelkõige õiguskaitseorganitel peaksid olema kõik vajalikud volitused õigeaegse juurdepääsu saamiseks asjaomaste poolte säilitatavatele põhiandmetele ja tegelike kasusaajate andmetele.</w:t>
      </w:r>
    </w:p>
    <w:p w:rsidR="00D032BE" w:rsidRPr="00D032BE" w:rsidRDefault="00D032BE" w:rsidP="00D032BE">
      <w:pPr>
        <w:pStyle w:val="Kehatekstloend"/>
      </w:pPr>
      <w:r w:rsidRPr="00D032BE">
        <w:t xml:space="preserve">13. </w:t>
      </w:r>
      <w:r w:rsidRPr="00D032BE">
        <w:tab/>
        <w:t xml:space="preserve">Riigid peaksid kohustama oma ettevõtete registrit võimaldama </w:t>
      </w:r>
      <w:r w:rsidR="006043CB">
        <w:t>finantsasutus</w:t>
      </w:r>
      <w:r w:rsidRPr="00D032BE">
        <w:t xml:space="preserve">tele, mittefinantsteenuseid pakkuvatele määratud ettevõtjatele ja kutsetöötajatele </w:t>
      </w:r>
      <w:r w:rsidRPr="00D032BE">
        <w:lastRenderedPageBreak/>
        <w:t xml:space="preserve">ning teiste riikide pädevatele asutustele õigeaegset juurdepääsu registris säilitatavale avalikule teabele või vähemalt lõike 4 punktis a kirjeldatud teabele. Riigid peaksid kaaluma ka </w:t>
      </w:r>
      <w:r w:rsidR="006043CB">
        <w:t>finantsasutus</w:t>
      </w:r>
      <w:r w:rsidRPr="00D032BE">
        <w:t>tele ja mittefinantsteenuseid pakkuvatele määratud ettevõtjatele ja kutsetöötajatele õigeaegse juurdepääsu võimaldamist lõike 4 punktis b kirjeldatud teabele.</w:t>
      </w:r>
    </w:p>
    <w:p w:rsidR="00D032BE" w:rsidRPr="00D032BE" w:rsidRDefault="00D032BE" w:rsidP="00D032BE">
      <w:pPr>
        <w:pStyle w:val="A-pealkiri"/>
      </w:pPr>
      <w:r w:rsidRPr="00D032BE">
        <w:t xml:space="preserve">D. </w:t>
      </w:r>
      <w:r w:rsidRPr="00D032BE">
        <w:tab/>
        <w:t>LÄBIPAISTVUST TAKISTAVAD ASJAOLUD</w:t>
      </w:r>
    </w:p>
    <w:p w:rsidR="00D032BE" w:rsidRPr="00D032BE" w:rsidRDefault="00D032BE" w:rsidP="00D032BE">
      <w:pPr>
        <w:pStyle w:val="Kehatekstloend"/>
      </w:pPr>
      <w:r w:rsidRPr="00D032BE">
        <w:t xml:space="preserve">14. </w:t>
      </w:r>
      <w:r w:rsidRPr="00D032BE">
        <w:tab/>
        <w:t xml:space="preserve">Riigid peaksid võtma meetmeid esitajaaktsiate ja esitajaaktsiate ostutähtede kuritarvitamise ennetamiseks, kasutades näiteks üht või enamat järgmistest meetoditest: a) need keelustades; b) konverteerides need nimelisteks aktsiateks või aktsiate ostutähtedeks (näiteks elektrooniliste väärtpaberite kasutuselevõtu teel); c) need käibelt kõrvaldades, nõudes nende hoidmist reguleeritud </w:t>
      </w:r>
      <w:r w:rsidR="006043CB">
        <w:t>finantsasutus</w:t>
      </w:r>
      <w:r w:rsidRPr="00D032BE">
        <w:t>es või kutselise vahendaja juures või d) kohustades kontrolliva osalusega omanikke ettevõtteid teavitama ja ettevõtteid nende isikut puudutavaid andmeid säilitama.</w:t>
      </w:r>
    </w:p>
    <w:p w:rsidR="00D032BE" w:rsidRPr="00D032BE" w:rsidRDefault="00D032BE" w:rsidP="00D032BE">
      <w:pPr>
        <w:pStyle w:val="Kehatekstloend"/>
      </w:pPr>
      <w:r w:rsidRPr="00D032BE">
        <w:t xml:space="preserve">15. </w:t>
      </w:r>
      <w:r w:rsidRPr="00D032BE">
        <w:tab/>
        <w:t>Riigid peaksid rakendama meetmeid aktsionäride esindajate ja juhatajate esindajate kuritarvitamise ennetamiseks, kasutades näiteks üht või enamat järgmistest meetoditest: a) kohustades aktsionäride ja juhatajate esindajaid avaldama neid ametisse määranud isikute andmed ettevõttele ja asjaomastele registritele ning nõudes nende andmete kandmist asjaomasesse registrisse; või b) nõudes aktsionäride ja juhatajate esindajate litsentseerimist ja nende esindajastaatuse kandmist ettevõtete registritesse ning kohustades neid säilitama neid ametisse määranud isikute andmeid ja esitama need nõudmise korral pädevatele asutustele.</w:t>
      </w:r>
    </w:p>
    <w:p w:rsidR="00D032BE" w:rsidRPr="00D032BE" w:rsidRDefault="00D032BE" w:rsidP="00D032BE">
      <w:pPr>
        <w:pStyle w:val="A-pealkiri"/>
      </w:pPr>
      <w:r w:rsidRPr="00D032BE">
        <w:t xml:space="preserve">E. </w:t>
      </w:r>
      <w:r w:rsidRPr="00D032BE">
        <w:tab/>
        <w:t>MUUD JURIIDILISED ISIKUD</w:t>
      </w:r>
    </w:p>
    <w:p w:rsidR="00D032BE" w:rsidRPr="00D032BE" w:rsidRDefault="00D032BE" w:rsidP="00D032BE">
      <w:pPr>
        <w:pStyle w:val="Kehatekstloend"/>
      </w:pPr>
      <w:r w:rsidRPr="00D032BE">
        <w:t xml:space="preserve">16. </w:t>
      </w:r>
      <w:r w:rsidRPr="00D032BE">
        <w:tab/>
        <w:t>Riigid peaksid kehtestama sihtasutustele, asutustele (</w:t>
      </w:r>
      <w:proofErr w:type="spellStart"/>
      <w:r w:rsidRPr="00D032BE">
        <w:rPr>
          <w:i/>
        </w:rPr>
        <w:t>anstalt</w:t>
      </w:r>
      <w:proofErr w:type="spellEnd"/>
      <w:r w:rsidRPr="00D032BE">
        <w:t xml:space="preserve">) ja usaldusühingutele ettevõtete suhtes </w:t>
      </w:r>
      <w:r w:rsidR="002222DE">
        <w:t>rakendatavatega</w:t>
      </w:r>
      <w:r w:rsidR="002222DE" w:rsidRPr="00D032BE">
        <w:t xml:space="preserve"> </w:t>
      </w:r>
      <w:r w:rsidRPr="00D032BE">
        <w:t>sarnased meetmed ja nõuded, võttes arvesse nende erinevat vormi ja struktuuri.</w:t>
      </w:r>
    </w:p>
    <w:p w:rsidR="00D032BE" w:rsidRPr="00D032BE" w:rsidRDefault="00D032BE" w:rsidP="00D032BE">
      <w:pPr>
        <w:pStyle w:val="Kehatekstloend"/>
      </w:pPr>
      <w:r w:rsidRPr="00D032BE">
        <w:t xml:space="preserve">17. </w:t>
      </w:r>
      <w:r w:rsidRPr="00D032BE">
        <w:tab/>
        <w:t xml:space="preserve">Muud liiki juriidiliste isikute puhul peaksid riigid asjakohase läbipaistvuse tagamiseks arvesse võtma nende juriidiliste isikute erinevat vormi ja struktuuri ning igat liiki juriidiliste isikutega seotud </w:t>
      </w:r>
      <w:r w:rsidR="002A32CF">
        <w:t>rahapesu</w:t>
      </w:r>
      <w:r w:rsidRPr="00D032BE">
        <w:t xml:space="preserve"> ja terrorismi rahastamise riskide </w:t>
      </w:r>
      <w:r w:rsidR="008F0DB8">
        <w:t>aste</w:t>
      </w:r>
      <w:r w:rsidRPr="00D032BE">
        <w:t xml:space="preserve">t. Riigid peaksid vähemalt tagama, et selliseid juriidilised isikud säilitavad sarnaseid põhiandmeid ning hoiavad need täpsete ja ajakohastena ning et pädevad asutused omavad sellistele andmetele õigel ajal juurdepääsu. Riigid peaksid hindama selliste muude juriidiliste isikutega seotud </w:t>
      </w:r>
      <w:r w:rsidR="002A32CF">
        <w:t>rahapesu</w:t>
      </w:r>
      <w:r w:rsidRPr="00D032BE">
        <w:t xml:space="preserve"> ja terrorismi rahastamise riske ning otsustama </w:t>
      </w:r>
      <w:r w:rsidR="00213F51" w:rsidRPr="00D032BE">
        <w:t>riski</w:t>
      </w:r>
      <w:r w:rsidR="00213F51">
        <w:t>astme</w:t>
      </w:r>
      <w:r w:rsidR="00213F51" w:rsidRPr="00D032BE">
        <w:t xml:space="preserve"> </w:t>
      </w:r>
      <w:r w:rsidRPr="00D032BE">
        <w:t>põhjal, milliseid meetmeid tuleb rakendada tagamaks, et pädevad asutused omavad õigel ajal juurdepääsu piisavale, täpsele ja ajakohasele teabele selliste juriidiliste isikute tegelike kasusaajate kohta.</w:t>
      </w:r>
    </w:p>
    <w:p w:rsidR="00D032BE" w:rsidRPr="00D032BE" w:rsidRDefault="00D032BE" w:rsidP="00D032BE">
      <w:pPr>
        <w:pStyle w:val="A-pealkiri"/>
      </w:pPr>
      <w:r w:rsidRPr="00D032BE">
        <w:lastRenderedPageBreak/>
        <w:t xml:space="preserve">F. </w:t>
      </w:r>
      <w:r w:rsidRPr="00D032BE">
        <w:tab/>
        <w:t>VASTUTUS JA KARISTUSED</w:t>
      </w:r>
    </w:p>
    <w:p w:rsidR="00D032BE" w:rsidRPr="00D032BE" w:rsidRDefault="00D032BE" w:rsidP="00D032BE">
      <w:pPr>
        <w:pStyle w:val="Kehatekstloend"/>
      </w:pPr>
      <w:r w:rsidRPr="00D032BE">
        <w:t xml:space="preserve">18. </w:t>
      </w:r>
      <w:r w:rsidRPr="00D032BE">
        <w:tab/>
        <w:t>Riigid peaksid selgelt kehtestama käesolevas tõlgendavas märkuses sätestatud nõuete täitmise kohustuse ja vastutuse ning asjakohased tõhusad, proportsionaalsed ja hoiatavad karistused kõikidele juriidilistele ja füüsilistele isikutele, kes neid nõudeid korrektselt ei täida.</w:t>
      </w:r>
    </w:p>
    <w:p w:rsidR="00D032BE" w:rsidRPr="00D032BE" w:rsidRDefault="00D032BE" w:rsidP="00D032BE">
      <w:pPr>
        <w:pStyle w:val="A-pealkiri"/>
      </w:pPr>
      <w:r w:rsidRPr="00D032BE">
        <w:t xml:space="preserve">G. </w:t>
      </w:r>
      <w:r w:rsidRPr="00D032BE">
        <w:tab/>
        <w:t>RAHVUSVAHELINE KOOSTÖÖ</w:t>
      </w:r>
    </w:p>
    <w:p w:rsidR="00D032BE" w:rsidRPr="00D032BE" w:rsidRDefault="00D032BE" w:rsidP="00D032BE">
      <w:pPr>
        <w:pStyle w:val="Kehatekstloend"/>
      </w:pPr>
      <w:r w:rsidRPr="00D032BE">
        <w:t xml:space="preserve">19. </w:t>
      </w:r>
      <w:r w:rsidRPr="00D032BE">
        <w:tab/>
        <w:t>Riigid peaksid seoses põhiandmete ja tegelike kasusaajate andmetega tegema kiiret, konstruktiivset ja tõhusat rahvusvahelist koostööd vastavalt soovitustele 37 ja 40. See peaks hõlmama a) teiste riikide pädevatele asutustele juurdepääsu võimaldamist ettevõtete registrites säilitatavatele põhiandmetele; b) aktsionäride ja osanike kohta teabe vahetamist ja c) vastavalt siseriiklikule õigusele oma volituste kasutamist teiste riikide asjaomaste asutuste nimel tegelike kasusaajate kohta teabe hankimiseks. Riigid peaksid teostama seiret selle õigusabi kvaliteedi üle, mida teised riigid põhiandmete ja tegelike kasusaajate andmete päringutele ja välismaal elavate tegelike kasusaajate asukoha kindlaksmääramise taotlustele vastates neile osutavad.</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25 TÕLGENDAV MÄRKUS</w:t>
      </w:r>
    </w:p>
    <w:p w:rsidR="00D032BE" w:rsidRPr="00D032BE" w:rsidRDefault="00D032BE" w:rsidP="00D032BE">
      <w:pPr>
        <w:pStyle w:val="Pealkiri2"/>
      </w:pPr>
      <w:r w:rsidRPr="00D032BE">
        <w:t>(</w:t>
      </w:r>
      <w:r w:rsidR="002D4AC1">
        <w:t xml:space="preserve">LEPINGULISTE </w:t>
      </w:r>
      <w:r w:rsidRPr="00D032BE">
        <w:t>ÕIGUSLIKE ÜKSUSTE LÄBIPAISTVUS JA TEGELIKUD KASUSAAJAD)</w:t>
      </w:r>
    </w:p>
    <w:p w:rsidR="00D032BE" w:rsidRPr="00D032BE" w:rsidRDefault="00D032BE" w:rsidP="00D032BE">
      <w:pPr>
        <w:pStyle w:val="Kehatekstloend"/>
      </w:pPr>
      <w:r w:rsidRPr="00D032BE">
        <w:t xml:space="preserve">1. </w:t>
      </w:r>
      <w:r w:rsidRPr="00D032BE">
        <w:tab/>
        <w:t>Riigid peaksid kohustama usalduslepingu alusel tegutsevate fondide (</w:t>
      </w:r>
      <w:proofErr w:type="spellStart"/>
      <w:r w:rsidRPr="00D032BE">
        <w:rPr>
          <w:i/>
        </w:rPr>
        <w:t>express</w:t>
      </w:r>
      <w:proofErr w:type="spellEnd"/>
      <w:r w:rsidRPr="00D032BE">
        <w:rPr>
          <w:i/>
        </w:rPr>
        <w:t xml:space="preserve"> trust</w:t>
      </w:r>
      <w:r w:rsidRPr="00D032BE">
        <w:t xml:space="preserve">) volinikke koguma ja säilitama piisavat, täpset ja ajakohast teavet fondi tegelike kasusaajate kohta. See peaks hõlmama teavet usaldusvara haldaja, volinike, </w:t>
      </w:r>
      <w:r w:rsidR="00B86CDE" w:rsidRPr="00D07855">
        <w:t>eestkostjate</w:t>
      </w:r>
      <w:r w:rsidRPr="00D032BE">
        <w:t xml:space="preserve"> (kui on), tegelike kasusaajate või kasusaajate liigi või mis tahes muu füüsilise isiku kohta, kes omab fondi üle lõplikku tegelikku kontrolli. Samuti peaksid riigid kohustama nende siseriikliku õigusega reguleeritud mis tahes fondide volinikke säilitama fondi teiste esindajate või fondile teenuseid osutavate üksuste, sh investeerimisnõustajate või juhatajate, raamatupidajate ja maksunõustajate põhiandmeid.</w:t>
      </w:r>
    </w:p>
    <w:p w:rsidR="00D032BE" w:rsidRPr="00D032BE" w:rsidRDefault="00D032BE" w:rsidP="00D032BE">
      <w:pPr>
        <w:pStyle w:val="Kehatekstloend"/>
      </w:pPr>
      <w:r w:rsidRPr="00D032BE">
        <w:t xml:space="preserve">2. </w:t>
      </w:r>
      <w:r w:rsidRPr="00D032BE">
        <w:tab/>
        <w:t xml:space="preserve">Kõik riigid peaksid rakendama meetmeid tagamaks, et ärisuhete sõlmimisel või piirmäära ületavate tehingute teostamisel teavitavad volinikud </w:t>
      </w:r>
      <w:r w:rsidR="006043CB">
        <w:t>finantsasutus</w:t>
      </w:r>
      <w:r w:rsidRPr="00D032BE">
        <w:t>i ja mittefinantsteenuseid pakkuvaid määratud ettevõtjaid ja kutsetöötajaid oma staatusest. Volinikel ei tohiks olla seadusega või täitmisele pööratavate vahenditega keelatud esitada pädevatele asutustele</w:t>
      </w:r>
      <w:r w:rsidRPr="00D032BE">
        <w:rPr>
          <w:rStyle w:val="Allmrkuseviide"/>
        </w:rPr>
        <w:footnoteReference w:id="46"/>
      </w:r>
      <w:r w:rsidRPr="00D032BE">
        <w:t xml:space="preserve"> fondi kohta mis tahes teavet või esitada </w:t>
      </w:r>
      <w:r w:rsidR="006043CB">
        <w:t>finantsasutus</w:t>
      </w:r>
      <w:r w:rsidRPr="00D032BE">
        <w:t>tele ja mittefinantsteenuseid pakkuvatele määratud ettevõtjatele ja kutsetöötajatele teavet tegelike kasusaajate ja ärisuhte raames hoiustatavate või hallatavate fondi varade kohta.</w:t>
      </w:r>
    </w:p>
    <w:p w:rsidR="00D032BE" w:rsidRPr="00D032BE" w:rsidRDefault="00D032BE" w:rsidP="00D032BE">
      <w:pPr>
        <w:pStyle w:val="Kehatekstloend"/>
      </w:pPr>
      <w:r w:rsidRPr="00D032BE">
        <w:t xml:space="preserve">3. </w:t>
      </w:r>
      <w:r w:rsidRPr="00D032BE">
        <w:tab/>
        <w:t>Riikidel soovitatakse tagada, et teised asjakohased asutused, isikud ja üksused säilitavad teavet kõikide fondide kohta, kellega neil on suhted. Võimalikud allikad fondide, volinike ja fondivarade kohta teabe saamiseks on järgmised:</w:t>
      </w:r>
    </w:p>
    <w:p w:rsidR="00D032BE" w:rsidRPr="00D032BE" w:rsidRDefault="00D032BE" w:rsidP="00D032BE">
      <w:pPr>
        <w:pStyle w:val="a-thtloend"/>
      </w:pPr>
      <w:r w:rsidRPr="00D032BE">
        <w:t xml:space="preserve">a) </w:t>
      </w:r>
      <w:r w:rsidRPr="00D032BE">
        <w:tab/>
        <w:t>registrid (nt fondide või fondivarade keskregister) või maa-, kinnisvara-, sõiduki-, aktsia- või muud registrid;</w:t>
      </w:r>
    </w:p>
    <w:p w:rsidR="00D032BE" w:rsidRPr="00D032BE" w:rsidRDefault="00D032BE" w:rsidP="00D032BE">
      <w:pPr>
        <w:pStyle w:val="a-thtloend"/>
      </w:pPr>
      <w:r w:rsidRPr="00D032BE">
        <w:t xml:space="preserve">b) </w:t>
      </w:r>
      <w:r w:rsidRPr="00D032BE">
        <w:tab/>
        <w:t>teised pädevad asutused, mis säilitavad teavet fondide ja volinike kohta (nt maksuametid, mis koguvad teavet fondidega seotud varade ja tulude kohta);</w:t>
      </w:r>
    </w:p>
    <w:p w:rsidR="00D032BE" w:rsidRPr="00D032BE" w:rsidRDefault="00D032BE" w:rsidP="00D032BE">
      <w:pPr>
        <w:pStyle w:val="a-thtloend"/>
      </w:pPr>
      <w:r w:rsidRPr="00D032BE">
        <w:t xml:space="preserve">c) </w:t>
      </w:r>
      <w:r w:rsidRPr="00D032BE">
        <w:tab/>
        <w:t>muud fondide esindajad ja teenuseosutajad, sh investeerimisnõustajad või juhatajad ja juristid või fondi- ja ettevõtteteenuste osutajad.</w:t>
      </w:r>
    </w:p>
    <w:p w:rsidR="00D032BE" w:rsidRPr="00D032BE" w:rsidRDefault="00D032BE" w:rsidP="00D032BE">
      <w:pPr>
        <w:pStyle w:val="Kehatekstloend"/>
      </w:pPr>
      <w:r w:rsidRPr="00D032BE">
        <w:t xml:space="preserve">4. </w:t>
      </w:r>
      <w:r w:rsidRPr="00D032BE">
        <w:tab/>
        <w:t xml:space="preserve">Pädevatel asutustel ja eelkõige õiguskaitseorganitel peaksid olema kõik vajalikud volitused õigeaegse juurdepääsu saamiseks volinike ja teiste osaliste säilitatavale teabele, eelkõige </w:t>
      </w:r>
      <w:r w:rsidR="006043CB">
        <w:t>finantsasutus</w:t>
      </w:r>
      <w:r w:rsidRPr="00D032BE">
        <w:t xml:space="preserve">te ja mittefinantsteenuseid pakkuvate määratud ettevõtjate ja kutsetöötajate säilitatavale teabele: a) tegelike kasusaajate kohta; b) volinike elukoha kohta ja c) varade kohta, mida </w:t>
      </w:r>
      <w:r w:rsidR="006043CB">
        <w:t>finantsasutus</w:t>
      </w:r>
      <w:r w:rsidRPr="00D032BE">
        <w:t xml:space="preserve">ed või mittefinantsteenuseid pakkuvad määratud ettevõtjad ja kutsetöötajad </w:t>
      </w:r>
      <w:r w:rsidRPr="00D032BE">
        <w:lastRenderedPageBreak/>
        <w:t>hoiustavad või haldavad seoses mis tahes volinikuga, kellega nad on sõlminud ärisuhte või kelle jaoks nad teostavad aeg-ajalt tehinguid.</w:t>
      </w:r>
    </w:p>
    <w:p w:rsidR="00D032BE" w:rsidRPr="00D032BE" w:rsidRDefault="00D032BE" w:rsidP="00D032BE">
      <w:pPr>
        <w:pStyle w:val="Kehatekstloend"/>
      </w:pPr>
      <w:r w:rsidRPr="00D032BE">
        <w:t xml:space="preserve">5. </w:t>
      </w:r>
      <w:r w:rsidRPr="00D032BE">
        <w:tab/>
        <w:t>Kutselised volinikud peaksid olema kohustatud säilitama lõikes 1 kirjeldatud teavet vähemalt viis aastat pärast seda, kui nende seotus fondiga on lõppenud. Riikidel soovitatakse kohustada mittekutselisi volinikke ja eespool lõikes 3 viidatud teisi asutusi, isikuid ja üksusi säilitama teavet vähemalt viis aastat.</w:t>
      </w:r>
    </w:p>
    <w:p w:rsidR="00D032BE" w:rsidRPr="00D032BE" w:rsidRDefault="00D032BE" w:rsidP="00D032BE">
      <w:pPr>
        <w:pStyle w:val="Kehatekstloend"/>
      </w:pPr>
      <w:r w:rsidRPr="00D032BE">
        <w:t xml:space="preserve">6. </w:t>
      </w:r>
      <w:r w:rsidRPr="00D032BE">
        <w:tab/>
        <w:t>Riigid peaksid nõudma, et lõike 1 kohaselt säilitatav teave oleks täpne ja võimalikult ajakohane ning et seda teavet uuendatakse mõistliku perioodi jooksul pärast mis tahes muudatuste tegemist.</w:t>
      </w:r>
    </w:p>
    <w:p w:rsidR="00D032BE" w:rsidRPr="00D032BE" w:rsidRDefault="00D032BE" w:rsidP="00D032BE">
      <w:pPr>
        <w:pStyle w:val="Kehatekstloend"/>
      </w:pPr>
      <w:r w:rsidRPr="00D032BE">
        <w:t xml:space="preserve">7. </w:t>
      </w:r>
      <w:r w:rsidRPr="00D032BE">
        <w:tab/>
        <w:t>Riigid peaksid kaaluma meetmete rakendamist , et lihtsustada soovitustes</w:t>
      </w:r>
      <w:r w:rsidR="00847867">
        <w:t xml:space="preserve"> </w:t>
      </w:r>
      <w:r w:rsidRPr="00D032BE">
        <w:t xml:space="preserve">10 ja 22 sätestatud nõudeid täitvate </w:t>
      </w:r>
      <w:r w:rsidR="006043CB">
        <w:t>finantsasutus</w:t>
      </w:r>
      <w:r w:rsidRPr="00D032BE">
        <w:t>te ning mittefinantsteenuseid pakkuvate määratud ettevõtjate ja kutsetöötajate juurdepääsu lõikes 3 viidatud teiste asutuste, isikute ja üksuste säilitatavale teabele fondid kohta.</w:t>
      </w:r>
    </w:p>
    <w:p w:rsidR="00D032BE" w:rsidRPr="00D032BE" w:rsidRDefault="00D032BE" w:rsidP="00D032BE">
      <w:pPr>
        <w:pStyle w:val="Kehatekstloend"/>
      </w:pPr>
      <w:r w:rsidRPr="00D032BE">
        <w:t xml:space="preserve">8. </w:t>
      </w:r>
      <w:r w:rsidRPr="00D032BE">
        <w:tab/>
        <w:t>Riigid ei ole käesoleva soovituse kontekstis kohustatud fonde seaduslikult tunnustama. Riigid ei pea lõigetes 1, 2 ja 6 esitatud nõudeid oma õigusaktidesse sisse viima, tingimusel et volinike suhtes kehtivad sarnase mõjuga asjaomased kohustused (nt tava- või pretsedendiõiguse alusel).</w:t>
      </w:r>
    </w:p>
    <w:p w:rsidR="00D032BE" w:rsidRPr="00D032BE" w:rsidRDefault="00D032BE" w:rsidP="00D032BE">
      <w:pPr>
        <w:pStyle w:val="Pealkiri4"/>
      </w:pPr>
      <w:r w:rsidRPr="00D032BE">
        <w:t xml:space="preserve">Muud </w:t>
      </w:r>
      <w:r w:rsidR="00DD0067">
        <w:t xml:space="preserve">lepingulised </w:t>
      </w:r>
      <w:r w:rsidRPr="00D032BE">
        <w:t>õiguslikud üksused</w:t>
      </w:r>
    </w:p>
    <w:p w:rsidR="00D032BE" w:rsidRPr="00D032BE" w:rsidRDefault="00D032BE" w:rsidP="00D032BE">
      <w:pPr>
        <w:pStyle w:val="Kehatekstloend"/>
      </w:pPr>
      <w:r w:rsidRPr="00D032BE">
        <w:t xml:space="preserve">9. </w:t>
      </w:r>
      <w:r w:rsidRPr="00D032BE">
        <w:tab/>
        <w:t xml:space="preserve">Sarnase struktuuri või funktsiooniga muud liiki </w:t>
      </w:r>
      <w:r w:rsidR="00DD0067">
        <w:t xml:space="preserve">lepinguliste </w:t>
      </w:r>
      <w:r w:rsidRPr="00D032BE">
        <w:t>õiguslike üksuste suhtes peaksid riigid rakendama fondidele kehtestatud nõuetega sarnaseid meetmeid, et saavutada sarnane läbipaistvuse tase. Riigid peaksid vähemalt tagama, et fondide kohta säilitatakse eespool kirjeldatutega sarnaseid täpseid ja ajakohaseid andmeid ning et need andmed on pädevatele asutustele õigel ajal kättesaadavad.</w:t>
      </w:r>
    </w:p>
    <w:p w:rsidR="00D032BE" w:rsidRPr="00D032BE" w:rsidRDefault="00D032BE" w:rsidP="00D032BE">
      <w:pPr>
        <w:pStyle w:val="Pealkiri4"/>
      </w:pPr>
      <w:r w:rsidRPr="00D032BE">
        <w:t>Rahvusvaheline koostöö</w:t>
      </w:r>
    </w:p>
    <w:p w:rsidR="00D032BE" w:rsidRPr="00D032BE" w:rsidRDefault="00D032BE" w:rsidP="00D032BE">
      <w:pPr>
        <w:pStyle w:val="Kehatekstloend"/>
      </w:pPr>
      <w:r w:rsidRPr="00D032BE">
        <w:t xml:space="preserve">10. </w:t>
      </w:r>
      <w:r w:rsidRPr="00D032BE">
        <w:tab/>
        <w:t xml:space="preserve">Riigid peaksid seoses fonde ja muid </w:t>
      </w:r>
      <w:r w:rsidR="00DD0067">
        <w:t xml:space="preserve">lepingulisi </w:t>
      </w:r>
      <w:r w:rsidRPr="00D032BE">
        <w:t>õiguslikke üksusi käsitleva teabega, sh tegelike kasusaajate andmetega, tegema kiiret, konstruktiivset ja tõhusat rahvusvahelist koostööd vastavalt soovitustele</w:t>
      </w:r>
      <w:r w:rsidR="00847867">
        <w:t xml:space="preserve"> </w:t>
      </w:r>
      <w:r w:rsidRPr="00D032BE">
        <w:t xml:space="preserve">37 ja 40. See peaks hõlmama a) teiste riikide pädevate asutuste juurdepääsu </w:t>
      </w:r>
      <w:r w:rsidR="00B86CDE" w:rsidRPr="00D07855">
        <w:t>lihtsustamist</w:t>
      </w:r>
      <w:r w:rsidRPr="00D032BE">
        <w:t xml:space="preserve"> registrite ja teiste siseriiklike asutuste säilitatavale teabele; b) riigisiseselt olemasoleva teabe vahetamine fondide või muude </w:t>
      </w:r>
      <w:r w:rsidR="00DD0067">
        <w:t xml:space="preserve">lepinguliste </w:t>
      </w:r>
      <w:r w:rsidRPr="00D032BE">
        <w:t>õiguslike üksuste kohta ja c) siseriikliku õiguse kohaselt pädevate asutust volituste kasutamist teiste riikide asjaomaste asutuste nimel tegelike kasusaajate kohta teabe hankimiseks.</w:t>
      </w:r>
    </w:p>
    <w:p w:rsidR="00D032BE" w:rsidRPr="00D032BE" w:rsidRDefault="00D032BE" w:rsidP="00D032BE">
      <w:pPr>
        <w:pStyle w:val="Pealkiri4"/>
      </w:pPr>
      <w:r w:rsidRPr="00D032BE">
        <w:t>Vastutus ja karistused</w:t>
      </w:r>
    </w:p>
    <w:p w:rsidR="00D032BE" w:rsidRPr="00D032BE" w:rsidRDefault="00D032BE" w:rsidP="00D032BE">
      <w:pPr>
        <w:pStyle w:val="Kehatekstloend"/>
      </w:pPr>
      <w:r w:rsidRPr="00D032BE">
        <w:t xml:space="preserve">11. </w:t>
      </w:r>
      <w:r w:rsidRPr="00D032BE">
        <w:tab/>
        <w:t xml:space="preserve">Riigid peaksid selgelt kehtestama käesolevas tõlgendavas märkuses sätestatud nõuete täitmise kohustuse ning tagama kas selle, et volinikel on seaduslik vastutus lõigetes 1, 2, 6 ja (kus asjakohane) 5 sätestatud kohustuste mittetäitmise eest, või et mittetäitmise eest on kehtestatud tõhusad, </w:t>
      </w:r>
      <w:r w:rsidRPr="00D032BE">
        <w:lastRenderedPageBreak/>
        <w:t>proportsionaalsed ja hoiatavad kriminaal-, tsiviil- või halduskaristused</w:t>
      </w:r>
      <w:r w:rsidRPr="00D032BE">
        <w:rPr>
          <w:rStyle w:val="Allmrkuseviide"/>
        </w:rPr>
        <w:footnoteReference w:id="47"/>
      </w:r>
      <w:r w:rsidRPr="00D032BE">
        <w:t>. Riigid peaksid tagama, et selle eest, kui pädevatele asutustele ei võimaldata lõigetes 1 ja 5 kirjeldatud teabele fondide kohta õigeaegse juurdepääsu, on ette nähtud tõhusad, proportsionaalsed ja hoiatavad kriminaal-, tsiviil- või halduskaristused.</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26 TÕLGENDAV MÄRKUS</w:t>
      </w:r>
    </w:p>
    <w:p w:rsidR="00D032BE" w:rsidRPr="00D032BE" w:rsidRDefault="00D032BE" w:rsidP="00D032BE">
      <w:pPr>
        <w:pStyle w:val="Pealkiri2"/>
      </w:pPr>
      <w:r w:rsidRPr="00D032BE">
        <w:t>(</w:t>
      </w:r>
      <w:r w:rsidR="006043CB">
        <w:t>FINANTSASUTUS</w:t>
      </w:r>
      <w:r w:rsidRPr="00D032BE">
        <w:t>TE REGULEERIMINE JA JÄRELEVALVE)</w:t>
      </w:r>
    </w:p>
    <w:p w:rsidR="00D032BE" w:rsidRPr="00D032BE" w:rsidRDefault="00D032BE" w:rsidP="00D032BE">
      <w:pPr>
        <w:pStyle w:val="Pealkiri4"/>
      </w:pPr>
      <w:r w:rsidRPr="00D032BE">
        <w:t>Riskipõhine lähenemine järelevalvele</w:t>
      </w:r>
    </w:p>
    <w:p w:rsidR="00D032BE" w:rsidRPr="00D032BE" w:rsidRDefault="00D032BE" w:rsidP="00D032BE">
      <w:pPr>
        <w:pStyle w:val="Kehatekstloend"/>
      </w:pPr>
      <w:r w:rsidRPr="00D032BE">
        <w:t xml:space="preserve">1. </w:t>
      </w:r>
      <w:r w:rsidRPr="00D032BE">
        <w:tab/>
        <w:t xml:space="preserve">Riskipõhine lähenemine järelevalvele tähendab a) üldist protsessi, mille käigus järelevalveasutus eraldab vastavalt oma arusaamisele riskidest vahendid </w:t>
      </w:r>
      <w:r w:rsidR="002A32CF">
        <w:t>rahapesu</w:t>
      </w:r>
      <w:r w:rsidRPr="00D032BE">
        <w:t xml:space="preserve"> ja terrorismi rahastamise </w:t>
      </w:r>
      <w:r w:rsidR="002A32CF">
        <w:t>tõkestamise</w:t>
      </w:r>
      <w:r w:rsidRPr="00D032BE">
        <w:t xml:space="preserve"> järelevalve teostamiseks ja b) konkreetset protsessi, mille käigus teostatakse järelevalvet riskipõhist </w:t>
      </w:r>
      <w:r w:rsidR="002A32CF">
        <w:t>rahapesu</w:t>
      </w:r>
      <w:r w:rsidRPr="00D032BE">
        <w:t xml:space="preserve"> ja terrorismi rahastamise </w:t>
      </w:r>
      <w:r w:rsidR="002A32CF">
        <w:t>tõkestamise</w:t>
      </w:r>
      <w:r w:rsidRPr="00D032BE">
        <w:t xml:space="preserve"> lähenemist rakendavate asutuste üle.</w:t>
      </w:r>
    </w:p>
    <w:p w:rsidR="00D032BE" w:rsidRPr="00D032BE" w:rsidRDefault="00D032BE" w:rsidP="00D032BE">
      <w:pPr>
        <w:pStyle w:val="Kehatekstloend"/>
      </w:pPr>
      <w:r w:rsidRPr="00D032BE">
        <w:t xml:space="preserve">2. </w:t>
      </w:r>
      <w:r w:rsidRPr="00D032BE">
        <w:tab/>
        <w:t xml:space="preserve">Riskipõhise lähenemise rakendamine </w:t>
      </w:r>
      <w:r w:rsidR="006043CB">
        <w:t>finantsasutus</w:t>
      </w:r>
      <w:r w:rsidRPr="00D032BE">
        <w:t xml:space="preserve">te </w:t>
      </w:r>
      <w:r w:rsidR="002A32CF">
        <w:t>rahapesu</w:t>
      </w:r>
      <w:r w:rsidR="00A35E9F">
        <w:t xml:space="preserve"> ja terrorismi rahastamise tõkestamise</w:t>
      </w:r>
      <w:r w:rsidRPr="00D032BE">
        <w:t xml:space="preserve"> süsteemide ja kontrollmehhanismide järelevalvele võimaldab järelvalveasutustel suunata ressursse nendesse valdkondadesse, kus </w:t>
      </w:r>
      <w:r w:rsidR="00213F51" w:rsidRPr="00D032BE">
        <w:t>riski</w:t>
      </w:r>
      <w:r w:rsidR="00213F51">
        <w:t>aste</w:t>
      </w:r>
      <w:r w:rsidR="00213F51" w:rsidRPr="00D032BE">
        <w:t xml:space="preserve"> </w:t>
      </w:r>
      <w:r w:rsidRPr="00D032BE">
        <w:t xml:space="preserve">on hinnanguliselt kõrgem. Selle tulemusel saavad järelevalveasutused oma ressursse tõhusamalt kasutada. See tähendab, et järelevalveasutused peaksid omama a) selget arusaamist riigis eksisteerivatest </w:t>
      </w:r>
      <w:r w:rsidR="002A32CF">
        <w:t>rahapesu</w:t>
      </w:r>
      <w:r w:rsidRPr="00D032BE">
        <w:t xml:space="preserve"> ja terrorismi rahastamise riskidest ning b) kohapealset ja kaugjuurdepääsu kogu asjakohasele teabele järelevalvatavate asutuste klientide, toodete ja teenustega seotud konkreetsete riigisiseste ja rahvusvaheliste riskide kohta ning ka </w:t>
      </w:r>
      <w:r w:rsidR="006043CB">
        <w:t>finantsasutus</w:t>
      </w:r>
      <w:r w:rsidRPr="00D032BE">
        <w:t>e või finantskontserni (või kontsernide, kui tegemist on põhiprintsiipide (</w:t>
      </w:r>
      <w:proofErr w:type="spellStart"/>
      <w:r w:rsidRPr="00D032BE">
        <w:rPr>
          <w:i/>
        </w:rPr>
        <w:t>Core</w:t>
      </w:r>
      <w:proofErr w:type="spellEnd"/>
      <w:r w:rsidRPr="00D032BE">
        <w:rPr>
          <w:i/>
        </w:rPr>
        <w:t xml:space="preserve"> </w:t>
      </w:r>
      <w:proofErr w:type="spellStart"/>
      <w:r w:rsidRPr="00D032BE">
        <w:rPr>
          <w:i/>
        </w:rPr>
        <w:t>Principles</w:t>
      </w:r>
      <w:proofErr w:type="spellEnd"/>
      <w:r w:rsidRPr="00D032BE">
        <w:t xml:space="preserve">) kohaldamisega) vastavusüksuse kvaliteedi kohta. </w:t>
      </w:r>
      <w:r w:rsidR="006043CB">
        <w:t>Finantsasutus</w:t>
      </w:r>
      <w:r w:rsidRPr="00D032BE">
        <w:t xml:space="preserve">te või finantskontsernide </w:t>
      </w:r>
      <w:r w:rsidR="002A32CF">
        <w:t>rahapesu</w:t>
      </w:r>
      <w:r w:rsidRPr="00D032BE">
        <w:t xml:space="preserve"> ja terrorismi rahastamise </w:t>
      </w:r>
      <w:r w:rsidR="00A35E9F">
        <w:t>tõkestamise</w:t>
      </w:r>
      <w:r w:rsidRPr="00D032BE">
        <w:t xml:space="preserve"> meetmete kohapealse ja kaugjärelevalve sageduse ja intensiivsuse aluseks tuleks võtta </w:t>
      </w:r>
      <w:r w:rsidR="006043CB">
        <w:t>finantsasutus</w:t>
      </w:r>
      <w:r w:rsidRPr="00D032BE">
        <w:t xml:space="preserve">e või finantskontserni </w:t>
      </w:r>
      <w:r w:rsidR="002A32CF">
        <w:t>rahapesu</w:t>
      </w:r>
      <w:r w:rsidRPr="00D032BE">
        <w:t xml:space="preserve"> ja terrorismi rahastamise riskid ning tegevusjuhised, sisekontrollimehhanismid ja protseduurireeglid, mille järelevalveasutus on </w:t>
      </w:r>
      <w:r w:rsidR="006043CB">
        <w:t>finantsasutus</w:t>
      </w:r>
      <w:r w:rsidRPr="00D032BE">
        <w:t xml:space="preserve">e või finantskontserni riskiprofiili hinnates kindlaks teinud, ning riigis eksisteerivad </w:t>
      </w:r>
      <w:r w:rsidR="002A32CF">
        <w:t>rahapesu</w:t>
      </w:r>
      <w:r w:rsidRPr="00D032BE">
        <w:t xml:space="preserve"> ja terrorismi rahastamise riskid.</w:t>
      </w:r>
    </w:p>
    <w:p w:rsidR="00D032BE" w:rsidRPr="00D032BE" w:rsidRDefault="00D032BE" w:rsidP="00D032BE">
      <w:pPr>
        <w:pStyle w:val="Kehatekstloend"/>
      </w:pPr>
      <w:r w:rsidRPr="00D032BE">
        <w:t xml:space="preserve">3. </w:t>
      </w:r>
      <w:r w:rsidRPr="00D032BE">
        <w:tab/>
      </w:r>
      <w:r w:rsidR="006043CB">
        <w:t>Finantsasutus</w:t>
      </w:r>
      <w:r w:rsidRPr="00D032BE">
        <w:t xml:space="preserve">e või finantskontserni </w:t>
      </w:r>
      <w:r w:rsidR="002A32CF">
        <w:t>rahapesu</w:t>
      </w:r>
      <w:r w:rsidRPr="00D032BE">
        <w:t xml:space="preserve"> ja terrorismi rahastamise riskide, k.a mittejärgimise riskide hinnangut tuleks kooskõlas riigis kehtestatud pideva järelevalve tavadega uuendada nii regulaarselt kui ka siis, kui </w:t>
      </w:r>
      <w:r w:rsidR="006043CB">
        <w:t>finantsasutus</w:t>
      </w:r>
      <w:r w:rsidRPr="00D032BE">
        <w:t>e või finantskontserni juhtimises ja tegevuses toimub olulisi sündmusi või muutusi. Hindamine ei tohiks olla alati samasugune, vaid peaks muutuma vastavalt asjaoludele ja ohtude arengule.</w:t>
      </w:r>
    </w:p>
    <w:p w:rsidR="00D032BE" w:rsidRPr="00D032BE" w:rsidRDefault="00D032BE" w:rsidP="00D032BE">
      <w:pPr>
        <w:pStyle w:val="Kehatekstloend"/>
      </w:pPr>
      <w:r w:rsidRPr="00D032BE">
        <w:t xml:space="preserve">4. </w:t>
      </w:r>
      <w:r w:rsidRPr="00D032BE">
        <w:tab/>
        <w:t xml:space="preserve">Riskipõhist lähenemist rakendavate </w:t>
      </w:r>
      <w:r w:rsidR="006043CB">
        <w:t>finantsasutus</w:t>
      </w:r>
      <w:r w:rsidRPr="00D032BE">
        <w:t xml:space="preserve">te või finantskontsernide </w:t>
      </w:r>
      <w:r w:rsidR="002A32CF">
        <w:t>rahapesu</w:t>
      </w:r>
      <w:r w:rsidRPr="00D032BE">
        <w:t xml:space="preserve"> ja terrorismi rahastamise </w:t>
      </w:r>
      <w:r w:rsidR="002A32CF">
        <w:t>tõkestamise</w:t>
      </w:r>
      <w:r w:rsidRPr="00D032BE">
        <w:t xml:space="preserve"> järelevalvel tuleks arvesse võtta riskipõhise lähenemise raames </w:t>
      </w:r>
      <w:r w:rsidR="006043CB">
        <w:t>finantsasutus</w:t>
      </w:r>
      <w:r w:rsidRPr="00D032BE">
        <w:t xml:space="preserve">ele või finantskontsernile antud otsustusvabadust. Samuti peaks see hõlmama selle otsustusvabaduse aluseks olevate riskihinnangute asjakohast läbivaatamist ja </w:t>
      </w:r>
      <w:r w:rsidR="006043CB">
        <w:t>finantsasutus</w:t>
      </w:r>
      <w:r w:rsidRPr="00D032BE">
        <w:t>e või finantskontserni tegevusjuhiste, sisekontrollimehhanismide ja protseduurireeglite piisavuse ja rakendamise hindamist.</w:t>
      </w:r>
    </w:p>
    <w:p w:rsidR="00D032BE" w:rsidRPr="00D032BE" w:rsidRDefault="00D032BE" w:rsidP="00D032BE">
      <w:pPr>
        <w:pStyle w:val="Kehatekstloend"/>
      </w:pPr>
      <w:r w:rsidRPr="00D032BE">
        <w:lastRenderedPageBreak/>
        <w:t xml:space="preserve">5. </w:t>
      </w:r>
      <w:r w:rsidRPr="00D032BE">
        <w:tab/>
        <w:t xml:space="preserve">Need põhimõtted peaksid kehtima kõikide </w:t>
      </w:r>
      <w:r w:rsidR="006043CB">
        <w:t>finantsasutus</w:t>
      </w:r>
      <w:r w:rsidRPr="00D032BE">
        <w:t xml:space="preserve">te või finantskontsernide suhtes. Tõhusa </w:t>
      </w:r>
      <w:r w:rsidR="002A32CF">
        <w:t>rahapesu</w:t>
      </w:r>
      <w:r w:rsidRPr="00D032BE">
        <w:t xml:space="preserve"> ja terrorismi rahastamise </w:t>
      </w:r>
      <w:r w:rsidR="002A32CF">
        <w:t>tõkestamis</w:t>
      </w:r>
      <w:r w:rsidRPr="00D032BE">
        <w:t xml:space="preserve">e järelevalve tagamiseks peaksid järelevalveasutused arvesse võtma </w:t>
      </w:r>
      <w:r w:rsidR="006043CB">
        <w:t>finantsasutus</w:t>
      </w:r>
      <w:r w:rsidRPr="00D032BE">
        <w:t xml:space="preserve">te või finantskontsernide eripärasid, eelkõige </w:t>
      </w:r>
      <w:r w:rsidR="006043CB">
        <w:t>finantsasutus</w:t>
      </w:r>
      <w:r w:rsidRPr="00D032BE">
        <w:t>te mitmekesisust ja arvu ning neile riskipõhise lähenemise raames antud otsustusvabadust.</w:t>
      </w:r>
    </w:p>
    <w:p w:rsidR="00D032BE" w:rsidRPr="00D032BE" w:rsidRDefault="00D032BE" w:rsidP="00D032BE">
      <w:pPr>
        <w:pStyle w:val="Pealkiri4"/>
      </w:pPr>
      <w:r w:rsidRPr="00D032BE">
        <w:t>Järelevalveasutuste ressursid</w:t>
      </w:r>
    </w:p>
    <w:p w:rsidR="00D032BE" w:rsidRPr="00D032BE" w:rsidRDefault="00D032BE" w:rsidP="00D032BE">
      <w:pPr>
        <w:pStyle w:val="Kehatekstloend"/>
      </w:pPr>
      <w:r w:rsidRPr="00D032BE">
        <w:t xml:space="preserve">6. </w:t>
      </w:r>
      <w:r w:rsidRPr="00D032BE">
        <w:tab/>
        <w:t>Riigid peaksid tagama, et finantsjärelevalveasutustel on olemas piisavad rahalised, inim- ja tehnilised ressursid. Need järelevalveasutused peaksid olema oma tegevuses ka piisavalt sõltumatud ja autonoomsed, et tagada lubamatu mõju ja sekkumise puudumine. Riigid peaksid kehtestama protsessid tagamaks, et nende asutuste töötajad järgivad kõrgeid kutsealaseid standardeid, sh konfidentsiaalsus- ja aususstandardeid, ning on asjakohase kvalifikatsiooniga.</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28 TÕLGENDAV MÄRKUS</w:t>
      </w:r>
    </w:p>
    <w:p w:rsidR="00D032BE" w:rsidRPr="00D032BE" w:rsidRDefault="00D032BE" w:rsidP="00D032BE">
      <w:pPr>
        <w:pStyle w:val="Pealkiri2"/>
      </w:pPr>
      <w:r w:rsidRPr="00D032BE">
        <w:t xml:space="preserve">(MITTEFINANTSTEENUSEID PAKKUVATE </w:t>
      </w:r>
      <w:r w:rsidR="002D4AC1">
        <w:t>KOHUSTATUD</w:t>
      </w:r>
      <w:r w:rsidRPr="00D032BE">
        <w:t xml:space="preserve"> ETTEVÕTJATE JA KUTSETÖÖTAJATE REGULEERIMINE JA JÄRELEVALVE)</w:t>
      </w:r>
    </w:p>
    <w:p w:rsidR="00D032BE" w:rsidRPr="00D032BE" w:rsidRDefault="00D032BE" w:rsidP="00D032BE">
      <w:pPr>
        <w:pStyle w:val="Kehatekstloend"/>
      </w:pPr>
      <w:r w:rsidRPr="00D032BE">
        <w:t xml:space="preserve">1. </w:t>
      </w:r>
      <w:r w:rsidRPr="00D032BE">
        <w:tab/>
        <w:t>Riskipõhine lähenemine järelevalvele tähendab a) üldist protsessi, mille käigus järelevalveasutus või isereguleeriv organ</w:t>
      </w:r>
      <w:r w:rsidR="006F4DF2">
        <w:t>isatsioon</w:t>
      </w:r>
      <w:r w:rsidRPr="00D032BE">
        <w:t xml:space="preserve"> eraldab vastavalt oma arusaamisele riskidest vahendid </w:t>
      </w:r>
      <w:r w:rsidR="002A32CF">
        <w:t>rahapesu</w:t>
      </w:r>
      <w:r w:rsidRPr="00D032BE">
        <w:t xml:space="preserve"> ja terrorismi rahastamise </w:t>
      </w:r>
      <w:r w:rsidR="002A32CF">
        <w:t>tõkestamise</w:t>
      </w:r>
      <w:r w:rsidRPr="00D032BE">
        <w:t xml:space="preserve"> järelevalve teostamiseks, ning b) konkreetset protsessi, mille käigus teostatakse järelevalvet või kontrolli riskipõhist </w:t>
      </w:r>
      <w:r w:rsidR="002A32CF">
        <w:t>rahapesu</w:t>
      </w:r>
      <w:r w:rsidRPr="00D032BE">
        <w:t xml:space="preserve"> ja terrorismi rahastamise </w:t>
      </w:r>
      <w:r w:rsidR="002A32CF">
        <w:t>tõkestamise</w:t>
      </w:r>
      <w:r w:rsidRPr="00D032BE">
        <w:t xml:space="preserve"> lähenemist rakendavate mittefinantsteenuseid pakkuvate määratud ettevõtjate ja kutsetöötajate üle.</w:t>
      </w:r>
    </w:p>
    <w:p w:rsidR="00D032BE" w:rsidRPr="00D032BE" w:rsidRDefault="00D032BE" w:rsidP="00D032BE">
      <w:pPr>
        <w:pStyle w:val="Kehatekstloend"/>
      </w:pPr>
      <w:r w:rsidRPr="00D032BE">
        <w:t xml:space="preserve">2. </w:t>
      </w:r>
      <w:r w:rsidRPr="00D032BE">
        <w:tab/>
        <w:t>Järelevalveasutused või isereguleeruvad organi</w:t>
      </w:r>
      <w:r w:rsidR="006F4DF2">
        <w:t>satsiooni</w:t>
      </w:r>
      <w:r w:rsidRPr="00D032BE">
        <w:t xml:space="preserve">d peaksid mittefinantsteenuseid pakkuvate määratud ettevõtjate ja kutsetöötajate suhtes rakendatavate järelevalve- või kontrollimeetmete sageduse ja intensiivsuse määramisel lähtuma oma arusaamisest </w:t>
      </w:r>
      <w:r w:rsidR="002A32CF">
        <w:t>rahapesu</w:t>
      </w:r>
      <w:r w:rsidRPr="00D032BE">
        <w:t xml:space="preserve"> ja terrorismi rahastamise riskidest, võttes arvesse mittefinantsteenuseid pakkuvate määratud ettevõtjate ja kutsetöötajate eripärasid, eelkõige nende mitmekesisust ja arvu, et tagada </w:t>
      </w:r>
      <w:r w:rsidR="002A32CF">
        <w:t>rahapesu</w:t>
      </w:r>
      <w:r w:rsidRPr="00D032BE">
        <w:t xml:space="preserve"> ja terrorismi rahastamise </w:t>
      </w:r>
      <w:r w:rsidR="002A32CF">
        <w:t>tõkestamise</w:t>
      </w:r>
      <w:r w:rsidRPr="00D032BE">
        <w:t xml:space="preserve"> järelevalve või kontrolli tõhusus. See nõuab selget arusaamist </w:t>
      </w:r>
      <w:r w:rsidR="002A32CF">
        <w:t>rahapesu</w:t>
      </w:r>
      <w:r w:rsidRPr="00D032BE">
        <w:t xml:space="preserve"> ja terrorismi rahastamise riskidest, mis a) eksisteerivad asjaomases riigis ja b) on seotud mittefinantsteenuseid pakkuvate määratud ettevõtjate ja kutsetöötajate liigi, klientide, toodete ja teenustega.</w:t>
      </w:r>
    </w:p>
    <w:p w:rsidR="00D032BE" w:rsidRPr="00D032BE" w:rsidRDefault="00D032BE" w:rsidP="00D032BE">
      <w:pPr>
        <w:pStyle w:val="Kehatekstloend"/>
      </w:pPr>
      <w:r w:rsidRPr="00D032BE">
        <w:t xml:space="preserve">3. </w:t>
      </w:r>
      <w:r w:rsidRPr="00D032BE">
        <w:tab/>
        <w:t xml:space="preserve">Mittefinantsteenuseid pakkuvate määratud ettevõtjate ja kutsetöötajate </w:t>
      </w:r>
      <w:r w:rsidR="002A32CF">
        <w:t>rahapesu</w:t>
      </w:r>
      <w:r w:rsidRPr="00D032BE">
        <w:t xml:space="preserve"> ja terrorismi rahastamise </w:t>
      </w:r>
      <w:r w:rsidR="00A35E9F">
        <w:t>tõkestamise</w:t>
      </w:r>
      <w:r w:rsidRPr="00D032BE">
        <w:t xml:space="preserve"> sisekontrollimehhanismide, tegevusjuhiste ja protseduurireeglite piisavust hindavad järelevalveasutused või isereguleeruvad organi</w:t>
      </w:r>
      <w:r w:rsidR="006F4DF2">
        <w:t>satsiooni</w:t>
      </w:r>
      <w:r w:rsidRPr="00D032BE">
        <w:t>d peaksid nõuetekohaselt arvesse võtma nende mittefinantsteenuseid pakkuvate määratud ettevõtjate ja kutsetöötajate rahapesu ning terrorismi rahastamisega seotud riskiprofiili ja neile riskipõhise lähenemise raames antud otsustusvabaduse taset.</w:t>
      </w:r>
    </w:p>
    <w:p w:rsidR="00D032BE" w:rsidRPr="00D032BE" w:rsidRDefault="00D032BE" w:rsidP="00D032BE">
      <w:pPr>
        <w:pStyle w:val="Kehatekstloend"/>
      </w:pPr>
      <w:r w:rsidRPr="00D032BE">
        <w:t xml:space="preserve">4. </w:t>
      </w:r>
      <w:r w:rsidRPr="00D032BE">
        <w:tab/>
        <w:t>Järelevalveasutustel</w:t>
      </w:r>
      <w:r w:rsidR="006F4DF2">
        <w:t xml:space="preserve"> või isereguleeruvatel organisatsioonidel</w:t>
      </w:r>
      <w:r w:rsidRPr="00D032BE">
        <w:t xml:space="preserve"> peaksid olema piisavad volitused oma ülesannete täitmiseks (sh kontrollimise ja karistuste rakendamise volitused) ning piisavad rahalised, inim- ja tehnilised ressursid. Riigid peaksid kehtestama protsessid tagamaks, et nende asutuste töötajad järgivad kõrgeid kutsealaseid standardeid, sh konfidentsiaalsus- ja aususstandardeid, ning on asjakohase kvalifikatsiooniga.</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 xml:space="preserve">29 TÕLGENDAV MÄRKUS </w:t>
      </w:r>
    </w:p>
    <w:p w:rsidR="00D032BE" w:rsidRPr="00D032BE" w:rsidRDefault="00D032BE" w:rsidP="00D032BE">
      <w:pPr>
        <w:pStyle w:val="Pealkiri2"/>
      </w:pPr>
      <w:r w:rsidRPr="00D032BE">
        <w:t>(</w:t>
      </w:r>
      <w:r w:rsidR="00D86A5F">
        <w:t>RAHAPESU ANDMEBÜROO</w:t>
      </w:r>
      <w:r w:rsidRPr="00D032BE">
        <w:t>)</w:t>
      </w:r>
    </w:p>
    <w:p w:rsidR="00D032BE" w:rsidRPr="00D032BE" w:rsidRDefault="00D032BE" w:rsidP="00D032BE">
      <w:pPr>
        <w:pStyle w:val="A-pealkiri"/>
      </w:pPr>
      <w:r w:rsidRPr="00D032BE">
        <w:t xml:space="preserve">A. </w:t>
      </w:r>
      <w:r w:rsidRPr="00D032BE">
        <w:tab/>
        <w:t>ÜLDIST</w:t>
      </w:r>
    </w:p>
    <w:p w:rsidR="00D032BE" w:rsidRPr="00D032BE" w:rsidRDefault="00D032BE" w:rsidP="002A32CF">
      <w:pPr>
        <w:pStyle w:val="Kehatekstloend"/>
      </w:pPr>
      <w:r w:rsidRPr="00D032BE">
        <w:t xml:space="preserve">1. </w:t>
      </w:r>
      <w:r w:rsidRPr="00D032BE">
        <w:tab/>
        <w:t xml:space="preserve">Käesolevas tõlgendavas märkuses kirjeldatakse </w:t>
      </w:r>
      <w:r w:rsidR="00D86A5F">
        <w:t>Rahapesu andmebüroo</w:t>
      </w:r>
      <w:r w:rsidRPr="00D032BE">
        <w:t xml:space="preserve"> põhilisi volitusi ja funktsioone ning selgitatakse lähemalt standardis sätestatud kohustusi. </w:t>
      </w:r>
      <w:r w:rsidR="00D86A5F">
        <w:t>Rahapesu andmebüroo</w:t>
      </w:r>
      <w:r w:rsidRPr="00D032BE">
        <w:t xml:space="preserve"> on osa riigi </w:t>
      </w:r>
      <w:r w:rsidR="002A32CF">
        <w:t>rahapesu</w:t>
      </w:r>
      <w:r w:rsidRPr="00D032BE">
        <w:t xml:space="preserve"> ja terrorismi rahastamise </w:t>
      </w:r>
      <w:r w:rsidR="002A32CF">
        <w:t>tõkestamise</w:t>
      </w:r>
      <w:r w:rsidRPr="00D032BE">
        <w:t xml:space="preserve"> operatiivvõrgustikust ja mängib selles keskset rolli, toetades teiste pädevate asutuste tööd. Kuna </w:t>
      </w:r>
      <w:r w:rsidR="00D86A5F">
        <w:t>Rahapesu andmebüroo</w:t>
      </w:r>
      <w:r w:rsidRPr="00D032BE">
        <w:t>de eri mudeleid on mitu, ei anta soovituses</w:t>
      </w:r>
      <w:r w:rsidR="00847867">
        <w:t xml:space="preserve"> </w:t>
      </w:r>
      <w:r w:rsidRPr="00D032BE">
        <w:t>29 riikide valitud mudelitele hinnangut, vaid see kehtib nende kõikide suhtes.</w:t>
      </w:r>
    </w:p>
    <w:p w:rsidR="00D032BE" w:rsidRPr="00D032BE" w:rsidRDefault="00D032BE" w:rsidP="00D032BE">
      <w:pPr>
        <w:pStyle w:val="A-pealkiri"/>
      </w:pPr>
      <w:r w:rsidRPr="00D032BE">
        <w:t xml:space="preserve">B. </w:t>
      </w:r>
      <w:r w:rsidRPr="00D032BE">
        <w:tab/>
        <w:t xml:space="preserve">FUNKTSIOONID </w:t>
      </w:r>
    </w:p>
    <w:p w:rsidR="00D032BE" w:rsidRPr="00D032BE" w:rsidRDefault="00D032BE" w:rsidP="00D032BE">
      <w:pPr>
        <w:pStyle w:val="Pealkiri4"/>
      </w:pPr>
      <w:r w:rsidRPr="00D032BE">
        <w:t xml:space="preserve">a) </w:t>
      </w:r>
      <w:r w:rsidRPr="00D032BE">
        <w:tab/>
        <w:t>Teabe vastuvõtmine</w:t>
      </w:r>
    </w:p>
    <w:p w:rsidR="00F86AA1" w:rsidRDefault="00D032BE" w:rsidP="00E079EA">
      <w:pPr>
        <w:pStyle w:val="Kehatekstloend"/>
      </w:pPr>
      <w:r w:rsidRPr="00D032BE">
        <w:t xml:space="preserve">2. </w:t>
      </w:r>
      <w:r w:rsidRPr="00D032BE">
        <w:tab/>
      </w:r>
      <w:r w:rsidR="00D86A5F">
        <w:t>Rahapesu andmebüroo</w:t>
      </w:r>
      <w:r w:rsidRPr="00D032BE">
        <w:t xml:space="preserve"> on keskne asutus, mis võtab vastu aruandvate üksuste esitatavaid andmeid. See peaks hõlmama vähemalt soovituste</w:t>
      </w:r>
      <w:r w:rsidR="00847867">
        <w:t xml:space="preserve"> </w:t>
      </w:r>
      <w:r w:rsidRPr="00D032BE">
        <w:t>20 ja 23 kohaselt nõutavaid teateid kahtlastest tehingutest, aga ka muud siseriiklike õigusaktide kohaselt nõutavat teavet (nt teateid sularahatehingutest, elektroonilistest ülekannetest ja muudest piirmäära ületavatest tehingutest).</w:t>
      </w:r>
    </w:p>
    <w:p w:rsidR="00D032BE" w:rsidRPr="00D032BE" w:rsidRDefault="00D032BE" w:rsidP="00D032BE">
      <w:pPr>
        <w:pStyle w:val="Pealkiri4"/>
      </w:pPr>
      <w:r w:rsidRPr="00D032BE">
        <w:t xml:space="preserve">b) </w:t>
      </w:r>
      <w:r w:rsidRPr="00D032BE">
        <w:tab/>
        <w:t>Teabe analüüs</w:t>
      </w:r>
    </w:p>
    <w:p w:rsidR="00D032BE" w:rsidRPr="00D032BE" w:rsidRDefault="00D032BE" w:rsidP="00D032BE">
      <w:pPr>
        <w:pStyle w:val="Kehatekstloend"/>
      </w:pPr>
      <w:r w:rsidRPr="00D032BE">
        <w:t xml:space="preserve">3. </w:t>
      </w:r>
      <w:r w:rsidRPr="00D032BE">
        <w:tab/>
      </w:r>
      <w:r w:rsidR="00D86A5F">
        <w:t>Rahapesu andmebüroo</w:t>
      </w:r>
      <w:r w:rsidRPr="00D032BE">
        <w:t xml:space="preserve"> teostatav analüüs peaks andma </w:t>
      </w:r>
      <w:r w:rsidR="00D86A5F">
        <w:t>Rahapesu andmebüroo</w:t>
      </w:r>
      <w:r w:rsidRPr="00D032BE">
        <w:t xml:space="preserve"> vastu võetavale ja salvestatavale teabele lisaväärtust. Kuigi arvesse tuleks võtta kogu teavet, võib analüüs keskenduda kas igale saadud teatele või asjakohasele valikule teabest, olenevalt saadud teadete liigist ja mahust ning eeldatavast kasutamisest pärast teabe levitamist. </w:t>
      </w:r>
      <w:r w:rsidR="00D86A5F">
        <w:t>Rahapesu andmebüroo</w:t>
      </w:r>
      <w:r w:rsidRPr="00D032BE">
        <w:t xml:space="preserve">del tuleks soovitada kasutada analüüsitarkvara, et töödelda teavet tõhusamalt ja aidata leida asjassepuutuvaid seoseid. Samas aga ei tohi need töövahendid täielikult asendada analüüsi inimelementi. </w:t>
      </w:r>
      <w:r w:rsidR="00D86A5F">
        <w:t>Rahapesu andmebüroo</w:t>
      </w:r>
      <w:r w:rsidRPr="00D032BE">
        <w:t>d peaksid teostama järgmist liiki analüüse:</w:t>
      </w:r>
    </w:p>
    <w:p w:rsidR="00D032BE" w:rsidRPr="00D032BE" w:rsidRDefault="00D032BE" w:rsidP="00D032BE">
      <w:pPr>
        <w:pStyle w:val="Sinineloend"/>
      </w:pPr>
      <w:r w:rsidRPr="00D032BE">
        <w:t>operatiivanalüüsis kasutatakse olemasolevat ja kättesaadavat teavet konkreetsete sihtmärkide (nt isikute, varade, kuritegelike võrgustike või ühenduste) tuvastamiseks, konkreetsete tegevuste või tehingute jälgimiseks ning nende sihtmärkide ja võimaliku kuritegeliku tulu, rahapesu, eelkuritegude või terrorismi rahastamise vaheliste seoste kindlakstegemiseks;</w:t>
      </w:r>
    </w:p>
    <w:p w:rsidR="00D032BE" w:rsidRPr="00D032BE" w:rsidRDefault="00D032BE" w:rsidP="00D032BE">
      <w:pPr>
        <w:pStyle w:val="Sinineloend"/>
      </w:pPr>
      <w:r w:rsidRPr="00D032BE">
        <w:t xml:space="preserve">strateegilises analüüsis kasutatakse olemasolevat ja kättesaadavat teavet, sh teiste pädevate asutuste edastatud teavet rahapesu ja terrorismi rahastamisega seotud arengusuundade ja seoste kohta. Seda teavet kasutab seejärel ka </w:t>
      </w:r>
      <w:r w:rsidR="00D86A5F">
        <w:t>Rahapesu andmebüroo</w:t>
      </w:r>
      <w:r w:rsidRPr="00D032BE">
        <w:t xml:space="preserve"> või teised riiklikud üksused rahapesu ja </w:t>
      </w:r>
      <w:r w:rsidRPr="00D032BE">
        <w:lastRenderedPageBreak/>
        <w:t xml:space="preserve">terrorismi rahastamisega seotud ohtude ja nõrkade kohtade kindlakstegemiseks. Strateegilisest analüüsist võib olla kasu ka </w:t>
      </w:r>
      <w:r w:rsidR="00D86A5F">
        <w:t>Rahapesu andmebüroo</w:t>
      </w:r>
      <w:r w:rsidRPr="00D032BE">
        <w:t xml:space="preserve"> või teiste rahapesu ja terrorismi rahastamise tõkestamisega tegelevate üksuste tegevusjuhiste ja eesmärkide kehtestamisel.</w:t>
      </w:r>
    </w:p>
    <w:p w:rsidR="00D032BE" w:rsidRPr="00D032BE" w:rsidRDefault="00D032BE" w:rsidP="00D032BE">
      <w:pPr>
        <w:pStyle w:val="Pealkiri4"/>
      </w:pPr>
      <w:r w:rsidRPr="00D032BE">
        <w:t xml:space="preserve">c) </w:t>
      </w:r>
      <w:r w:rsidRPr="00D032BE">
        <w:tab/>
        <w:t>Teabe edastamine</w:t>
      </w:r>
    </w:p>
    <w:p w:rsidR="00D032BE" w:rsidRPr="00D032BE" w:rsidRDefault="00D032BE" w:rsidP="00D032BE">
      <w:pPr>
        <w:pStyle w:val="Kehatekstloend"/>
      </w:pPr>
      <w:r w:rsidRPr="00D032BE">
        <w:t xml:space="preserve">4. </w:t>
      </w:r>
      <w:r w:rsidRPr="00D032BE">
        <w:tab/>
      </w:r>
      <w:r w:rsidR="00D86A5F">
        <w:t>Rahapesu andmebüroo</w:t>
      </w:r>
      <w:r w:rsidRPr="00D032BE">
        <w:t>l peaks olema võimalik edastada teavet ja oma analüüsi tulemusi nii spontaanselt kui ka taotluste alusel asjaomastele pädevatele asutustele. Edastamiseks tuleks kasutada selleks ette nähtud turvalisi ja kaitstud kanaleid.</w:t>
      </w:r>
    </w:p>
    <w:p w:rsidR="00D032BE" w:rsidRPr="00D032BE" w:rsidRDefault="00B86CDE" w:rsidP="00D032BE">
      <w:pPr>
        <w:pStyle w:val="Sinineloend"/>
      </w:pPr>
      <w:r w:rsidRPr="00E079EA">
        <w:rPr>
          <w:b/>
        </w:rPr>
        <w:t>Spontaanne teabe edastamine</w:t>
      </w:r>
      <w:r w:rsidR="00D032BE" w:rsidRPr="00D032BE">
        <w:t xml:space="preserve">: </w:t>
      </w:r>
      <w:r w:rsidR="00D86A5F">
        <w:t>Rahapesu andmebüroo</w:t>
      </w:r>
      <w:r w:rsidR="00D032BE" w:rsidRPr="00D032BE">
        <w:t xml:space="preserve">l peaks olema võimalik levitada teavet ja oma analüüsi tulemusi pädevatele asutustele, kui on alust kahtlustada rahapesu, eelkuritegusid või terrorismi rahastamist. Vastavalt </w:t>
      </w:r>
      <w:r w:rsidR="00D86A5F">
        <w:t>Rahapesu andmebüroo</w:t>
      </w:r>
      <w:r w:rsidR="00D032BE" w:rsidRPr="00D032BE">
        <w:t xml:space="preserve"> analüüsile peaks teabe edastamine olema valikuline ja võimaldama seda saavatel asutustel keskenduda asjaomastele juhtumitele/teabele.</w:t>
      </w:r>
    </w:p>
    <w:p w:rsidR="00D032BE" w:rsidRPr="00D032BE" w:rsidRDefault="00B86CDE" w:rsidP="00D032BE">
      <w:pPr>
        <w:pStyle w:val="Sinineloend"/>
      </w:pPr>
      <w:r w:rsidRPr="00E079EA">
        <w:rPr>
          <w:b/>
        </w:rPr>
        <w:t>Taotluse alusel teabe edastamine</w:t>
      </w:r>
      <w:r w:rsidR="00D032BE" w:rsidRPr="00D032BE">
        <w:t xml:space="preserve">: </w:t>
      </w:r>
      <w:r w:rsidR="00D86A5F">
        <w:t>Rahapesu andmebüroo</w:t>
      </w:r>
      <w:r w:rsidR="00D032BE" w:rsidRPr="00D032BE">
        <w:t>l peaks olema võimalik vastata pädevatelt asutustelt soovituse</w:t>
      </w:r>
      <w:r w:rsidR="00847867">
        <w:t xml:space="preserve"> </w:t>
      </w:r>
      <w:r w:rsidR="00D032BE" w:rsidRPr="00D032BE">
        <w:t xml:space="preserve">31 kohaselt saadud teabetaotlustele. Kui </w:t>
      </w:r>
      <w:r w:rsidR="00D86A5F">
        <w:t>Rahapesu andmebüroo</w:t>
      </w:r>
      <w:r w:rsidR="00D032BE" w:rsidRPr="00D032BE">
        <w:t xml:space="preserve"> saab pädevalt asutuselt sellise taotluse, peaks analüüsi teostamise ja/või taotluse esitanud asutusele teabe edastamise otsustama </w:t>
      </w:r>
      <w:r w:rsidR="00D86A5F">
        <w:t>Rahapesu andmebüroo</w:t>
      </w:r>
      <w:r w:rsidR="00D032BE" w:rsidRPr="00D032BE">
        <w:t>.</w:t>
      </w:r>
    </w:p>
    <w:p w:rsidR="00D032BE" w:rsidRPr="00D032BE" w:rsidRDefault="00D032BE" w:rsidP="00D032BE">
      <w:pPr>
        <w:pStyle w:val="A-pealkiri"/>
      </w:pPr>
      <w:r w:rsidRPr="00D032BE">
        <w:t xml:space="preserve">C. </w:t>
      </w:r>
      <w:r w:rsidRPr="00D032BE">
        <w:tab/>
        <w:t>JUURDEPÄÄS TEABELE</w:t>
      </w:r>
    </w:p>
    <w:p w:rsidR="00D032BE" w:rsidRPr="00D032BE" w:rsidRDefault="00D032BE" w:rsidP="00D032BE">
      <w:pPr>
        <w:pStyle w:val="Pealkiri4"/>
      </w:pPr>
      <w:r w:rsidRPr="00D032BE">
        <w:t xml:space="preserve">a) </w:t>
      </w:r>
      <w:r w:rsidRPr="00D032BE">
        <w:tab/>
        <w:t>Lisateabe saamine aruandvatelt asutustelt</w:t>
      </w:r>
    </w:p>
    <w:p w:rsidR="00D032BE" w:rsidRPr="00D032BE" w:rsidRDefault="00D032BE" w:rsidP="00D032BE">
      <w:pPr>
        <w:pStyle w:val="Kehatekstloend"/>
      </w:pPr>
      <w:r w:rsidRPr="00D032BE">
        <w:t xml:space="preserve">5. </w:t>
      </w:r>
      <w:r w:rsidRPr="00D032BE">
        <w:tab/>
        <w:t xml:space="preserve">Lisaks teabele, mida üksused </w:t>
      </w:r>
      <w:r w:rsidR="00D86A5F">
        <w:t>Rahapesu andmebüroo</w:t>
      </w:r>
      <w:r w:rsidRPr="00D032BE">
        <w:t xml:space="preserve">le esitavad (teabe vastuvõtmise funktsiooni raames) peaks </w:t>
      </w:r>
      <w:r w:rsidR="00D86A5F">
        <w:t>Rahapesu andmebüroo</w:t>
      </w:r>
      <w:r w:rsidRPr="00D032BE">
        <w:t xml:space="preserve">l olema võimalik saada aruandvatelt üksustelt lisateavet ja kasutada seda põhjaliku analüüsi teostamiseks. Teave, mis </w:t>
      </w:r>
      <w:r w:rsidR="00D86A5F">
        <w:t>Rahapesu andmebüroo</w:t>
      </w:r>
      <w:r w:rsidRPr="00D032BE">
        <w:t>l peaks olema lubatud saada, peaks hõlmama teavet, mida aruandvad üksused on kohustatud FATFi soovituste kohaselt säilitama (soovitused</w:t>
      </w:r>
      <w:r w:rsidR="00847867">
        <w:t xml:space="preserve"> </w:t>
      </w:r>
      <w:r w:rsidRPr="00D032BE">
        <w:t>10, 11 ja 22).</w:t>
      </w:r>
    </w:p>
    <w:p w:rsidR="00D032BE" w:rsidRPr="00D032BE" w:rsidRDefault="00D032BE" w:rsidP="00D032BE">
      <w:pPr>
        <w:pStyle w:val="Pealkiri4"/>
      </w:pPr>
      <w:r w:rsidRPr="00D032BE">
        <w:t xml:space="preserve">b) </w:t>
      </w:r>
      <w:r w:rsidRPr="00D032BE">
        <w:tab/>
        <w:t>Juurdepääs muudest allikatest pärit teabele</w:t>
      </w:r>
    </w:p>
    <w:p w:rsidR="00D032BE" w:rsidRPr="00D032BE" w:rsidRDefault="00D032BE" w:rsidP="00D032BE">
      <w:pPr>
        <w:pStyle w:val="Kehatekstloend"/>
      </w:pPr>
      <w:r w:rsidRPr="00D032BE">
        <w:t xml:space="preserve">6. </w:t>
      </w:r>
      <w:r w:rsidRPr="00D032BE">
        <w:tab/>
        <w:t xml:space="preserve">Põhjaliku analüüsi teostamiseks peaks </w:t>
      </w:r>
      <w:r w:rsidR="00D86A5F">
        <w:t>Rahapesu andmebüroo</w:t>
      </w:r>
      <w:r w:rsidRPr="00D032BE">
        <w:t>l olema juurdepääs võimalikult suurele hulgale finants-, haldus- ja õiguskaitsealasele teabele. See peaks hõlmama nii avatud või avalikest allikatest pärit teavet kui ka teiste asutuste poolt või jaoks kogutavat ja/või säilitatavat teavet ning ka ärilistel eesmärkidel säilitatavaid andmeid.</w:t>
      </w:r>
    </w:p>
    <w:p w:rsidR="00D032BE" w:rsidRPr="00D032BE" w:rsidRDefault="00D032BE" w:rsidP="00D032BE">
      <w:pPr>
        <w:pStyle w:val="A-pealkiri"/>
      </w:pPr>
      <w:r w:rsidRPr="00D032BE">
        <w:lastRenderedPageBreak/>
        <w:t xml:space="preserve">D. </w:t>
      </w:r>
      <w:r w:rsidRPr="00D032BE">
        <w:tab/>
        <w:t>TEABE TURVALISUS JA KONFIDENTSIAALSUS</w:t>
      </w:r>
    </w:p>
    <w:p w:rsidR="00D032BE" w:rsidRPr="00D032BE" w:rsidRDefault="00D032BE" w:rsidP="00D032BE">
      <w:pPr>
        <w:pStyle w:val="Kehatekstloend"/>
      </w:pPr>
      <w:r w:rsidRPr="00D032BE">
        <w:t xml:space="preserve">7. </w:t>
      </w:r>
      <w:r w:rsidRPr="00D032BE">
        <w:tab/>
      </w:r>
      <w:r w:rsidR="00D86A5F">
        <w:t>Rahapesu andmebüroo</w:t>
      </w:r>
      <w:r w:rsidRPr="00D032BE">
        <w:t xml:space="preserve"> saadav, töödeldav, säilitatav või edastatav teave peab olema turvaliselt kaitstud ning seda võib vahetada ja kasutada ainult kooskõlas kokkulepitud protseduurireeglite ja tegevusjuhiste ning kehtivate seaduste ja määrustega. </w:t>
      </w:r>
      <w:r w:rsidR="00D86A5F">
        <w:t>Rahapesu andmebüroo</w:t>
      </w:r>
      <w:r w:rsidRPr="00D032BE">
        <w:t xml:space="preserve"> peab seega kehtestama sellise teabe turvalisust ja konfidentsiaalsust käsitlevad eeskirjad, sh sellise teabe käsitlemise, säilitamise, edastamise ja kaitse ning sellele teabele juurdepääsu korra. </w:t>
      </w:r>
      <w:r w:rsidR="00D86A5F">
        <w:t>Rahapesu andmebüroo</w:t>
      </w:r>
      <w:r w:rsidRPr="00D032BE">
        <w:t xml:space="preserve"> peaks tagama, et tema töötajad on läbinud vajaliku turvakontrollitaseme ja mõistavad oma vastutust tundliku ja konfidentsiaalse teabe käsitlemisel ja edastamisel. </w:t>
      </w:r>
      <w:r w:rsidR="00D86A5F">
        <w:t>Rahapesu andmebüroo</w:t>
      </w:r>
      <w:r w:rsidRPr="00D032BE">
        <w:t xml:space="preserve"> peaks tagama, et juurdepääs tema ruumidele ja teabele, sh infotehnoloogiasüsteemidele, on piiratud.</w:t>
      </w:r>
    </w:p>
    <w:p w:rsidR="00D032BE" w:rsidRPr="00D032BE" w:rsidRDefault="00D032BE" w:rsidP="00D032BE">
      <w:pPr>
        <w:pStyle w:val="A-pealkiri"/>
      </w:pPr>
      <w:r w:rsidRPr="00D032BE">
        <w:t xml:space="preserve">E. </w:t>
      </w:r>
      <w:r w:rsidRPr="00D032BE">
        <w:tab/>
        <w:t>TEGEVUSALANE SÕLTUMATUS</w:t>
      </w:r>
    </w:p>
    <w:p w:rsidR="00D032BE" w:rsidRPr="00D032BE" w:rsidRDefault="00D032BE" w:rsidP="00D032BE">
      <w:pPr>
        <w:pStyle w:val="Kehatekstloend"/>
      </w:pPr>
      <w:r w:rsidRPr="00D032BE">
        <w:t xml:space="preserve">8. </w:t>
      </w:r>
      <w:r w:rsidRPr="00D032BE">
        <w:tab/>
      </w:r>
      <w:r w:rsidR="00D86A5F">
        <w:t>Rahapesu andmebüroo</w:t>
      </w:r>
      <w:r w:rsidRPr="00D032BE">
        <w:t xml:space="preserve"> peaks olema oma tegevuses sõltumatu ja autonoomne, mis tähendab, et </w:t>
      </w:r>
      <w:r w:rsidR="00D86A5F">
        <w:t>Rahapesu andmebüroo</w:t>
      </w:r>
      <w:r w:rsidRPr="00D032BE">
        <w:t xml:space="preserve">l peaksid olema volitused ja võimekus takistamatult täita oma funktsioone, sh autonoomselt otsustada konkreetse teabe analüüsimise, nõudmise ja/või edastamise üle. Kõikidel juhtudel tähendab see, et </w:t>
      </w:r>
      <w:r w:rsidR="00D86A5F">
        <w:t>Rahapesu andmebüroo</w:t>
      </w:r>
      <w:r w:rsidRPr="00D032BE">
        <w:t>l on sõltumatu õigus edastada või levitada teavet pädevatele asutustele.</w:t>
      </w:r>
    </w:p>
    <w:p w:rsidR="00D032BE" w:rsidRPr="00D032BE" w:rsidRDefault="00D032BE" w:rsidP="00D032BE">
      <w:pPr>
        <w:pStyle w:val="Kehatekstloend"/>
      </w:pPr>
      <w:r w:rsidRPr="00D032BE">
        <w:t xml:space="preserve">9. </w:t>
      </w:r>
      <w:r w:rsidRPr="00D032BE">
        <w:tab/>
      </w:r>
      <w:r w:rsidR="00D86A5F">
        <w:t>Rahapesu andmebüroo</w:t>
      </w:r>
      <w:r w:rsidRPr="00D032BE">
        <w:t xml:space="preserve"> võib moodustada mõne olemasoleva asutuse osana. Kui </w:t>
      </w:r>
      <w:r w:rsidR="00D86A5F">
        <w:t>Rahapesu andmebüroo</w:t>
      </w:r>
      <w:r w:rsidRPr="00D032BE">
        <w:t xml:space="preserve"> asub teise asutuse olemasoleva struktuuri sees, peaksid </w:t>
      </w:r>
      <w:r w:rsidR="00D86A5F">
        <w:t>Rahapesu andmebüroo</w:t>
      </w:r>
      <w:r w:rsidRPr="00D032BE">
        <w:t xml:space="preserve"> põhifunktsioonid olema selle teise asutuse omadest selgelt eraldatud.</w:t>
      </w:r>
    </w:p>
    <w:p w:rsidR="00D032BE" w:rsidRPr="00D032BE" w:rsidRDefault="00D032BE" w:rsidP="00D032BE">
      <w:pPr>
        <w:pStyle w:val="Kehatekstloend"/>
      </w:pPr>
      <w:r w:rsidRPr="00D032BE">
        <w:t xml:space="preserve">10. </w:t>
      </w:r>
      <w:r w:rsidRPr="00D032BE">
        <w:tab/>
      </w:r>
      <w:r w:rsidR="00D86A5F">
        <w:t>Rahapesu andmebüroo</w:t>
      </w:r>
      <w:r w:rsidRPr="00D032BE">
        <w:t xml:space="preserve">l peaksid olema piisavad rahalised, inim- ja tehnilised ressursid, et oleks tagatud tema autonoomsus ja sõltumatus ning suutlikkus oma ülesandeid tõhusalt täita. Riigid peaksid kehtestama protsessid tagamaks, et </w:t>
      </w:r>
      <w:r w:rsidR="00D86A5F">
        <w:t>Rahapesu andmebüroo</w:t>
      </w:r>
      <w:r w:rsidRPr="00D032BE">
        <w:t xml:space="preserve"> töötajad järgivad kõrgeid kutsealaseid standardeid, sh konfidentsiaalsus- ja aususstandardeid, ning on asjakohase kvalifikatsiooniga.</w:t>
      </w:r>
    </w:p>
    <w:p w:rsidR="00D032BE" w:rsidRPr="00D032BE" w:rsidRDefault="00D032BE" w:rsidP="00D032BE">
      <w:pPr>
        <w:pStyle w:val="Kehatekstloend"/>
      </w:pPr>
      <w:r w:rsidRPr="00D032BE">
        <w:t xml:space="preserve">11. </w:t>
      </w:r>
      <w:r w:rsidRPr="00D032BE">
        <w:tab/>
        <w:t xml:space="preserve">Samuti peaks </w:t>
      </w:r>
      <w:r w:rsidR="00D86A5F">
        <w:t>Rahapesu andmebüroo</w:t>
      </w:r>
      <w:r w:rsidRPr="00D032BE">
        <w:t>l seoses teabe vahetamisega olema võimalik sõltumatult sõlmida kokkuleppeid või teha koostööd teiste siseriiklike pädevate asutustega või teiste riikide asjaomaste asutustega.</w:t>
      </w:r>
    </w:p>
    <w:p w:rsidR="00D032BE" w:rsidRPr="00D032BE" w:rsidRDefault="00D032BE" w:rsidP="00D032BE">
      <w:pPr>
        <w:pStyle w:val="A-pealkiri"/>
      </w:pPr>
      <w:r w:rsidRPr="00D032BE">
        <w:t xml:space="preserve">F. </w:t>
      </w:r>
      <w:r w:rsidRPr="00D032BE">
        <w:tab/>
        <w:t>LUBAMATU MÕJU VÕI SEKKUMINE</w:t>
      </w:r>
    </w:p>
    <w:p w:rsidR="00D032BE" w:rsidRPr="00D032BE" w:rsidRDefault="00D032BE" w:rsidP="00D032BE">
      <w:pPr>
        <w:pStyle w:val="Kehatekstloend"/>
      </w:pPr>
      <w:r w:rsidRPr="00D032BE">
        <w:t xml:space="preserve">12. </w:t>
      </w:r>
      <w:r w:rsidRPr="00D032BE">
        <w:tab/>
      </w:r>
      <w:r w:rsidR="00D86A5F">
        <w:t>Rahapesu andmebüroo</w:t>
      </w:r>
      <w:r w:rsidRPr="00D032BE">
        <w:t>l peaks olema võimalik saada ja rakendada oma funktsioonide täitmiseks vajalikke ressursse konkreetsete juhtumite baasil või rutiinses korras ilma igasuguse lubatamatu poliitilise, valitsuse- või tööstusepoolse mõju või sekkumiseta, mis võiks tema tegevusalast sõltumatu piirata.</w:t>
      </w:r>
    </w:p>
    <w:p w:rsidR="00D032BE" w:rsidRPr="00D032BE" w:rsidRDefault="00D032BE" w:rsidP="00D032BE">
      <w:pPr>
        <w:pStyle w:val="A-pealkiri"/>
      </w:pPr>
      <w:r w:rsidRPr="00D032BE">
        <w:lastRenderedPageBreak/>
        <w:t xml:space="preserve">G. </w:t>
      </w:r>
      <w:r w:rsidRPr="00D032BE">
        <w:tab/>
        <w:t>EGMONT GRUPP</w:t>
      </w:r>
    </w:p>
    <w:p w:rsidR="00D032BE" w:rsidRPr="00D032BE" w:rsidRDefault="00D032BE" w:rsidP="00D032BE">
      <w:pPr>
        <w:pStyle w:val="Kehatekstloend"/>
      </w:pPr>
      <w:r w:rsidRPr="00D032BE">
        <w:t xml:space="preserve">13. </w:t>
      </w:r>
      <w:r w:rsidRPr="00D032BE">
        <w:tab/>
        <w:t xml:space="preserve">Riigid peaksid tagama, et </w:t>
      </w:r>
      <w:r w:rsidR="00D86A5F">
        <w:t>Rahapesu andmebüroo</w:t>
      </w:r>
      <w:r w:rsidRPr="00D032BE">
        <w:t xml:space="preserve"> arvestab Egmont Grupi dokumente „Eesmärgi selgitus” (</w:t>
      </w:r>
      <w:proofErr w:type="spellStart"/>
      <w:r w:rsidRPr="00D032BE">
        <w:rPr>
          <w:i/>
        </w:rPr>
        <w:t>Statement</w:t>
      </w:r>
      <w:proofErr w:type="spellEnd"/>
      <w:r w:rsidRPr="00D032BE">
        <w:rPr>
          <w:i/>
        </w:rPr>
        <w:t xml:space="preserve"> of </w:t>
      </w:r>
      <w:proofErr w:type="spellStart"/>
      <w:r w:rsidRPr="00D032BE">
        <w:rPr>
          <w:i/>
        </w:rPr>
        <w:t>Purpose</w:t>
      </w:r>
      <w:proofErr w:type="spellEnd"/>
      <w:r w:rsidRPr="00D032BE">
        <w:t>) ja „</w:t>
      </w:r>
      <w:r w:rsidR="00D86A5F">
        <w:t>Rahapesu andmebüroo</w:t>
      </w:r>
      <w:r w:rsidRPr="00D032BE">
        <w:t xml:space="preserve">de vahelise teabevahetuse põhimõtted </w:t>
      </w:r>
      <w:r w:rsidR="002A32CF">
        <w:t>rahapesu</w:t>
      </w:r>
      <w:r w:rsidRPr="00D032BE">
        <w:t xml:space="preserve"> ja terrorismi rahastamise juhtumite korral” (</w:t>
      </w:r>
      <w:proofErr w:type="spellStart"/>
      <w:r w:rsidRPr="00D032BE">
        <w:rPr>
          <w:i/>
        </w:rPr>
        <w:t>Principles</w:t>
      </w:r>
      <w:proofErr w:type="spellEnd"/>
      <w:r w:rsidRPr="00D032BE">
        <w:rPr>
          <w:i/>
        </w:rPr>
        <w:t xml:space="preserve"> </w:t>
      </w:r>
      <w:proofErr w:type="spellStart"/>
      <w:r w:rsidRPr="00D032BE">
        <w:rPr>
          <w:i/>
        </w:rPr>
        <w:t>for</w:t>
      </w:r>
      <w:proofErr w:type="spellEnd"/>
      <w:r w:rsidRPr="00D032BE">
        <w:rPr>
          <w:i/>
        </w:rPr>
        <w:t xml:space="preserve"> </w:t>
      </w:r>
      <w:proofErr w:type="spellStart"/>
      <w:r w:rsidRPr="00D032BE">
        <w:rPr>
          <w:i/>
        </w:rPr>
        <w:t>Information</w:t>
      </w:r>
      <w:proofErr w:type="spellEnd"/>
      <w:r w:rsidRPr="00D032BE">
        <w:rPr>
          <w:i/>
        </w:rPr>
        <w:t xml:space="preserve"> Exchange </w:t>
      </w:r>
      <w:proofErr w:type="spellStart"/>
      <w:r w:rsidRPr="00D032BE">
        <w:rPr>
          <w:i/>
        </w:rPr>
        <w:t>Between</w:t>
      </w:r>
      <w:proofErr w:type="spellEnd"/>
      <w:r w:rsidRPr="00D032BE">
        <w:rPr>
          <w:i/>
        </w:rPr>
        <w:t xml:space="preserve"> </w:t>
      </w:r>
      <w:proofErr w:type="spellStart"/>
      <w:r w:rsidRPr="00D032BE">
        <w:rPr>
          <w:i/>
        </w:rPr>
        <w:t>Financial</w:t>
      </w:r>
      <w:proofErr w:type="spellEnd"/>
      <w:r w:rsidRPr="00D032BE">
        <w:rPr>
          <w:i/>
        </w:rPr>
        <w:t xml:space="preserve"> </w:t>
      </w:r>
      <w:proofErr w:type="spellStart"/>
      <w:r w:rsidRPr="00D032BE">
        <w:rPr>
          <w:i/>
        </w:rPr>
        <w:t>Intelligence</w:t>
      </w:r>
      <w:proofErr w:type="spellEnd"/>
      <w:r w:rsidRPr="00D032BE">
        <w:rPr>
          <w:i/>
        </w:rPr>
        <w:t xml:space="preserve"> </w:t>
      </w:r>
      <w:proofErr w:type="spellStart"/>
      <w:r w:rsidRPr="00D032BE">
        <w:rPr>
          <w:i/>
        </w:rPr>
        <w:t>Units</w:t>
      </w:r>
      <w:proofErr w:type="spellEnd"/>
      <w:r w:rsidRPr="00D032BE">
        <w:rPr>
          <w:i/>
        </w:rPr>
        <w:t xml:space="preserve"> </w:t>
      </w:r>
      <w:proofErr w:type="spellStart"/>
      <w:r w:rsidRPr="00D032BE">
        <w:rPr>
          <w:i/>
        </w:rPr>
        <w:t>for</w:t>
      </w:r>
      <w:proofErr w:type="spellEnd"/>
      <w:r w:rsidRPr="00D032BE">
        <w:rPr>
          <w:i/>
        </w:rPr>
        <w:t xml:space="preserve"> Money </w:t>
      </w:r>
      <w:proofErr w:type="spellStart"/>
      <w:r w:rsidRPr="00D032BE">
        <w:rPr>
          <w:i/>
        </w:rPr>
        <w:t>Laundering</w:t>
      </w:r>
      <w:proofErr w:type="spellEnd"/>
      <w:r w:rsidRPr="00D032BE">
        <w:rPr>
          <w:i/>
        </w:rPr>
        <w:t xml:space="preserve"> and Terrorism </w:t>
      </w:r>
      <w:proofErr w:type="spellStart"/>
      <w:r w:rsidRPr="00D032BE">
        <w:rPr>
          <w:i/>
        </w:rPr>
        <w:t>Financing</w:t>
      </w:r>
      <w:proofErr w:type="spellEnd"/>
      <w:r w:rsidRPr="00D032BE">
        <w:rPr>
          <w:i/>
        </w:rPr>
        <w:t xml:space="preserve"> </w:t>
      </w:r>
      <w:proofErr w:type="spellStart"/>
      <w:r w:rsidRPr="00D032BE">
        <w:rPr>
          <w:i/>
        </w:rPr>
        <w:t>Cases</w:t>
      </w:r>
      <w:proofErr w:type="spellEnd"/>
      <w:r w:rsidRPr="00D032BE">
        <w:t xml:space="preserve">) (nendes dokumentides antakse olulisi juhtnööre </w:t>
      </w:r>
      <w:r w:rsidR="00D86A5F">
        <w:t>Rahapesu andmebüroo</w:t>
      </w:r>
      <w:r w:rsidRPr="00D032BE">
        <w:t xml:space="preserve">de rolli ja funktsioonide ning </w:t>
      </w:r>
      <w:r w:rsidR="00D86A5F">
        <w:t>Rahapesu andmebüroo</w:t>
      </w:r>
      <w:r w:rsidRPr="00D032BE">
        <w:t xml:space="preserve">de vahelise teabevahetuse mehhanismide kohta). </w:t>
      </w:r>
      <w:r w:rsidR="00D86A5F">
        <w:t>Rahapesu andmebüroo</w:t>
      </w:r>
      <w:r w:rsidRPr="00D032BE">
        <w:t xml:space="preserve"> peaks liituma Egmont Grupiga.</w:t>
      </w:r>
    </w:p>
    <w:p w:rsidR="00D032BE" w:rsidRPr="00D032BE" w:rsidRDefault="00D032BE" w:rsidP="00D032BE">
      <w:pPr>
        <w:pStyle w:val="A-pealkiri"/>
      </w:pPr>
      <w:r w:rsidRPr="00D032BE">
        <w:t xml:space="preserve">H. </w:t>
      </w:r>
      <w:r w:rsidRPr="00D032BE">
        <w:tab/>
        <w:t>SUURTEST SULARAHATEHINGUTEST TEATAMINE</w:t>
      </w:r>
    </w:p>
    <w:p w:rsidR="00D032BE" w:rsidRPr="00D032BE" w:rsidRDefault="00D032BE" w:rsidP="00D032BE">
      <w:pPr>
        <w:pStyle w:val="Kehatekstloend"/>
      </w:pPr>
      <w:r w:rsidRPr="00D032BE">
        <w:t xml:space="preserve">14. </w:t>
      </w:r>
      <w:r w:rsidRPr="00D032BE">
        <w:tab/>
        <w:t xml:space="preserve">Riigid peaksid kaaluma sellise süsteemi teostatavust ja otstarbekust, mille raames </w:t>
      </w:r>
      <w:r w:rsidR="006043CB">
        <w:t>finantsasutus</w:t>
      </w:r>
      <w:r w:rsidRPr="00D032BE">
        <w:t>ed ja mittefinantsteenuseid pakkuvad määratud asutused teataksid kõikidest teatud kindlat summat ületavatest riigisisestest ja rahvusvahelistest sularahatehingutest.</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30 TÕLGENDAV MÄRKUS</w:t>
      </w:r>
    </w:p>
    <w:p w:rsidR="00D032BE" w:rsidRPr="00D032BE" w:rsidRDefault="00D032BE" w:rsidP="00D032BE">
      <w:pPr>
        <w:pStyle w:val="Pealkiri2"/>
      </w:pPr>
      <w:r w:rsidRPr="00D032BE">
        <w:t>(ÕIGUSKAITSE- JA UURIMISASUTUSTE KOHUSTUSED)</w:t>
      </w:r>
    </w:p>
    <w:p w:rsidR="00D032BE" w:rsidRPr="00D032BE" w:rsidRDefault="00D032BE" w:rsidP="00D032BE">
      <w:pPr>
        <w:pStyle w:val="Kehatekstloend"/>
      </w:pPr>
      <w:r w:rsidRPr="00D032BE">
        <w:t xml:space="preserve">1. </w:t>
      </w:r>
      <w:r w:rsidRPr="00D032BE">
        <w:tab/>
        <w:t>Riikides peaksid olema määratud õiguskaitseasutused, mis peavad tagama rahapesu, eelkuritegude ja terrorismi rahastamise nõuetekohase uurimise finantsjuurdluse teel. Samuti peaksid riigid määrama ühe või mitu pädevat asutust kindlaks tegema, jälgima ning algatama meetmed sellise vara blokeerimiseks ja arestimiseks, mis kuulub või võib kuuluda konfiskeerimisele.</w:t>
      </w:r>
    </w:p>
    <w:p w:rsidR="00D032BE" w:rsidRPr="00D032BE" w:rsidRDefault="00D032BE" w:rsidP="00D032BE">
      <w:pPr>
        <w:pStyle w:val="Kehatekstloend"/>
      </w:pPr>
      <w:r w:rsidRPr="00D032BE">
        <w:t xml:space="preserve">2. </w:t>
      </w:r>
      <w:r w:rsidRPr="00D032BE">
        <w:tab/>
        <w:t>„Finantsjuurdlus” tähendab kuritegeliku tegevusega seotud finantsasjaolude uurimist eesmärgiga</w:t>
      </w:r>
    </w:p>
    <w:p w:rsidR="00D032BE" w:rsidRPr="00D032BE" w:rsidRDefault="00D032BE" w:rsidP="00D032BE">
      <w:pPr>
        <w:pStyle w:val="Sinineloend"/>
      </w:pPr>
      <w:r w:rsidRPr="00D032BE">
        <w:t>välja selgitada kuritegelike võrgustike ulatus ja/või kuritegelikkuse aste;</w:t>
      </w:r>
    </w:p>
    <w:p w:rsidR="00D032BE" w:rsidRPr="00D032BE" w:rsidRDefault="00D032BE" w:rsidP="00D032BE">
      <w:pPr>
        <w:pStyle w:val="Sinineloend"/>
      </w:pPr>
      <w:r w:rsidRPr="00D032BE">
        <w:t>teha kindlaks ja jälgida kuritegelikku tulu, terroristide rahalisi vahendeid või muud vara, mis kuulub või võib kuuluda konfiskeerimisele; ja</w:t>
      </w:r>
    </w:p>
    <w:p w:rsidR="00D032BE" w:rsidRPr="00D032BE" w:rsidRDefault="00D032BE" w:rsidP="00D032BE">
      <w:pPr>
        <w:pStyle w:val="Sinineloend"/>
      </w:pPr>
      <w:r w:rsidRPr="00D032BE">
        <w:t>koguda tõendeid, mida saab kasutada kriminaalmenetlustes.</w:t>
      </w:r>
    </w:p>
    <w:p w:rsidR="00D032BE" w:rsidRPr="00D032BE" w:rsidRDefault="00D032BE" w:rsidP="00D032BE">
      <w:pPr>
        <w:pStyle w:val="Kehatekstloend"/>
      </w:pPr>
      <w:r w:rsidRPr="00D032BE">
        <w:t xml:space="preserve">3. </w:t>
      </w:r>
      <w:r w:rsidRPr="00D032BE">
        <w:tab/>
        <w:t xml:space="preserve">„Paralleelne finantsjuurdlus” tähendab finantsjuurdluse teostamist rahapesu, terrorismi rahastamise ja/või eelkuritegude (tavapärase) kriminaaljuurdlusega paralleelselt või selle raames. Eelkuritegusid uurivatel õiguskaitseasutuste uurijatel peaksid kas olema volitused paralleelse juurdluse käigus mis tahes seotud </w:t>
      </w:r>
      <w:r w:rsidR="002A32CF">
        <w:t>rahapesu</w:t>
      </w:r>
      <w:r w:rsidRPr="00D032BE">
        <w:t xml:space="preserve"> ja terrorismi rahastamise kuritegude uurimiseks või võimalus edastada juhtum sellise juurdluse teostamiseks teisele asutusele.</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4. </w:t>
      </w:r>
      <w:r w:rsidRPr="00D032BE">
        <w:rPr>
          <w:rFonts w:asciiTheme="majorHAnsi" w:hAnsiTheme="majorHAnsi"/>
          <w:sz w:val="24"/>
          <w:szCs w:val="24"/>
          <w:lang w:val="et-EE"/>
        </w:rPr>
        <w:tab/>
        <w:t xml:space="preserve">Riigid peaksid kaaluma riiklikul tasemel meetmete, sh seadusandlike meetmete rakendamist, mis võimaldaksid nende </w:t>
      </w:r>
      <w:r w:rsidR="002A32CF">
        <w:rPr>
          <w:rFonts w:asciiTheme="majorHAnsi" w:hAnsiTheme="majorHAnsi"/>
          <w:sz w:val="24"/>
          <w:szCs w:val="24"/>
          <w:lang w:val="et-EE"/>
        </w:rPr>
        <w:t>rahapesu</w:t>
      </w:r>
      <w:r w:rsidRPr="00D032BE">
        <w:rPr>
          <w:rFonts w:asciiTheme="majorHAnsi" w:hAnsiTheme="majorHAnsi"/>
          <w:sz w:val="24"/>
          <w:szCs w:val="24"/>
          <w:lang w:val="et-EE"/>
        </w:rPr>
        <w:t xml:space="preserve"> ja terrorismi rahastamise juhtumeid uurivatel pädevatel asutustel sellises tegevuses osalevate isikute tuvastamiseks ja tõendusmaterjali kogumiseks lükata edasi kahtlusaluste isikute vahistamist või loobuda nende vahistamisest ja/või lükata edasi raha konfiskeerimist või loobuda raha konfiskeerimisest. Selliste meetmeteta on kontrollitava tarne meetodi ja varjatud operatsioonide kasutamine võimatu.</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Kehatekstloend"/>
      </w:pPr>
      <w:r w:rsidRPr="00D032BE">
        <w:t xml:space="preserve">5. </w:t>
      </w:r>
      <w:r w:rsidRPr="00D032BE">
        <w:tab/>
        <w:t>Soovitus</w:t>
      </w:r>
      <w:r w:rsidR="00847867">
        <w:t xml:space="preserve"> </w:t>
      </w:r>
      <w:r w:rsidRPr="00D032BE">
        <w:t>30 kehtib ka selliste pädevate asutuste suhtes, mis ei ole iseenesest õiguskaitseasutused, aga mis on kohustatud teostama eelkuritegude finantsjuurdlusi, kui need pädevad asutused täidavad soovitusega</w:t>
      </w:r>
      <w:r w:rsidR="00847867">
        <w:t xml:space="preserve"> </w:t>
      </w:r>
      <w:r w:rsidRPr="00D032BE">
        <w:t>30 hõlmatud funktsioone.</w:t>
      </w:r>
    </w:p>
    <w:p w:rsidR="00D032BE" w:rsidRPr="00D032BE" w:rsidRDefault="00D032BE" w:rsidP="00D032BE">
      <w:pPr>
        <w:pStyle w:val="Kehatekstloend"/>
      </w:pPr>
      <w:r w:rsidRPr="00D032BE">
        <w:t xml:space="preserve">6. </w:t>
      </w:r>
      <w:r w:rsidRPr="00D032BE">
        <w:tab/>
        <w:t>Soovituses</w:t>
      </w:r>
      <w:r w:rsidR="00847867">
        <w:t xml:space="preserve"> </w:t>
      </w:r>
      <w:r w:rsidRPr="00D032BE">
        <w:t xml:space="preserve">30 käsitletud korruptsioonikuritegudest tulenevaid või nendega seotud </w:t>
      </w:r>
      <w:r w:rsidR="002A32CF">
        <w:t>rahapesu</w:t>
      </w:r>
      <w:r w:rsidRPr="00D032BE">
        <w:t xml:space="preserve"> ja terrorismi rahastamise kuritegusid võib uurima määrata täidesaatvate volitustega korruptsioonivastased õiguskaitseasutused ning nendel asutustel peaksid olema piisavad volitused varade kindlakstegemiseks ja jälgimiseks ning nende blokeerimise ja arestimise algatamiseks.</w:t>
      </w:r>
    </w:p>
    <w:p w:rsidR="00D032BE" w:rsidRPr="00D032BE" w:rsidRDefault="00D032BE" w:rsidP="00D032BE">
      <w:pPr>
        <w:pStyle w:val="Kehatekstloend"/>
      </w:pPr>
      <w:r w:rsidRPr="00D032BE">
        <w:lastRenderedPageBreak/>
        <w:t xml:space="preserve">7. </w:t>
      </w:r>
      <w:r w:rsidRPr="00D032BE">
        <w:tab/>
        <w:t>Riigid peaksid finantsjuurdluste raames multidistsiplinaarsete töörühmade moodustamisel arvesse võtma eespool viidatud õiguskaitse- ja muid pädevaid asutusi.</w:t>
      </w:r>
    </w:p>
    <w:p w:rsidR="00D032BE" w:rsidRPr="00D032BE" w:rsidRDefault="00D032BE" w:rsidP="00D032BE">
      <w:pPr>
        <w:pStyle w:val="Kehatekstloend"/>
      </w:pPr>
      <w:r w:rsidRPr="00D032BE">
        <w:t xml:space="preserve">8. </w:t>
      </w:r>
      <w:r w:rsidRPr="00D032BE">
        <w:tab/>
        <w:t xml:space="preserve">Õiguskaitse- ja prokuratuuriasutustel peaksid olema piisavad rahalised, inim- ja tehnilised ressursid. Riigid peaksid kehtestama protsessid tagamaks, et </w:t>
      </w:r>
      <w:r w:rsidR="00D86A5F">
        <w:t>Rahapesu andmebüroo</w:t>
      </w:r>
      <w:r w:rsidRPr="00D032BE">
        <w:t xml:space="preserve"> töötajad järgivad kõrgeid kutsealaseid standardeid, sh konfidentsiaalsus- ja aususstandardeid, ning on asjakohase kvalifikatsiooniga.</w:t>
      </w:r>
    </w:p>
    <w:p w:rsidR="00D032BE" w:rsidRPr="00D032BE" w:rsidRDefault="00D032BE" w:rsidP="00D032BE">
      <w:pPr>
        <w:rPr>
          <w:rFonts w:asciiTheme="majorHAnsi" w:hAnsiTheme="majorHAnsi"/>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32 TÕLGENDAV MÄRKUS</w:t>
      </w:r>
    </w:p>
    <w:p w:rsidR="00D032BE" w:rsidRPr="00D032BE" w:rsidRDefault="00D032BE" w:rsidP="00D032BE">
      <w:pPr>
        <w:pStyle w:val="Pealkiri2"/>
      </w:pPr>
      <w:r w:rsidRPr="00D032BE">
        <w:t>(SULARAHAKULLERID)</w:t>
      </w:r>
    </w:p>
    <w:p w:rsidR="00D032BE" w:rsidRPr="00D032BE" w:rsidRDefault="00D032BE" w:rsidP="00D032BE">
      <w:pPr>
        <w:pStyle w:val="A-pealkiri"/>
      </w:pPr>
      <w:r w:rsidRPr="00D032BE">
        <w:t xml:space="preserve">A. </w:t>
      </w:r>
      <w:r w:rsidRPr="00D032BE">
        <w:tab/>
        <w:t>EESMÄRGID</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1. </w:t>
      </w:r>
      <w:r w:rsidRPr="00D032BE">
        <w:rPr>
          <w:rFonts w:asciiTheme="majorHAnsi" w:hAnsiTheme="majorHAnsi"/>
          <w:sz w:val="24"/>
          <w:szCs w:val="24"/>
          <w:lang w:val="et-EE"/>
        </w:rPr>
        <w:tab/>
        <w:t>Soovitus</w:t>
      </w:r>
      <w:r w:rsidR="00847867">
        <w:rPr>
          <w:rFonts w:asciiTheme="majorHAnsi" w:hAnsiTheme="majorHAnsi"/>
          <w:sz w:val="24"/>
          <w:szCs w:val="24"/>
          <w:lang w:val="et-EE"/>
        </w:rPr>
        <w:t xml:space="preserve"> </w:t>
      </w:r>
      <w:r w:rsidRPr="00D032BE">
        <w:rPr>
          <w:rFonts w:asciiTheme="majorHAnsi" w:hAnsiTheme="majorHAnsi"/>
          <w:sz w:val="24"/>
          <w:szCs w:val="24"/>
          <w:lang w:val="et-EE"/>
        </w:rPr>
        <w:t xml:space="preserve">32 töötati välja eesmärgiga tagada, et terroristid ja teised kurjategijad ei saaks rahastada oma tegevust või pesta oma kuritegudest saadud tulu valuuta või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füüsilise piiriülese veo kaudu. Täpsemalt on selle eesmärk tagada, et riikides oleksid meetmed a) tegemaks kindlaks valuuta ja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füüsilist piiriülest vedu, b) peatamaks või takistamaks valuuta ja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vedu, kui kahtlustatakse nende seotust terrorismi rahastamise või rahapesuga, c) peatamaks või takistamaks valesti deklareeritud või moonutatud andmetega valuuta või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vedu, d) </w:t>
      </w:r>
      <w:r w:rsidR="002222DE">
        <w:rPr>
          <w:rFonts w:asciiTheme="majorHAnsi" w:hAnsiTheme="majorHAnsi"/>
          <w:sz w:val="24"/>
          <w:szCs w:val="24"/>
          <w:lang w:val="et-EE"/>
        </w:rPr>
        <w:t>rakendamaks</w:t>
      </w:r>
      <w:r w:rsidR="002222DE" w:rsidRPr="00D032BE">
        <w:rPr>
          <w:rFonts w:asciiTheme="majorHAnsi" w:hAnsiTheme="majorHAnsi"/>
          <w:sz w:val="24"/>
          <w:szCs w:val="24"/>
          <w:lang w:val="et-EE"/>
        </w:rPr>
        <w:t xml:space="preserve"> </w:t>
      </w:r>
      <w:r w:rsidRPr="00D032BE">
        <w:rPr>
          <w:rFonts w:asciiTheme="majorHAnsi" w:hAnsiTheme="majorHAnsi"/>
          <w:sz w:val="24"/>
          <w:szCs w:val="24"/>
          <w:lang w:val="et-EE"/>
        </w:rPr>
        <w:t xml:space="preserve">asjakohaseid karistusi valesti deklareerimise või andmete moonutamise eest ja e) võimaldamaks terrorismi rahastamise või rahapesuga seotud valuuta või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konfiskeerimist.</w:t>
      </w:r>
    </w:p>
    <w:p w:rsidR="00D032BE" w:rsidRPr="00D032BE" w:rsidRDefault="00D032BE" w:rsidP="00D032BE">
      <w:pPr>
        <w:pStyle w:val="A-pealkiri"/>
      </w:pPr>
      <w:r w:rsidRPr="00D032BE">
        <w:t xml:space="preserve">B. </w:t>
      </w:r>
      <w:r w:rsidRPr="00D032BE">
        <w:tab/>
        <w:t>SÜSTEEMID, MIDA VÕIB RAKENDADA SULARAHAKULLERITE PROBLEEMI LAHENDAMISEKS</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2. </w:t>
      </w:r>
      <w:r w:rsidRPr="00D032BE">
        <w:rPr>
          <w:rFonts w:asciiTheme="majorHAnsi" w:hAnsiTheme="majorHAnsi"/>
          <w:sz w:val="24"/>
          <w:szCs w:val="24"/>
          <w:lang w:val="et-EE"/>
        </w:rPr>
        <w:tab/>
        <w:t>Riigid võivad täita oma soovituse</w:t>
      </w:r>
      <w:r w:rsidR="00847867">
        <w:rPr>
          <w:rFonts w:asciiTheme="majorHAnsi" w:hAnsiTheme="majorHAnsi"/>
          <w:sz w:val="24"/>
          <w:szCs w:val="24"/>
          <w:lang w:val="et-EE"/>
        </w:rPr>
        <w:t xml:space="preserve"> </w:t>
      </w:r>
      <w:r w:rsidRPr="00D032BE">
        <w:rPr>
          <w:rFonts w:asciiTheme="majorHAnsi" w:hAnsiTheme="majorHAnsi"/>
          <w:sz w:val="24"/>
          <w:szCs w:val="24"/>
          <w:lang w:val="et-EE"/>
        </w:rPr>
        <w:t xml:space="preserve">32 ja käesoleva tõlgendava märkuse kohaseid kohustusi järgnevatest süsteemidest ühe rakendamisega. Riigid ei ole siiski kohustatud kasutama sama liiki süsteemi valuuta või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sissetuleva ja väljamineva piiriülese veo jaoks:</w:t>
      </w:r>
    </w:p>
    <w:p w:rsidR="00D032BE" w:rsidRPr="00D032BE" w:rsidRDefault="00D032BE" w:rsidP="00D032BE">
      <w:pPr>
        <w:pStyle w:val="Pealkiri4"/>
      </w:pPr>
      <w:r w:rsidRPr="00D032BE">
        <w:t>Deklareerimissüsteem</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3. </w:t>
      </w:r>
      <w:r w:rsidRPr="00D032BE">
        <w:rPr>
          <w:rFonts w:asciiTheme="majorHAnsi" w:hAnsiTheme="majorHAnsi"/>
          <w:sz w:val="24"/>
          <w:szCs w:val="24"/>
          <w:lang w:val="et-EE"/>
        </w:rPr>
        <w:tab/>
        <w:t xml:space="preserve">Kõik isikud, kes teostavad kindlaksmääratud maksimaalset ülempiiri 15 000 USD/eurot ületava väärtusega valuuta või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füüsilist piiriülest vedu, peavad esitama määratud pädevatele asutustele tõese deklaratsiooni. Riigid võivad valida järgmise kolme deklareerimissüsteemi liigi hulgast: i) kirjalik deklareerimissüsteem kõikidele reisijatele; </w:t>
      </w:r>
      <w:proofErr w:type="spellStart"/>
      <w:r w:rsidRPr="00D032BE">
        <w:rPr>
          <w:rFonts w:asciiTheme="majorHAnsi" w:hAnsiTheme="majorHAnsi"/>
          <w:sz w:val="24"/>
          <w:szCs w:val="24"/>
          <w:lang w:val="et-EE"/>
        </w:rPr>
        <w:t>ii</w:t>
      </w:r>
      <w:proofErr w:type="spellEnd"/>
      <w:r w:rsidRPr="00D032BE">
        <w:rPr>
          <w:rFonts w:asciiTheme="majorHAnsi" w:hAnsiTheme="majorHAnsi"/>
          <w:sz w:val="24"/>
          <w:szCs w:val="24"/>
          <w:lang w:val="et-EE"/>
        </w:rPr>
        <w:t xml:space="preserve">) kirjalik deklareerimissüsteem nendele reisijatele, kes teostavad ülempiiri ületava väärtusega valuuta või vabalt kaubeldavate esitaja </w:t>
      </w:r>
      <w:r w:rsidR="004030AE">
        <w:rPr>
          <w:rFonts w:asciiTheme="majorHAnsi" w:hAnsiTheme="majorHAnsi"/>
          <w:sz w:val="24"/>
          <w:szCs w:val="24"/>
          <w:lang w:val="et-EE"/>
        </w:rPr>
        <w:t>väärtpaberite</w:t>
      </w:r>
      <w:r w:rsidRPr="00D032BE">
        <w:rPr>
          <w:rFonts w:asciiTheme="majorHAnsi" w:hAnsiTheme="majorHAnsi"/>
          <w:sz w:val="24"/>
          <w:szCs w:val="24"/>
          <w:lang w:val="et-EE"/>
        </w:rPr>
        <w:t xml:space="preserve"> vedu ja </w:t>
      </w:r>
      <w:proofErr w:type="spellStart"/>
      <w:r w:rsidRPr="00D032BE">
        <w:rPr>
          <w:rFonts w:asciiTheme="majorHAnsi" w:hAnsiTheme="majorHAnsi"/>
          <w:sz w:val="24"/>
          <w:szCs w:val="24"/>
          <w:lang w:val="et-EE"/>
        </w:rPr>
        <w:t>iii</w:t>
      </w:r>
      <w:proofErr w:type="spellEnd"/>
      <w:r w:rsidRPr="00D032BE">
        <w:rPr>
          <w:rFonts w:asciiTheme="majorHAnsi" w:hAnsiTheme="majorHAnsi"/>
          <w:sz w:val="24"/>
          <w:szCs w:val="24"/>
          <w:lang w:val="et-EE"/>
        </w:rPr>
        <w:t>) suuline deklareerimissüsteem. Neid kolme süsteemi on nende puhtal kujul kirjeldatud allpool. Samas ei ole ebatavaline, et riigid valivad nende süsteemide kombinatsiooni.</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a-thtloend"/>
      </w:pPr>
      <w:r w:rsidRPr="00D032BE">
        <w:t xml:space="preserve">a) </w:t>
      </w:r>
      <w:r w:rsidRPr="00D032BE">
        <w:tab/>
      </w:r>
      <w:r w:rsidR="00B86CDE" w:rsidRPr="00E079EA">
        <w:rPr>
          <w:i/>
          <w:szCs w:val="24"/>
        </w:rPr>
        <w:t>kirjalik deklareerimissüsteem kõikidele reisijatele</w:t>
      </w:r>
      <w:r w:rsidRPr="00D032BE">
        <w:t xml:space="preserve">: selle süsteemi kohaselt peavad kõik reisijad täitma enne riiki sisenemist kirjaliku deklaratsiooni. See hõlmab tavalistes või tollideklaratsioonivormides sisalduvaid küsimusi. Praktikas peavad reisijad esitama deklaratsiooni olenemata sellest, kas neil on kaasas valuutat või vabalt kaubeldavaid esitaja </w:t>
      </w:r>
      <w:r w:rsidR="004030AE">
        <w:t>väärtpabereid</w:t>
      </w:r>
      <w:r w:rsidRPr="00D032BE">
        <w:t xml:space="preserve"> (nt tehes linnukese „jah” või „ei” lahtrisse);</w:t>
      </w:r>
    </w:p>
    <w:p w:rsidR="00D032BE" w:rsidRPr="00D032BE" w:rsidRDefault="00D032BE" w:rsidP="00D032BE">
      <w:pPr>
        <w:pStyle w:val="a-thtloend"/>
      </w:pPr>
      <w:r w:rsidRPr="00D032BE">
        <w:lastRenderedPageBreak/>
        <w:t xml:space="preserve">b) </w:t>
      </w:r>
      <w:r w:rsidRPr="00D032BE">
        <w:tab/>
      </w:r>
      <w:r w:rsidR="00B86CDE" w:rsidRPr="00E079EA">
        <w:rPr>
          <w:i/>
          <w:szCs w:val="24"/>
        </w:rPr>
        <w:t xml:space="preserve">kirjalik deklareerimissüsteem nendele reisijatele, kes teostavad ülempiiri ületava väärtusega valuuta või vabalt kaubeldavate esitaja </w:t>
      </w:r>
      <w:r w:rsidR="00795025">
        <w:rPr>
          <w:i/>
          <w:szCs w:val="24"/>
        </w:rPr>
        <w:t>väärtpaberite</w:t>
      </w:r>
      <w:r w:rsidR="00B86CDE" w:rsidRPr="00E079EA">
        <w:rPr>
          <w:i/>
          <w:szCs w:val="24"/>
        </w:rPr>
        <w:t xml:space="preserve"> vedu</w:t>
      </w:r>
      <w:r w:rsidRPr="00D032BE">
        <w:t xml:space="preserve">: selle süsteemi kohaselt peavad kõik reisijad, kes </w:t>
      </w:r>
      <w:r w:rsidRPr="00D032BE">
        <w:rPr>
          <w:szCs w:val="24"/>
        </w:rPr>
        <w:t xml:space="preserve">teostavad eelnevalt kehtestatud ülempiiri ületava väärtusega valuuta või vabalt kaubeldavate esitaja </w:t>
      </w:r>
      <w:r w:rsidR="00795025">
        <w:rPr>
          <w:szCs w:val="24"/>
        </w:rPr>
        <w:t>väärtpaberite</w:t>
      </w:r>
      <w:r w:rsidRPr="00D032BE">
        <w:rPr>
          <w:szCs w:val="24"/>
        </w:rPr>
        <w:t xml:space="preserve"> vedu, täitma kirjaliku deklaratsioonivormi. Praktikas ei pea reisija täitma ühtegi vormi, kui ta ei teosta kehtestatud ülempiiri ületava väärtusega valuuta või vabalt kaubeldavate esitaja </w:t>
      </w:r>
      <w:r w:rsidR="00795025">
        <w:rPr>
          <w:szCs w:val="24"/>
        </w:rPr>
        <w:t>väärtpaberite</w:t>
      </w:r>
      <w:r w:rsidRPr="00D032BE">
        <w:rPr>
          <w:szCs w:val="24"/>
        </w:rPr>
        <w:t xml:space="preserve"> vedu;</w:t>
      </w:r>
    </w:p>
    <w:p w:rsidR="00D032BE" w:rsidRPr="00D032BE" w:rsidRDefault="00D032BE" w:rsidP="00D032BE">
      <w:pPr>
        <w:pStyle w:val="a-thtloend"/>
      </w:pPr>
      <w:r w:rsidRPr="00D07855">
        <w:t xml:space="preserve">c) </w:t>
      </w:r>
      <w:r w:rsidRPr="00D07855">
        <w:tab/>
      </w:r>
      <w:r w:rsidR="00B86CDE" w:rsidRPr="00E079EA">
        <w:rPr>
          <w:i/>
        </w:rPr>
        <w:t>suuline deklareerimissüsteem kõikidele reisijatele</w:t>
      </w:r>
      <w:r w:rsidRPr="00D07855">
        <w:t xml:space="preserve">: selle süsteemi kohaselt peavad kõik reisijad suuliselt deklareerima, kas nad </w:t>
      </w:r>
      <w:r w:rsidRPr="00D07855">
        <w:rPr>
          <w:szCs w:val="24"/>
        </w:rPr>
        <w:t xml:space="preserve">teostavad ülempiiri ületava väärtusega valuuta või vabalt kaubeldavate esitaja </w:t>
      </w:r>
      <w:r w:rsidR="00795025">
        <w:rPr>
          <w:szCs w:val="24"/>
        </w:rPr>
        <w:t>väärtpaberite</w:t>
      </w:r>
      <w:r w:rsidRPr="00D07855">
        <w:rPr>
          <w:szCs w:val="24"/>
        </w:rPr>
        <w:t xml:space="preserve"> vedu</w:t>
      </w:r>
      <w:r w:rsidRPr="00D07855">
        <w:t xml:space="preserve">. Tavaliselt toimub see riiki sisenemisel tollipunktides, kus reisijatel palutakse valida „punase kanali” (deklareerimisele kuuluvad kaubad) ja „rohelise kanali” (ei ole midagi deklareerida) vahel. Reisija tehtav kanali valik loetaksegi suuliseks deklareerimiseks. Praktikas reisijad ei esita kirjalikku deklaratsiooni, vaid peavad </w:t>
      </w:r>
      <w:r w:rsidR="00B86CDE" w:rsidRPr="00D07855">
        <w:t>ise</w:t>
      </w:r>
      <w:r w:rsidRPr="00D07855">
        <w:t xml:space="preserve"> teavitama tolliametnikku.</w:t>
      </w:r>
    </w:p>
    <w:p w:rsidR="00D032BE" w:rsidRPr="00D032BE" w:rsidRDefault="00D032BE" w:rsidP="00D032BE">
      <w:pPr>
        <w:pStyle w:val="Pealkiri4"/>
      </w:pPr>
      <w:r w:rsidRPr="00D032BE">
        <w:t>Andmete esitamise süsteem:</w:t>
      </w:r>
    </w:p>
    <w:p w:rsidR="00D032BE" w:rsidRPr="00D032BE" w:rsidRDefault="00D032BE" w:rsidP="00D032BE">
      <w:pPr>
        <w:pStyle w:val="Kehatekstloend"/>
      </w:pPr>
      <w:r w:rsidRPr="00D032BE">
        <w:t xml:space="preserve">4. </w:t>
      </w:r>
      <w:r w:rsidRPr="00D032BE">
        <w:tab/>
        <w:t>Riigid võivad valida süsteemi, mille kohaselt reisijad peavad esitama ametiasutustele asjakohast teavet nõudmise korral. Selline süsteem ei sisalda nõuet, et reisijad esitaksid eelnevalt kirjaliku või suulise deklaratsiooni. Praktikas peavad reisijad olema kohustatud andma nõudmise korral pädevatele asutustele tõese vastuse.</w:t>
      </w:r>
    </w:p>
    <w:p w:rsidR="00D032BE" w:rsidRPr="00D032BE" w:rsidRDefault="00D032BE" w:rsidP="00D032BE">
      <w:pPr>
        <w:pStyle w:val="A-pealkiri"/>
      </w:pPr>
      <w:r w:rsidRPr="00D032BE">
        <w:t xml:space="preserve">C. </w:t>
      </w:r>
      <w:r w:rsidRPr="00D032BE">
        <w:tab/>
        <w:t>MÕLEMALE SÜSTEEMILE KOHALDATAVAD LISAELEMENDID</w:t>
      </w:r>
    </w:p>
    <w:p w:rsidR="00D032BE" w:rsidRPr="00D032BE" w:rsidRDefault="00D032BE" w:rsidP="00D032BE">
      <w:pPr>
        <w:pStyle w:val="Kehatekstloend"/>
      </w:pPr>
      <w:r w:rsidRPr="00D032BE">
        <w:t xml:space="preserve">5. </w:t>
      </w:r>
      <w:r w:rsidRPr="00D032BE">
        <w:tab/>
        <w:t>Riigid peaksid rakendatud süsteemist olenemata tagama, et nende süsteem sisaldab järgmisi elemente:</w:t>
      </w:r>
    </w:p>
    <w:p w:rsidR="00D032BE" w:rsidRPr="00D032BE" w:rsidRDefault="00D032BE" w:rsidP="00D032BE">
      <w:pPr>
        <w:pStyle w:val="a-thtloend"/>
      </w:pPr>
      <w:r w:rsidRPr="00D032BE">
        <w:t xml:space="preserve">a) </w:t>
      </w:r>
      <w:r w:rsidRPr="00D032BE">
        <w:tab/>
        <w:t>a</w:t>
      </w:r>
      <w:r w:rsidRPr="00D032BE">
        <w:rPr>
          <w:szCs w:val="24"/>
        </w:rPr>
        <w:t xml:space="preserve">ndmete esitamise/deklareerimissüsteemi tuleks kohaldada nii valuuta ja vabalt kaubeldavate esitaja </w:t>
      </w:r>
      <w:r w:rsidR="00795025">
        <w:rPr>
          <w:szCs w:val="24"/>
        </w:rPr>
        <w:t>väärtpaberite</w:t>
      </w:r>
      <w:r w:rsidRPr="00D032BE">
        <w:rPr>
          <w:szCs w:val="24"/>
        </w:rPr>
        <w:t xml:space="preserve"> sissetulevale kui ka väljaminevale veole</w:t>
      </w:r>
      <w:r w:rsidRPr="00D032BE">
        <w:t>;</w:t>
      </w:r>
    </w:p>
    <w:p w:rsidR="00D032BE" w:rsidRPr="00D032BE" w:rsidRDefault="00D032BE" w:rsidP="00D032BE">
      <w:pPr>
        <w:autoSpaceDE w:val="0"/>
        <w:autoSpaceDN w:val="0"/>
        <w:adjustRightInd w:val="0"/>
        <w:ind w:left="1559" w:hanging="567"/>
        <w:rPr>
          <w:rFonts w:asciiTheme="majorHAnsi" w:hAnsiTheme="majorHAnsi"/>
          <w:sz w:val="24"/>
          <w:szCs w:val="24"/>
          <w:lang w:val="et-EE"/>
        </w:rPr>
      </w:pPr>
      <w:r w:rsidRPr="00D032BE">
        <w:rPr>
          <w:rFonts w:asciiTheme="majorHAnsi" w:hAnsiTheme="majorHAnsi"/>
          <w:sz w:val="24"/>
          <w:szCs w:val="24"/>
          <w:lang w:val="et-EE"/>
        </w:rPr>
        <w:t xml:space="preserve">b) </w:t>
      </w:r>
      <w:r w:rsidRPr="00D032BE">
        <w:rPr>
          <w:rFonts w:asciiTheme="majorHAnsi" w:hAnsiTheme="majorHAnsi"/>
          <w:sz w:val="24"/>
          <w:szCs w:val="24"/>
          <w:lang w:val="et-EE"/>
        </w:rPr>
        <w:tab/>
        <w:t xml:space="preserve">valuuta või vabalt kaubeldavate esitaja </w:t>
      </w:r>
      <w:r w:rsidR="00795025">
        <w:rPr>
          <w:rFonts w:asciiTheme="majorHAnsi" w:hAnsiTheme="majorHAnsi"/>
          <w:sz w:val="24"/>
          <w:szCs w:val="24"/>
          <w:lang w:val="et-EE"/>
        </w:rPr>
        <w:t>väärtpaberite</w:t>
      </w:r>
      <w:r w:rsidRPr="00D032BE">
        <w:rPr>
          <w:rFonts w:asciiTheme="majorHAnsi" w:hAnsiTheme="majorHAnsi"/>
          <w:sz w:val="24"/>
          <w:szCs w:val="24"/>
          <w:lang w:val="et-EE"/>
        </w:rPr>
        <w:t xml:space="preserve"> valesti deklareerimise või moonutatud andmete esitamise avastamise korral või deklaratsiooni/andmete esitamata jätmise korral peaksid määratud pädevatel asutustel olema volitused nõuda ja saada vedajalt lisateavet valuuta või vabalt kaubeldavate esitaja </w:t>
      </w:r>
      <w:r w:rsidR="00795025">
        <w:rPr>
          <w:rFonts w:asciiTheme="majorHAnsi" w:hAnsiTheme="majorHAnsi"/>
          <w:sz w:val="24"/>
          <w:szCs w:val="24"/>
          <w:lang w:val="et-EE"/>
        </w:rPr>
        <w:t>väärtpaberite</w:t>
      </w:r>
      <w:r w:rsidRPr="00D032BE">
        <w:rPr>
          <w:rFonts w:asciiTheme="majorHAnsi" w:hAnsiTheme="majorHAnsi"/>
          <w:sz w:val="24"/>
          <w:szCs w:val="24"/>
          <w:lang w:val="et-EE"/>
        </w:rPr>
        <w:t xml:space="preserve"> päritolu ja nende kavandatud kasutuse kohta;</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autoSpaceDE w:val="0"/>
        <w:autoSpaceDN w:val="0"/>
        <w:adjustRightInd w:val="0"/>
        <w:ind w:left="1559" w:hanging="567"/>
        <w:rPr>
          <w:rFonts w:asciiTheme="majorHAnsi" w:hAnsiTheme="majorHAnsi"/>
          <w:sz w:val="24"/>
          <w:szCs w:val="24"/>
          <w:lang w:val="et-EE"/>
        </w:rPr>
      </w:pPr>
      <w:r w:rsidRPr="00D032BE">
        <w:rPr>
          <w:rFonts w:asciiTheme="majorHAnsi" w:hAnsiTheme="majorHAnsi"/>
          <w:sz w:val="24"/>
          <w:szCs w:val="24"/>
          <w:lang w:val="et-EE"/>
        </w:rPr>
        <w:t xml:space="preserve">c) </w:t>
      </w:r>
      <w:r w:rsidRPr="00D032BE">
        <w:rPr>
          <w:rFonts w:asciiTheme="majorHAnsi" w:hAnsiTheme="majorHAnsi"/>
          <w:sz w:val="24"/>
          <w:szCs w:val="24"/>
          <w:lang w:val="et-EE"/>
        </w:rPr>
        <w:tab/>
        <w:t xml:space="preserve">andmete esitamise/deklareerimisprotsessi kaudu saadud teave peaks olema kättesaadav </w:t>
      </w:r>
      <w:r w:rsidR="00D86A5F">
        <w:rPr>
          <w:rFonts w:asciiTheme="majorHAnsi" w:hAnsiTheme="majorHAnsi"/>
          <w:sz w:val="24"/>
          <w:szCs w:val="24"/>
          <w:lang w:val="et-EE"/>
        </w:rPr>
        <w:t>Rahapesu andmebüroo</w:t>
      </w:r>
      <w:r w:rsidRPr="00D032BE">
        <w:rPr>
          <w:rFonts w:asciiTheme="majorHAnsi" w:hAnsiTheme="majorHAnsi"/>
          <w:sz w:val="24"/>
          <w:szCs w:val="24"/>
          <w:lang w:val="et-EE"/>
        </w:rPr>
        <w:t xml:space="preserve">le kas sellise süsteemi kaudu, kus </w:t>
      </w:r>
      <w:r w:rsidR="00D86A5F">
        <w:rPr>
          <w:rFonts w:asciiTheme="majorHAnsi" w:hAnsiTheme="majorHAnsi"/>
          <w:sz w:val="24"/>
          <w:szCs w:val="24"/>
          <w:lang w:val="et-EE"/>
        </w:rPr>
        <w:t>Rahapesu andmebüroo</w:t>
      </w:r>
      <w:r w:rsidRPr="00D032BE">
        <w:rPr>
          <w:rFonts w:asciiTheme="majorHAnsi" w:hAnsiTheme="majorHAnsi"/>
          <w:sz w:val="24"/>
          <w:szCs w:val="24"/>
          <w:lang w:val="et-EE"/>
        </w:rPr>
        <w:t xml:space="preserve">d teavitatakse kahtlastest piiriülese veo juhtudest, või tehes deklaratsiooni/esitatud andmed mingil muul viisil </w:t>
      </w:r>
      <w:r w:rsidR="00D86A5F">
        <w:rPr>
          <w:rFonts w:asciiTheme="majorHAnsi" w:hAnsiTheme="majorHAnsi"/>
          <w:sz w:val="24"/>
          <w:szCs w:val="24"/>
          <w:lang w:val="et-EE"/>
        </w:rPr>
        <w:t>Rahapesu andmebüroo</w:t>
      </w:r>
      <w:r w:rsidRPr="00D032BE">
        <w:rPr>
          <w:rFonts w:asciiTheme="majorHAnsi" w:hAnsiTheme="majorHAnsi"/>
          <w:sz w:val="24"/>
          <w:szCs w:val="24"/>
          <w:lang w:val="et-EE"/>
        </w:rPr>
        <w:t>le otseselt kättesadavaks;</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a-thtloend"/>
      </w:pPr>
      <w:r w:rsidRPr="00D032BE">
        <w:t xml:space="preserve">d) </w:t>
      </w:r>
      <w:r w:rsidRPr="00D032BE">
        <w:tab/>
      </w:r>
      <w:r w:rsidRPr="00D032BE">
        <w:rPr>
          <w:szCs w:val="24"/>
        </w:rPr>
        <w:t>riigid peaksid riigi tasandil tagama piisava kooskõlastamise tolli-, immigratsiooni- ja muude seotud asutuste vahel soovituse</w:t>
      </w:r>
      <w:r w:rsidR="00847867">
        <w:rPr>
          <w:szCs w:val="24"/>
        </w:rPr>
        <w:t xml:space="preserve"> </w:t>
      </w:r>
      <w:r w:rsidRPr="00D032BE">
        <w:rPr>
          <w:szCs w:val="24"/>
        </w:rPr>
        <w:t>32 rakendamisega seotud teemadel;</w:t>
      </w:r>
    </w:p>
    <w:p w:rsidR="00D032BE" w:rsidRPr="00D032BE" w:rsidRDefault="00D032BE" w:rsidP="00D032BE">
      <w:pPr>
        <w:pStyle w:val="a-thtloend"/>
      </w:pPr>
      <w:r w:rsidRPr="00D032BE">
        <w:t xml:space="preserve">e) </w:t>
      </w:r>
      <w:r w:rsidRPr="00D032BE">
        <w:tab/>
      </w:r>
      <w:r w:rsidRPr="00D032BE">
        <w:rPr>
          <w:szCs w:val="24"/>
        </w:rPr>
        <w:t xml:space="preserve">järgmisel kahel juhul peaksid pädevad asutused olema suutelised peatama sularaha või vabalt kaubeldavate esitaja </w:t>
      </w:r>
      <w:r w:rsidR="00795025">
        <w:rPr>
          <w:szCs w:val="24"/>
        </w:rPr>
        <w:t>väärtpaberite</w:t>
      </w:r>
      <w:r w:rsidRPr="00D032BE">
        <w:rPr>
          <w:szCs w:val="24"/>
        </w:rPr>
        <w:t xml:space="preserve"> veo või takistama seda mõistliku tähtajani, et teha kindlaks, kas on tõendeid rahapesu või terrorismi rahastamise kohta:</w:t>
      </w:r>
      <w:r w:rsidRPr="00D032BE">
        <w:t xml:space="preserve"> i) </w:t>
      </w:r>
      <w:r w:rsidRPr="00D032BE">
        <w:rPr>
          <w:szCs w:val="24"/>
        </w:rPr>
        <w:t xml:space="preserve">kui on tegemist </w:t>
      </w:r>
      <w:r w:rsidR="002A32CF">
        <w:rPr>
          <w:szCs w:val="24"/>
        </w:rPr>
        <w:t>rahapesu</w:t>
      </w:r>
      <w:r w:rsidRPr="00D032BE">
        <w:rPr>
          <w:szCs w:val="24"/>
        </w:rPr>
        <w:t xml:space="preserve"> või terrorismi rahastamise kahtlusega </w:t>
      </w:r>
      <w:r w:rsidRPr="00D032BE">
        <w:t xml:space="preserve">või </w:t>
      </w:r>
      <w:proofErr w:type="spellStart"/>
      <w:r w:rsidRPr="00D032BE">
        <w:t>ii</w:t>
      </w:r>
      <w:proofErr w:type="spellEnd"/>
      <w:r w:rsidRPr="00D032BE">
        <w:t xml:space="preserve">) </w:t>
      </w:r>
      <w:r w:rsidRPr="00D032BE">
        <w:rPr>
          <w:szCs w:val="24"/>
        </w:rPr>
        <w:t>kui on tegemist valesti deklareerimise või andmete moonutamisega;</w:t>
      </w:r>
    </w:p>
    <w:p w:rsidR="00D032BE" w:rsidRPr="00D032BE" w:rsidRDefault="00D032BE" w:rsidP="00D032BE">
      <w:pPr>
        <w:pStyle w:val="a-thtloend"/>
      </w:pPr>
      <w:r w:rsidRPr="00D032BE">
        <w:t xml:space="preserve">f) </w:t>
      </w:r>
      <w:r w:rsidRPr="00D032BE">
        <w:tab/>
      </w:r>
      <w:r w:rsidRPr="00D032BE">
        <w:rPr>
          <w:szCs w:val="24"/>
        </w:rPr>
        <w:t>andmete esitamise/deklareerimissüsteem peaks võimaldama võimalikult ulatuslikku rahvusvahelist koostööd ja abi vastavalt soovitustele</w:t>
      </w:r>
      <w:r w:rsidR="00847867">
        <w:rPr>
          <w:szCs w:val="24"/>
        </w:rPr>
        <w:t xml:space="preserve"> </w:t>
      </w:r>
      <w:r w:rsidRPr="00D032BE">
        <w:rPr>
          <w:szCs w:val="24"/>
        </w:rPr>
        <w:t>36–40</w:t>
      </w:r>
      <w:r w:rsidRPr="00D032BE">
        <w:t xml:space="preserve">. Koostöö </w:t>
      </w:r>
      <w:r w:rsidRPr="00D032BE">
        <w:rPr>
          <w:szCs w:val="24"/>
        </w:rPr>
        <w:t>soodustamiseks juhul, kui</w:t>
      </w:r>
      <w:r w:rsidRPr="00D032BE">
        <w:t xml:space="preserve"> i) </w:t>
      </w:r>
      <w:r w:rsidRPr="00D032BE">
        <w:rPr>
          <w:szCs w:val="24"/>
        </w:rPr>
        <w:t xml:space="preserve">on esitatud deklaratsioon või andmed, mis ületavad maksimaalset ülempiiri 15 000 USD/eurot, või </w:t>
      </w:r>
      <w:proofErr w:type="spellStart"/>
      <w:r w:rsidRPr="00D032BE">
        <w:t>ii</w:t>
      </w:r>
      <w:proofErr w:type="spellEnd"/>
      <w:r w:rsidRPr="00D032BE">
        <w:t xml:space="preserve">) </w:t>
      </w:r>
      <w:r w:rsidRPr="00D032BE">
        <w:rPr>
          <w:szCs w:val="24"/>
        </w:rPr>
        <w:t xml:space="preserve">kui on tegemist valesti deklareerimise või andmete moonutamisega või </w:t>
      </w:r>
      <w:proofErr w:type="spellStart"/>
      <w:r w:rsidRPr="00D032BE">
        <w:t>iii</w:t>
      </w:r>
      <w:proofErr w:type="spellEnd"/>
      <w:r w:rsidRPr="00D032BE">
        <w:t xml:space="preserve">) </w:t>
      </w:r>
      <w:r w:rsidRPr="00D032BE">
        <w:rPr>
          <w:szCs w:val="24"/>
        </w:rPr>
        <w:t xml:space="preserve">kui on tegemist </w:t>
      </w:r>
      <w:r w:rsidR="002A32CF">
        <w:rPr>
          <w:szCs w:val="24"/>
        </w:rPr>
        <w:t>rahapesu</w:t>
      </w:r>
      <w:r w:rsidRPr="00D032BE">
        <w:rPr>
          <w:szCs w:val="24"/>
        </w:rPr>
        <w:t xml:space="preserve"> või terrorismi rahastamise kahtlusega, tuleb sellist teavet säilitada asjakohaste ametiasutuste jaoks. Selline teave peab sisaldama vähemalt järgmisi andmeid</w:t>
      </w:r>
      <w:r w:rsidRPr="00D032BE">
        <w:t xml:space="preserve">: i) </w:t>
      </w:r>
      <w:r w:rsidRPr="00D032BE">
        <w:rPr>
          <w:szCs w:val="24"/>
        </w:rPr>
        <w:t xml:space="preserve">deklareeritud/esitatud või muul viisil avastatud valuuta või vabalt kaubeldavate esitaja </w:t>
      </w:r>
      <w:r w:rsidR="00795025">
        <w:rPr>
          <w:szCs w:val="24"/>
        </w:rPr>
        <w:t>väärtpaberite</w:t>
      </w:r>
      <w:r w:rsidRPr="00D032BE">
        <w:rPr>
          <w:szCs w:val="24"/>
        </w:rPr>
        <w:t xml:space="preserve"> summa ja </w:t>
      </w:r>
      <w:proofErr w:type="spellStart"/>
      <w:r w:rsidRPr="00D032BE">
        <w:t>ii</w:t>
      </w:r>
      <w:proofErr w:type="spellEnd"/>
      <w:r w:rsidRPr="00D032BE">
        <w:t xml:space="preserve">) </w:t>
      </w:r>
      <w:proofErr w:type="spellStart"/>
      <w:r w:rsidRPr="00D032BE">
        <w:t>esitaja(te</w:t>
      </w:r>
      <w:proofErr w:type="spellEnd"/>
      <w:r w:rsidRPr="00D032BE">
        <w:t xml:space="preserve">) </w:t>
      </w:r>
      <w:r w:rsidRPr="00D032BE">
        <w:rPr>
          <w:szCs w:val="24"/>
        </w:rPr>
        <w:t>isikut tõendavad andmed;</w:t>
      </w:r>
    </w:p>
    <w:p w:rsidR="00D032BE" w:rsidRPr="00D032BE" w:rsidRDefault="00D032BE" w:rsidP="00D032BE">
      <w:pPr>
        <w:pStyle w:val="a-thtloend"/>
      </w:pPr>
      <w:r w:rsidRPr="00D032BE">
        <w:t xml:space="preserve">g) </w:t>
      </w:r>
      <w:r w:rsidR="0069492B">
        <w:tab/>
      </w:r>
      <w:r w:rsidRPr="00D032BE">
        <w:t>r</w:t>
      </w:r>
      <w:r w:rsidRPr="00D032BE">
        <w:rPr>
          <w:szCs w:val="24"/>
        </w:rPr>
        <w:t>iigid peaksid soovitust</w:t>
      </w:r>
      <w:r w:rsidR="00847867">
        <w:rPr>
          <w:szCs w:val="24"/>
        </w:rPr>
        <w:t xml:space="preserve"> </w:t>
      </w:r>
      <w:r w:rsidRPr="00D032BE">
        <w:rPr>
          <w:szCs w:val="24"/>
        </w:rPr>
        <w:t xml:space="preserve">32 rakendades võtma rangeid meetmeid, et tagada teabe nõuetekohane kasutus ja piiramata mingil viisil </w:t>
      </w:r>
      <w:r w:rsidRPr="00D032BE">
        <w:t xml:space="preserve">i) </w:t>
      </w:r>
      <w:r w:rsidRPr="00D032BE">
        <w:rPr>
          <w:szCs w:val="24"/>
        </w:rPr>
        <w:t>riikidevahelisi makseid kaupade ja teenuste eest või</w:t>
      </w:r>
      <w:r w:rsidRPr="00D032BE">
        <w:t xml:space="preserve"> </w:t>
      </w:r>
      <w:proofErr w:type="spellStart"/>
      <w:r w:rsidRPr="00D032BE">
        <w:t>ii</w:t>
      </w:r>
      <w:proofErr w:type="spellEnd"/>
      <w:r w:rsidRPr="00D032BE">
        <w:t xml:space="preserve">) </w:t>
      </w:r>
      <w:r w:rsidRPr="00D032BE">
        <w:rPr>
          <w:szCs w:val="24"/>
        </w:rPr>
        <w:t>kapitali liikumisvabadust</w:t>
      </w:r>
      <w:r w:rsidRPr="00D032BE">
        <w:t>.</w:t>
      </w:r>
    </w:p>
    <w:p w:rsidR="00D032BE" w:rsidRPr="00D032BE" w:rsidRDefault="00D032BE" w:rsidP="00D032BE">
      <w:pPr>
        <w:pStyle w:val="A-pealkiri"/>
      </w:pPr>
      <w:r w:rsidRPr="00D032BE">
        <w:t xml:space="preserve">D. </w:t>
      </w:r>
      <w:r w:rsidRPr="00D032BE">
        <w:tab/>
        <w:t>KARISTUSED</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6. </w:t>
      </w:r>
      <w:r w:rsidRPr="00D032BE">
        <w:rPr>
          <w:rFonts w:asciiTheme="majorHAnsi" w:hAnsiTheme="majorHAnsi"/>
          <w:sz w:val="24"/>
          <w:szCs w:val="24"/>
          <w:lang w:val="et-EE"/>
        </w:rPr>
        <w:tab/>
        <w:t xml:space="preserve">Nende isikute suhtes, kes deklareerivad valesti või moonutavad andmeid, tuleks rakendada tõhusaid, proportsionaalseid ja hoiatavaid kriminaal-, tsiviil- või halduskaristusi. Selliste isikute suhtes, kes tegelevad terrorismi rahastamise, rahapesu või eelkuritegudega seotud valuuta või vabalt kaubeldavate esitaja </w:t>
      </w:r>
      <w:r w:rsidR="00795025">
        <w:rPr>
          <w:rFonts w:asciiTheme="majorHAnsi" w:hAnsiTheme="majorHAnsi"/>
          <w:sz w:val="24"/>
          <w:szCs w:val="24"/>
          <w:lang w:val="et-EE"/>
        </w:rPr>
        <w:t>väärtpaberite</w:t>
      </w:r>
      <w:r w:rsidRPr="00D032BE">
        <w:rPr>
          <w:rFonts w:asciiTheme="majorHAnsi" w:hAnsiTheme="majorHAnsi"/>
          <w:sz w:val="24"/>
          <w:szCs w:val="24"/>
          <w:lang w:val="et-EE"/>
        </w:rPr>
        <w:t xml:space="preserve"> füüsilise piiriülese veoga, tuleks samuti rakendada tõhusaid, proportsionaalseid ja hoiatavaid kriminaal-, tsiviil- või halduskaristusi ning selliseid meetmeid, kaasa arvatud soovitusega</w:t>
      </w:r>
      <w:r w:rsidR="00847867">
        <w:rPr>
          <w:rFonts w:asciiTheme="majorHAnsi" w:hAnsiTheme="majorHAnsi"/>
          <w:sz w:val="24"/>
          <w:szCs w:val="24"/>
          <w:lang w:val="et-EE"/>
        </w:rPr>
        <w:t xml:space="preserve"> </w:t>
      </w:r>
      <w:r w:rsidRPr="00D032BE">
        <w:rPr>
          <w:rFonts w:asciiTheme="majorHAnsi" w:hAnsiTheme="majorHAnsi"/>
          <w:sz w:val="24"/>
          <w:szCs w:val="24"/>
          <w:lang w:val="et-EE"/>
        </w:rPr>
        <w:t xml:space="preserve">4 kooskõlas olevaid meetmeid, mis võimaldavad konfiskeerida sellist valuutat või vabalt kaubeldavaid esitaja </w:t>
      </w:r>
      <w:r w:rsidR="00795025">
        <w:rPr>
          <w:rFonts w:asciiTheme="majorHAnsi" w:hAnsiTheme="majorHAnsi"/>
          <w:sz w:val="24"/>
          <w:szCs w:val="24"/>
          <w:lang w:val="et-EE"/>
        </w:rPr>
        <w:t>väärtpabereid</w:t>
      </w:r>
      <w:r w:rsidRPr="00D032BE">
        <w:rPr>
          <w:rFonts w:asciiTheme="majorHAnsi" w:hAnsiTheme="majorHAnsi"/>
          <w:sz w:val="24"/>
          <w:szCs w:val="24"/>
          <w:lang w:val="et-EE"/>
        </w:rPr>
        <w:t>.</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Kehatekstloend"/>
      </w:pPr>
      <w:r w:rsidRPr="00D032BE">
        <w:t xml:space="preserve">7. </w:t>
      </w:r>
      <w:r w:rsidRPr="00D032BE">
        <w:tab/>
        <w:t>Soovituse</w:t>
      </w:r>
      <w:r w:rsidR="00847867">
        <w:t xml:space="preserve"> </w:t>
      </w:r>
      <w:r w:rsidRPr="00D032BE">
        <w:t>32 rakendamise eest vastutavatel asutustel peaksid olema piisavad rahalised, inim- ja tehnilised ressursid. Riigid peaksid kehtestama protsessid tagamaks, et nende asutuste töötajad järgivad kõrgeid kutsealaseid standardeid, sh konfidentsiaalsus- ja aususstandardeid, ning on asjakohase kvalifikatsiooniga.</w:t>
      </w:r>
    </w:p>
    <w:p w:rsidR="00D032BE" w:rsidRPr="00D032BE" w:rsidRDefault="00D032BE" w:rsidP="00D032BE">
      <w:pPr>
        <w:pStyle w:val="A-pealkiri"/>
      </w:pPr>
      <w:r w:rsidRPr="00D032BE">
        <w:lastRenderedPageBreak/>
        <w:t xml:space="preserve">E. </w:t>
      </w:r>
      <w:r w:rsidRPr="00D032BE">
        <w:tab/>
        <w:t>KULD, VÄÄRISMETALLID JA VÄÄRISKIVID</w:t>
      </w:r>
    </w:p>
    <w:p w:rsidR="00D032BE" w:rsidRPr="00E079EA" w:rsidRDefault="00B86CDE" w:rsidP="00D032BE">
      <w:pPr>
        <w:autoSpaceDE w:val="0"/>
        <w:autoSpaceDN w:val="0"/>
        <w:adjustRightInd w:val="0"/>
        <w:spacing w:line="240" w:lineRule="auto"/>
        <w:ind w:left="709" w:hanging="709"/>
        <w:rPr>
          <w:rFonts w:ascii="Cambria" w:eastAsia="Times New Roman" w:hAnsi="Cambria"/>
          <w:sz w:val="24"/>
          <w:szCs w:val="21"/>
          <w:lang w:val="et-EE" w:eastAsia="zh-CN"/>
        </w:rPr>
      </w:pPr>
      <w:r w:rsidRPr="00E079EA">
        <w:rPr>
          <w:rFonts w:ascii="Cambria" w:eastAsia="Times New Roman" w:hAnsi="Cambria"/>
          <w:sz w:val="24"/>
          <w:szCs w:val="21"/>
          <w:lang w:val="et-EE" w:eastAsia="zh-CN"/>
        </w:rPr>
        <w:t xml:space="preserve">8. </w:t>
      </w:r>
      <w:r w:rsidRPr="00E079EA">
        <w:rPr>
          <w:rFonts w:ascii="Cambria" w:eastAsia="Times New Roman" w:hAnsi="Cambria"/>
          <w:sz w:val="24"/>
          <w:szCs w:val="21"/>
          <w:lang w:val="et-EE" w:eastAsia="zh-CN"/>
        </w:rPr>
        <w:tab/>
        <w:t>Soovitust</w:t>
      </w:r>
      <w:r w:rsidR="00847867">
        <w:rPr>
          <w:rFonts w:ascii="Cambria" w:eastAsia="Times New Roman" w:hAnsi="Cambria"/>
          <w:sz w:val="24"/>
          <w:szCs w:val="21"/>
          <w:lang w:val="et-EE" w:eastAsia="zh-CN"/>
        </w:rPr>
        <w:t xml:space="preserve"> </w:t>
      </w:r>
      <w:r w:rsidRPr="00E079EA">
        <w:rPr>
          <w:rFonts w:ascii="Cambria" w:eastAsia="Times New Roman" w:hAnsi="Cambria"/>
          <w:sz w:val="24"/>
          <w:szCs w:val="21"/>
          <w:lang w:val="et-EE" w:eastAsia="zh-CN"/>
        </w:rPr>
        <w:t>32 ei kohaldata kullale, väärismetallidele ega vääriskividele, vaatamata</w:t>
      </w:r>
      <w:r w:rsidR="00D032BE" w:rsidRPr="00D032BE">
        <w:rPr>
          <w:rFonts w:asciiTheme="majorHAnsi" w:hAnsiTheme="majorHAnsi"/>
          <w:sz w:val="24"/>
          <w:szCs w:val="24"/>
          <w:lang w:val="et-EE"/>
        </w:rPr>
        <w:t xml:space="preserve"> </w:t>
      </w:r>
      <w:r w:rsidRPr="00E079EA">
        <w:rPr>
          <w:rFonts w:ascii="Cambria" w:eastAsia="Times New Roman" w:hAnsi="Cambria"/>
          <w:sz w:val="24"/>
          <w:szCs w:val="21"/>
          <w:lang w:val="et-EE" w:eastAsia="zh-CN"/>
        </w:rPr>
        <w:t xml:space="preserve">nende suurele likviidsusele ja kasutamisele teatavates olukordades väärtuse vahetamise või edastamise vahendina. Neid artikleid võib muul viisil reguleerida tolliseaduste ja </w:t>
      </w:r>
      <w:r w:rsidR="00D032BE" w:rsidRPr="00D032BE">
        <w:rPr>
          <w:rFonts w:ascii="Cambria" w:eastAsia="Times New Roman" w:hAnsi="Cambria"/>
          <w:sz w:val="24"/>
          <w:szCs w:val="21"/>
          <w:lang w:val="et-EE" w:eastAsia="zh-CN"/>
        </w:rPr>
        <w:t>-</w:t>
      </w:r>
      <w:r w:rsidRPr="00E079EA">
        <w:rPr>
          <w:rFonts w:ascii="Cambria" w:eastAsia="Times New Roman" w:hAnsi="Cambria"/>
          <w:sz w:val="24"/>
          <w:szCs w:val="21"/>
          <w:lang w:val="et-EE" w:eastAsia="zh-CN"/>
        </w:rPr>
        <w:t xml:space="preserve">määrustega. Kui riik avastab kulla, väärismetallide või vääriskivide ebatavalise piiriülese liikumise, peaks ta kaaluma vajaduse korral sellest teatamist nende artiklite päritolu- või sihtriigi tolliametile või muudele pädevatele asutustele ning peaks tegema koostööd, et teha kindlaks selliste artiklite allikas, sihtkoht ja liikumise eesmärk ja </w:t>
      </w:r>
      <w:r w:rsidR="00D032BE" w:rsidRPr="00D032BE">
        <w:rPr>
          <w:rFonts w:ascii="Cambria" w:eastAsia="Times New Roman" w:hAnsi="Cambria"/>
          <w:sz w:val="24"/>
          <w:szCs w:val="21"/>
          <w:lang w:val="et-EE" w:eastAsia="zh-CN"/>
        </w:rPr>
        <w:t>rakendada</w:t>
      </w:r>
      <w:r w:rsidRPr="00E079EA">
        <w:rPr>
          <w:rFonts w:ascii="Cambria" w:eastAsia="Times New Roman" w:hAnsi="Cambria"/>
          <w:sz w:val="24"/>
          <w:szCs w:val="21"/>
          <w:lang w:val="et-EE" w:eastAsia="zh-CN"/>
        </w:rPr>
        <w:t xml:space="preserve"> asjakohaseid meetmeid.</w:t>
      </w:r>
    </w:p>
    <w:p w:rsidR="00D032BE" w:rsidRPr="00D032BE" w:rsidRDefault="00D032BE" w:rsidP="00D032BE">
      <w:pPr>
        <w:pStyle w:val="kehatekst"/>
        <w:ind w:left="0"/>
      </w:pPr>
    </w:p>
    <w:tbl>
      <w:tblPr>
        <w:tblW w:w="0" w:type="auto"/>
        <w:tblLook w:val="04A0" w:firstRow="1" w:lastRow="0" w:firstColumn="1" w:lastColumn="0" w:noHBand="0" w:noVBand="1"/>
      </w:tblPr>
      <w:tblGrid>
        <w:gridCol w:w="2801"/>
        <w:gridCol w:w="5778"/>
      </w:tblGrid>
      <w:tr w:rsidR="00D032BE" w:rsidRPr="00D032BE">
        <w:tc>
          <w:tcPr>
            <w:tcW w:w="8579" w:type="dxa"/>
            <w:gridSpan w:val="2"/>
          </w:tcPr>
          <w:p w:rsidR="00D032BE" w:rsidRPr="00D032BE" w:rsidRDefault="00D032BE" w:rsidP="009C0E75">
            <w:pPr>
              <w:pStyle w:val="kehatekst"/>
              <w:ind w:left="0"/>
              <w:jc w:val="left"/>
              <w:rPr>
                <w:rFonts w:asciiTheme="minorHAnsi" w:hAnsiTheme="minorHAnsi" w:cstheme="minorHAnsi"/>
                <w:b/>
              </w:rPr>
            </w:pPr>
            <w:r w:rsidRPr="00D032BE">
              <w:rPr>
                <w:rFonts w:asciiTheme="minorHAnsi" w:hAnsiTheme="minorHAnsi" w:cstheme="minorHAnsi"/>
                <w:b/>
                <w:color w:val="348093"/>
              </w:rPr>
              <w:t>Käesolevas soovituses kasutatakse järgmisi mõisteid:</w:t>
            </w:r>
          </w:p>
        </w:tc>
      </w:tr>
      <w:tr w:rsidR="00D07855" w:rsidRPr="00D032BE">
        <w:tc>
          <w:tcPr>
            <w:tcW w:w="2801" w:type="dxa"/>
          </w:tcPr>
          <w:p w:rsidR="00D07855" w:rsidRPr="00D032BE" w:rsidRDefault="00D07855" w:rsidP="009C0E75">
            <w:pPr>
              <w:pStyle w:val="kehatekst"/>
              <w:ind w:left="0"/>
              <w:jc w:val="left"/>
              <w:rPr>
                <w:rFonts w:asciiTheme="minorHAnsi" w:hAnsiTheme="minorHAnsi" w:cstheme="minorHAnsi"/>
                <w:b/>
                <w:color w:val="000000" w:themeColor="text1"/>
              </w:rPr>
            </w:pPr>
            <w:r w:rsidRPr="00D032BE">
              <w:rPr>
                <w:rFonts w:asciiTheme="minorHAnsi" w:hAnsiTheme="minorHAnsi" w:cstheme="minorHAnsi"/>
                <w:b/>
                <w:color w:val="000000" w:themeColor="text1"/>
              </w:rPr>
              <w:t>Andmete moonutamine</w:t>
            </w:r>
          </w:p>
        </w:tc>
        <w:tc>
          <w:tcPr>
            <w:tcW w:w="5778" w:type="dxa"/>
          </w:tcPr>
          <w:p w:rsidR="00D07855" w:rsidRPr="00D032BE" w:rsidRDefault="00D07855" w:rsidP="009C0E75">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transporditava valuuta või vabalt kaubeldavate esitaja</w:t>
            </w:r>
          </w:p>
          <w:p w:rsidR="00D07855" w:rsidRPr="00D032BE" w:rsidRDefault="00795025" w:rsidP="009C0E75">
            <w:pPr>
              <w:autoSpaceDE w:val="0"/>
              <w:autoSpaceDN w:val="0"/>
              <w:adjustRightInd w:val="0"/>
              <w:rPr>
                <w:rFonts w:asciiTheme="majorHAnsi" w:hAnsiTheme="majorHAnsi"/>
                <w:sz w:val="24"/>
                <w:szCs w:val="24"/>
                <w:lang w:val="et-EE"/>
              </w:rPr>
            </w:pPr>
            <w:r>
              <w:rPr>
                <w:rFonts w:asciiTheme="majorHAnsi" w:hAnsiTheme="majorHAnsi"/>
                <w:sz w:val="24"/>
                <w:szCs w:val="24"/>
                <w:lang w:val="et-EE"/>
              </w:rPr>
              <w:t>väärtpaberite</w:t>
            </w:r>
            <w:r w:rsidR="00D07855" w:rsidRPr="00D032BE">
              <w:rPr>
                <w:rFonts w:asciiTheme="majorHAnsi" w:hAnsiTheme="majorHAnsi"/>
                <w:sz w:val="24"/>
                <w:szCs w:val="24"/>
                <w:lang w:val="et-EE"/>
              </w:rPr>
              <w:t xml:space="preserve"> väärtuse kohta valede andmete esitamine või muude ametiasutuste nõudel esitatavate andmete moonutamine. See hõlmab nõutud andmete esitamata jätmist.</w:t>
            </w:r>
          </w:p>
          <w:p w:rsidR="00D07855" w:rsidRPr="00D032BE" w:rsidRDefault="00D07855" w:rsidP="009C0E75">
            <w:pPr>
              <w:autoSpaceDE w:val="0"/>
              <w:autoSpaceDN w:val="0"/>
              <w:adjustRightInd w:val="0"/>
              <w:rPr>
                <w:lang w:val="et-EE"/>
              </w:rPr>
            </w:pPr>
          </w:p>
        </w:tc>
      </w:tr>
      <w:tr w:rsidR="00D07855" w:rsidRPr="003371E6">
        <w:tc>
          <w:tcPr>
            <w:tcW w:w="2801" w:type="dxa"/>
          </w:tcPr>
          <w:p w:rsidR="00D07855" w:rsidRPr="00D032BE" w:rsidRDefault="00D07855" w:rsidP="009C0E75">
            <w:pPr>
              <w:pStyle w:val="kehatekst"/>
              <w:ind w:left="0"/>
              <w:jc w:val="left"/>
              <w:rPr>
                <w:rFonts w:asciiTheme="minorHAnsi" w:hAnsiTheme="minorHAnsi" w:cstheme="minorHAnsi"/>
                <w:b/>
                <w:color w:val="000000" w:themeColor="text1"/>
              </w:rPr>
            </w:pPr>
            <w:r w:rsidRPr="00D032BE">
              <w:rPr>
                <w:rFonts w:asciiTheme="minorHAnsi" w:hAnsiTheme="minorHAnsi" w:cstheme="minorHAnsi"/>
                <w:b/>
                <w:color w:val="000000" w:themeColor="text1"/>
              </w:rPr>
              <w:t>Füüsiline piiriülene vedu</w:t>
            </w:r>
          </w:p>
        </w:tc>
        <w:tc>
          <w:tcPr>
            <w:tcW w:w="5778" w:type="dxa"/>
          </w:tcPr>
          <w:p w:rsidR="00D07855" w:rsidRPr="00D032BE" w:rsidRDefault="00D07855" w:rsidP="009C0E75">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mis tahes valuuta või vabalt kaubeldavate esitaja</w:t>
            </w:r>
          </w:p>
          <w:p w:rsidR="00D07855" w:rsidRPr="00D032BE" w:rsidRDefault="00795025" w:rsidP="009C0E75">
            <w:pPr>
              <w:autoSpaceDE w:val="0"/>
              <w:autoSpaceDN w:val="0"/>
              <w:adjustRightInd w:val="0"/>
              <w:rPr>
                <w:rFonts w:asciiTheme="majorHAnsi" w:hAnsiTheme="majorHAnsi"/>
                <w:sz w:val="24"/>
                <w:szCs w:val="24"/>
                <w:lang w:val="et-EE"/>
              </w:rPr>
            </w:pPr>
            <w:r>
              <w:rPr>
                <w:rFonts w:asciiTheme="majorHAnsi" w:hAnsiTheme="majorHAnsi"/>
                <w:sz w:val="24"/>
                <w:szCs w:val="24"/>
                <w:lang w:val="et-EE"/>
              </w:rPr>
              <w:t>väärtpaberite</w:t>
            </w:r>
            <w:r w:rsidR="00D07855" w:rsidRPr="00D032BE">
              <w:rPr>
                <w:rFonts w:asciiTheme="majorHAnsi" w:hAnsiTheme="majorHAnsi"/>
                <w:sz w:val="24"/>
                <w:szCs w:val="24"/>
                <w:lang w:val="et-EE"/>
              </w:rPr>
              <w:t xml:space="preserve"> sissetulev või väljaminev füüsiline vedu ühest riigist teise. See mõiste hõlmab järgmisi transpordiliike: 1) füüsilise isiku teostatud või selle isikuga kaasasolevas pagasis või sõidukis toimunud füüsiline vedu, 2) valuuta või vabalt kaubeldavate esitaja </w:t>
            </w:r>
            <w:r>
              <w:rPr>
                <w:rFonts w:asciiTheme="majorHAnsi" w:hAnsiTheme="majorHAnsi"/>
                <w:sz w:val="24"/>
                <w:szCs w:val="24"/>
                <w:lang w:val="et-EE"/>
              </w:rPr>
              <w:t>väärtpaberite</w:t>
            </w:r>
            <w:r w:rsidR="00D07855" w:rsidRPr="00D032BE">
              <w:rPr>
                <w:rFonts w:asciiTheme="majorHAnsi" w:hAnsiTheme="majorHAnsi"/>
                <w:sz w:val="24"/>
                <w:szCs w:val="24"/>
                <w:lang w:val="et-EE"/>
              </w:rPr>
              <w:t xml:space="preserve"> konteinervedu või 3) valuuta või vabalt kaubeldavate esitaja </w:t>
            </w:r>
            <w:r>
              <w:rPr>
                <w:rFonts w:asciiTheme="majorHAnsi" w:hAnsiTheme="majorHAnsi"/>
                <w:sz w:val="24"/>
                <w:szCs w:val="24"/>
                <w:lang w:val="et-EE"/>
              </w:rPr>
              <w:t>väärtpaberite</w:t>
            </w:r>
            <w:r w:rsidR="00D07855" w:rsidRPr="00D032BE">
              <w:rPr>
                <w:rFonts w:asciiTheme="majorHAnsi" w:hAnsiTheme="majorHAnsi"/>
                <w:sz w:val="24"/>
                <w:szCs w:val="24"/>
                <w:lang w:val="et-EE"/>
              </w:rPr>
              <w:t xml:space="preserve"> saatmine posti teel füüsilise või juriidilise isiku poolt.</w:t>
            </w:r>
          </w:p>
          <w:p w:rsidR="00D07855" w:rsidRPr="00D032BE" w:rsidRDefault="00D07855" w:rsidP="009C0E75">
            <w:pPr>
              <w:autoSpaceDE w:val="0"/>
              <w:autoSpaceDN w:val="0"/>
              <w:adjustRightInd w:val="0"/>
              <w:rPr>
                <w:lang w:val="et-EE"/>
              </w:rPr>
            </w:pPr>
          </w:p>
        </w:tc>
      </w:tr>
      <w:tr w:rsidR="00D07855" w:rsidRPr="003371E6">
        <w:tc>
          <w:tcPr>
            <w:tcW w:w="2801" w:type="dxa"/>
          </w:tcPr>
          <w:p w:rsidR="00D07855" w:rsidRPr="00D032BE" w:rsidRDefault="00D07855" w:rsidP="009C0E75">
            <w:pPr>
              <w:pStyle w:val="kehatekst"/>
              <w:ind w:left="0"/>
              <w:jc w:val="left"/>
              <w:rPr>
                <w:rFonts w:asciiTheme="minorHAnsi" w:hAnsiTheme="minorHAnsi" w:cstheme="minorHAnsi"/>
                <w:b/>
                <w:color w:val="000000" w:themeColor="text1"/>
              </w:rPr>
            </w:pPr>
            <w:r w:rsidRPr="00D032BE">
              <w:rPr>
                <w:rFonts w:asciiTheme="minorHAnsi" w:hAnsiTheme="minorHAnsi" w:cstheme="minorHAnsi"/>
                <w:b/>
                <w:color w:val="000000" w:themeColor="text1"/>
              </w:rPr>
              <w:t>Seotud terrorismi rahastamise või rahapesuga</w:t>
            </w:r>
          </w:p>
        </w:tc>
        <w:tc>
          <w:tcPr>
            <w:tcW w:w="5778" w:type="dxa"/>
          </w:tcPr>
          <w:p w:rsidR="00D07855" w:rsidRPr="00D032BE" w:rsidRDefault="00D07855" w:rsidP="00795025">
            <w:pPr>
              <w:autoSpaceDE w:val="0"/>
              <w:autoSpaceDN w:val="0"/>
              <w:adjustRightInd w:val="0"/>
              <w:rPr>
                <w:lang w:val="et-EE"/>
              </w:rPr>
            </w:pPr>
            <w:r w:rsidRPr="00D032BE">
              <w:rPr>
                <w:rFonts w:asciiTheme="majorHAnsi" w:hAnsiTheme="majorHAnsi"/>
                <w:sz w:val="24"/>
                <w:szCs w:val="24"/>
                <w:lang w:val="et-EE"/>
              </w:rPr>
              <w:t xml:space="preserve">kui seda väljendit kasutatakse valuuta või vabalt kaubeldavate esitaja </w:t>
            </w:r>
            <w:r w:rsidR="00795025">
              <w:rPr>
                <w:rFonts w:asciiTheme="majorHAnsi" w:hAnsiTheme="majorHAnsi"/>
                <w:sz w:val="24"/>
                <w:szCs w:val="24"/>
                <w:lang w:val="et-EE"/>
              </w:rPr>
              <w:t>väärtpaberite</w:t>
            </w:r>
            <w:r w:rsidRPr="00D032BE">
              <w:rPr>
                <w:rFonts w:asciiTheme="majorHAnsi" w:hAnsiTheme="majorHAnsi"/>
                <w:sz w:val="24"/>
                <w:szCs w:val="24"/>
                <w:lang w:val="et-EE"/>
              </w:rPr>
              <w:t xml:space="preserve"> kirjeldamiseks, viidatakse sellega valuutale või vabalt kaubeldavatele esitaja </w:t>
            </w:r>
            <w:r w:rsidR="00795025">
              <w:rPr>
                <w:rFonts w:asciiTheme="majorHAnsi" w:hAnsiTheme="majorHAnsi"/>
                <w:sz w:val="24"/>
                <w:szCs w:val="24"/>
                <w:lang w:val="et-EE"/>
              </w:rPr>
              <w:t>väärtpaberitele</w:t>
            </w:r>
            <w:r w:rsidRPr="00D032BE">
              <w:rPr>
                <w:rFonts w:asciiTheme="majorHAnsi" w:hAnsiTheme="majorHAnsi"/>
                <w:sz w:val="24"/>
                <w:szCs w:val="24"/>
                <w:lang w:val="et-EE"/>
              </w:rPr>
              <w:t xml:space="preserve">, i) mis on saadud terrorismi, terrorikuritegude või terroristlike ühenduste rahastamisest või mida on kasutatud või mis on eraldatud kasutamiseks terrorismi, terrorikuritegude või terroristlike ühenduste rahastamiseks või </w:t>
            </w:r>
            <w:proofErr w:type="spellStart"/>
            <w:r w:rsidRPr="00D032BE">
              <w:rPr>
                <w:rFonts w:asciiTheme="majorHAnsi" w:hAnsiTheme="majorHAnsi"/>
                <w:sz w:val="24"/>
                <w:szCs w:val="24"/>
                <w:lang w:val="et-EE"/>
              </w:rPr>
              <w:t>ii</w:t>
            </w:r>
            <w:proofErr w:type="spellEnd"/>
            <w:r w:rsidRPr="00D032BE">
              <w:rPr>
                <w:rFonts w:asciiTheme="majorHAnsi" w:hAnsiTheme="majorHAnsi"/>
                <w:sz w:val="24"/>
                <w:szCs w:val="24"/>
                <w:lang w:val="et-EE"/>
              </w:rPr>
              <w:t>) mida on pestud või mis on rahapesust või eelkuritegudest saadud tulu või mis on kavandatud selliste kuritegude toimepanekuks.</w:t>
            </w:r>
          </w:p>
        </w:tc>
      </w:tr>
      <w:tr w:rsidR="00D032BE" w:rsidRPr="00D032BE">
        <w:tc>
          <w:tcPr>
            <w:tcW w:w="2801" w:type="dxa"/>
          </w:tcPr>
          <w:p w:rsidR="00D032BE" w:rsidRPr="00D032BE" w:rsidRDefault="00D032BE" w:rsidP="009C0E75">
            <w:pPr>
              <w:pStyle w:val="kehatekst"/>
              <w:ind w:left="0"/>
              <w:jc w:val="left"/>
              <w:rPr>
                <w:rFonts w:asciiTheme="minorHAnsi" w:hAnsiTheme="minorHAnsi" w:cstheme="minorHAnsi"/>
                <w:b/>
                <w:color w:val="000000" w:themeColor="text1"/>
              </w:rPr>
            </w:pPr>
            <w:r w:rsidRPr="00D032BE">
              <w:rPr>
                <w:rFonts w:asciiTheme="minorHAnsi" w:hAnsiTheme="minorHAnsi" w:cstheme="minorHAnsi"/>
                <w:b/>
                <w:color w:val="000000" w:themeColor="text1"/>
              </w:rPr>
              <w:t>Valesti deklareerimine</w:t>
            </w:r>
          </w:p>
        </w:tc>
        <w:tc>
          <w:tcPr>
            <w:tcW w:w="5778" w:type="dxa"/>
          </w:tcPr>
          <w:p w:rsidR="00D032BE" w:rsidRPr="00D032BE" w:rsidRDefault="00D032BE" w:rsidP="009C0E75">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transporditava valuuta või vabalt kaubeldavate esitaja</w:t>
            </w:r>
          </w:p>
          <w:p w:rsidR="00D032BE" w:rsidRPr="00D032BE" w:rsidRDefault="00795025" w:rsidP="009C0E75">
            <w:pPr>
              <w:autoSpaceDE w:val="0"/>
              <w:autoSpaceDN w:val="0"/>
              <w:adjustRightInd w:val="0"/>
              <w:rPr>
                <w:lang w:val="et-EE"/>
              </w:rPr>
            </w:pPr>
            <w:r>
              <w:rPr>
                <w:rFonts w:asciiTheme="majorHAnsi" w:hAnsiTheme="majorHAnsi"/>
                <w:sz w:val="24"/>
                <w:szCs w:val="24"/>
                <w:lang w:val="et-EE"/>
              </w:rPr>
              <w:t>väärtpaberi</w:t>
            </w:r>
            <w:r w:rsidR="00D032BE" w:rsidRPr="00D032BE">
              <w:rPr>
                <w:rFonts w:asciiTheme="majorHAnsi" w:hAnsiTheme="majorHAnsi"/>
                <w:sz w:val="24"/>
                <w:szCs w:val="24"/>
                <w:lang w:val="et-EE"/>
              </w:rPr>
              <w:t xml:space="preserve"> väärtuse kohta deklaratsioonis valede andmete esitamine või muude ametiasutuste nõudel deklareeritavate andmete moonutamine. See hõlmab </w:t>
            </w:r>
            <w:r w:rsidR="00D032BE" w:rsidRPr="00D032BE">
              <w:rPr>
                <w:rFonts w:asciiTheme="majorHAnsi" w:hAnsiTheme="majorHAnsi"/>
                <w:sz w:val="24"/>
                <w:szCs w:val="24"/>
                <w:lang w:val="et-EE"/>
              </w:rPr>
              <w:lastRenderedPageBreak/>
              <w:t>nõutud deklaratsiooni esitamata jätmist.</w:t>
            </w:r>
          </w:p>
          <w:p w:rsidR="00D032BE" w:rsidRPr="00D032BE" w:rsidRDefault="00D032BE" w:rsidP="009C0E75">
            <w:pPr>
              <w:autoSpaceDE w:val="0"/>
              <w:autoSpaceDN w:val="0"/>
              <w:adjustRightInd w:val="0"/>
              <w:rPr>
                <w:lang w:val="et-EE"/>
              </w:rPr>
            </w:pPr>
          </w:p>
        </w:tc>
      </w:tr>
    </w:tbl>
    <w:p w:rsidR="00D032BE" w:rsidRPr="00D032BE" w:rsidRDefault="00D032BE" w:rsidP="00D032BE">
      <w:pPr>
        <w:pStyle w:val="kehatekst"/>
      </w:pP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2"/>
      </w:pPr>
      <w:r w:rsidRPr="00D032BE">
        <w:lastRenderedPageBreak/>
        <w:t>SOOVITUSE</w:t>
      </w:r>
      <w:r w:rsidR="00847867">
        <w:t xml:space="preserve"> </w:t>
      </w:r>
      <w:r w:rsidRPr="00D032BE">
        <w:t>38 TÕLGENDAV MÄRKUS</w:t>
      </w:r>
    </w:p>
    <w:p w:rsidR="00D032BE" w:rsidRPr="00D032BE" w:rsidRDefault="00D032BE" w:rsidP="00D032BE">
      <w:pPr>
        <w:pStyle w:val="Pealkiri2"/>
      </w:pPr>
      <w:r w:rsidRPr="00D032BE">
        <w:t>(VASTASTIKUNE ÕIGUSABI: BLOKEERIMINE JA KONFISKEERIMINE)</w:t>
      </w:r>
    </w:p>
    <w:p w:rsidR="00D032BE" w:rsidRPr="00D032BE" w:rsidRDefault="00D032BE" w:rsidP="00D032BE">
      <w:pPr>
        <w:autoSpaceDE w:val="0"/>
        <w:autoSpaceDN w:val="0"/>
        <w:adjustRightInd w:val="0"/>
        <w:ind w:left="709" w:hanging="709"/>
        <w:rPr>
          <w:rFonts w:asciiTheme="majorHAnsi" w:hAnsiTheme="majorHAnsi"/>
          <w:sz w:val="24"/>
          <w:szCs w:val="24"/>
          <w:lang w:val="et-EE"/>
        </w:rPr>
      </w:pPr>
      <w:r w:rsidRPr="00D032BE">
        <w:rPr>
          <w:rFonts w:asciiTheme="majorHAnsi" w:hAnsiTheme="majorHAnsi"/>
          <w:sz w:val="24"/>
          <w:szCs w:val="24"/>
          <w:lang w:val="et-EE"/>
        </w:rPr>
        <w:t xml:space="preserve">1. </w:t>
      </w:r>
      <w:r w:rsidRPr="00D032BE">
        <w:rPr>
          <w:rFonts w:asciiTheme="majorHAnsi" w:hAnsiTheme="majorHAnsi"/>
          <w:sz w:val="24"/>
          <w:szCs w:val="24"/>
          <w:lang w:val="et-EE"/>
        </w:rPr>
        <w:tab/>
        <w:t>Riigid peaksid kaaluma konfiskeeritud vara fondi loomist, millesse paigutatakse konfiskeeritud vara või osa sellest, et seda edaspidi kasutada õiguskaitse, tervishoiu, hariduse või muul kohasel otstarbel. Riigid peaksid rakendama meetmeid, mis on vajalikud konfiskeeritud vara jagamiseks teiste riikidega, eelkõige kui vara konfiskeeritakse otseselt või kaudselt koordineeritud õiguskaitseoperatsioonide tulemusel.</w:t>
      </w:r>
    </w:p>
    <w:p w:rsidR="00D032BE" w:rsidRPr="00D032BE" w:rsidRDefault="00D032BE" w:rsidP="00D032BE">
      <w:pPr>
        <w:autoSpaceDE w:val="0"/>
        <w:autoSpaceDN w:val="0"/>
        <w:adjustRightInd w:val="0"/>
        <w:spacing w:line="240" w:lineRule="auto"/>
        <w:rPr>
          <w:lang w:val="et-EE"/>
        </w:rPr>
      </w:pPr>
    </w:p>
    <w:p w:rsidR="00D032BE" w:rsidRPr="00D032BE" w:rsidRDefault="00D032BE" w:rsidP="00D032BE">
      <w:pPr>
        <w:pStyle w:val="Kehatekstloend"/>
      </w:pPr>
      <w:r w:rsidRPr="00D032BE">
        <w:t xml:space="preserve">2. </w:t>
      </w:r>
      <w:r w:rsidRPr="00D032BE">
        <w:tab/>
        <w:t>Seoses ilma süüdimõistva kohtuotsuseta konfiskeerimise menetluse alusel esitatud koostöötaotlustega ei pea riikidel olema volitused kõikidele sellistele taotlustele vastamiseks, ent neil peaks olema võimalik seda teha, vähemalt olukordades, kus kuriteo toimepanija ei ole surma, põgenemise või eemalviibimise tõttu kättesaadav või kuriteo toimepanija on teadmata.</w:t>
      </w:r>
    </w:p>
    <w:p w:rsidR="00D032BE" w:rsidRPr="00D032BE" w:rsidRDefault="00D032BE" w:rsidP="00D032BE">
      <w:pPr>
        <w:rPr>
          <w:rFonts w:asciiTheme="majorHAnsi" w:hAnsiTheme="majorHAnsi"/>
          <w:sz w:val="21"/>
          <w:szCs w:val="21"/>
          <w:lang w:val="et-EE"/>
        </w:rPr>
      </w:pPr>
      <w:r w:rsidRPr="00D032BE">
        <w:rPr>
          <w:lang w:val="et-EE"/>
        </w:rPr>
        <w:br w:type="page"/>
      </w:r>
    </w:p>
    <w:p w:rsidR="002D4AC1" w:rsidRDefault="00D032BE" w:rsidP="00D032BE">
      <w:pPr>
        <w:pStyle w:val="Pealkiri2"/>
      </w:pPr>
      <w:r w:rsidRPr="00D032BE">
        <w:lastRenderedPageBreak/>
        <w:t>SOOVITUSE</w:t>
      </w:r>
      <w:r w:rsidR="00847867">
        <w:t xml:space="preserve"> </w:t>
      </w:r>
      <w:r w:rsidR="002D4AC1">
        <w:t>40 TÕLGENDAV MÄRKUS</w:t>
      </w:r>
    </w:p>
    <w:p w:rsidR="00D032BE" w:rsidRPr="00D032BE" w:rsidRDefault="00D032BE" w:rsidP="00D032BE">
      <w:pPr>
        <w:pStyle w:val="Pealkiri2"/>
      </w:pPr>
      <w:r w:rsidRPr="00D032BE">
        <w:t>(MUUD RAHVUSVAHELISE KOOSTÖÖ VORMID)</w:t>
      </w:r>
    </w:p>
    <w:p w:rsidR="00D032BE" w:rsidRPr="00D032BE" w:rsidRDefault="00D032BE" w:rsidP="00D032BE">
      <w:pPr>
        <w:pStyle w:val="A-pealkiri"/>
      </w:pPr>
      <w:r w:rsidRPr="00D032BE">
        <w:t xml:space="preserve">A. </w:t>
      </w:r>
      <w:r w:rsidRPr="00D032BE">
        <w:tab/>
        <w:t>KÕIKIDE RAHVUSVAHELISE KOOSTÖÖ VORMIDE SUHTES KOHALDATAVAD PÕHIMÕTTED</w:t>
      </w:r>
    </w:p>
    <w:p w:rsidR="00D032BE" w:rsidRPr="00D032BE" w:rsidRDefault="00D032BE" w:rsidP="00D032BE">
      <w:pPr>
        <w:pStyle w:val="A-pealkiri"/>
      </w:pPr>
      <w:r w:rsidRPr="00D032BE">
        <w:t>Taotlevate asutuste kohustused</w:t>
      </w:r>
    </w:p>
    <w:p w:rsidR="00D032BE" w:rsidRPr="00D032BE" w:rsidRDefault="00D032BE" w:rsidP="00D032BE">
      <w:pPr>
        <w:pStyle w:val="Kehatekstloend"/>
      </w:pPr>
      <w:r w:rsidRPr="00D032BE">
        <w:t xml:space="preserve">1. </w:t>
      </w:r>
      <w:r w:rsidRPr="00D032BE">
        <w:tab/>
        <w:t>Koostöötaotluste esitamisel peaksid pädevad asutused rakendama oma parimaid jõupingutusi, et esitada täielikud faktilised ja vajaduse korral õiguslikud andmed, märkides ära vajaduse kiirustada, et võimaldada taotluse õigeaegset ja tõhusat täitmist ning ka taotletava teabe ettenähtud kasutamist. Nõudmise korral peaksid taotlevad pädevad asutused andma taotluse saanud pädevale asutusele tagasisidet saadud teabe kasutamise ja kasulikkuse kohta.</w:t>
      </w:r>
    </w:p>
    <w:p w:rsidR="00D032BE" w:rsidRPr="00D032BE" w:rsidRDefault="00D032BE" w:rsidP="00D032BE">
      <w:pPr>
        <w:pStyle w:val="Pealkiri4"/>
      </w:pPr>
      <w:r w:rsidRPr="00D032BE">
        <w:t>Põhjendamatult piiravad meetmed</w:t>
      </w:r>
    </w:p>
    <w:p w:rsidR="00D032BE" w:rsidRPr="00D032BE" w:rsidRDefault="00D032BE" w:rsidP="00D032BE">
      <w:pPr>
        <w:pStyle w:val="Kehatekstloend"/>
      </w:pPr>
      <w:r w:rsidRPr="00D032BE">
        <w:t xml:space="preserve">2. </w:t>
      </w:r>
      <w:r w:rsidRPr="00D032BE">
        <w:tab/>
        <w:t>Riigid ei tohiks kehtestada teabe vahetamisele või abi osutamisele keeldu või põhjendamatult piiravaid tingimusi. Eelkõige ei peaksid pädevad asutused keelduma abitaotluse täitmisest järgmistel alustel:</w:t>
      </w:r>
    </w:p>
    <w:p w:rsidR="00D032BE" w:rsidRPr="00D032BE" w:rsidRDefault="00D032BE" w:rsidP="00D032BE">
      <w:pPr>
        <w:pStyle w:val="a-thtloend"/>
      </w:pPr>
      <w:r w:rsidRPr="00D032BE">
        <w:t xml:space="preserve">a) </w:t>
      </w:r>
      <w:r w:rsidRPr="00D032BE">
        <w:tab/>
        <w:t>taotlus puudutab arvatavalt ka maksuküsimusi; ja/või</w:t>
      </w:r>
    </w:p>
    <w:p w:rsidR="00D032BE" w:rsidRPr="00D032BE" w:rsidRDefault="00D032BE" w:rsidP="00D032BE">
      <w:pPr>
        <w:pStyle w:val="a-thtloend"/>
      </w:pPr>
      <w:r w:rsidRPr="00D032BE">
        <w:t xml:space="preserve">b) </w:t>
      </w:r>
      <w:r w:rsidRPr="00D032BE">
        <w:tab/>
        <w:t xml:space="preserve">seadused nõuavad </w:t>
      </w:r>
      <w:r w:rsidR="006043CB">
        <w:t>finantsasutus</w:t>
      </w:r>
      <w:r w:rsidRPr="00D032BE">
        <w:t>telt või mittefinantsteenuseid pakkuvatelt määratud ettevõtjatelt ja kutsetöötajatelt saladuse hoidmist või konfidentsiaalsust (v.a kui taotletava teabe kohta kehtib ametisaladuse nõue või millele kohaldatakse kutsesaladust); ja/või</w:t>
      </w:r>
    </w:p>
    <w:p w:rsidR="00D032BE" w:rsidRPr="00D032BE" w:rsidRDefault="00D032BE" w:rsidP="00D032BE">
      <w:pPr>
        <w:pStyle w:val="a-thtloend"/>
      </w:pPr>
      <w:r w:rsidRPr="00D032BE">
        <w:t xml:space="preserve">c) </w:t>
      </w:r>
      <w:r w:rsidRPr="00D032BE">
        <w:tab/>
        <w:t>taotluse saanud riigis toimub parajasti järelepärimine, juurdlus või menetlus, välja arvatud juhul, kui abi osutamine takistaks seda järelepärimist, juurdlust või menetlust; ja/või</w:t>
      </w:r>
    </w:p>
    <w:p w:rsidR="00D032BE" w:rsidRPr="00D032BE" w:rsidRDefault="00D032BE" w:rsidP="00D032BE">
      <w:pPr>
        <w:pStyle w:val="a-thtloend"/>
      </w:pPr>
      <w:r w:rsidRPr="00D032BE">
        <w:t xml:space="preserve">d) </w:t>
      </w:r>
      <w:r w:rsidRPr="00D032BE">
        <w:tab/>
        <w:t>taotluse esitanud ametiasutuse olemus või staatus (tsiviil-, haldus-, õiguskaitseasutus jne) erineb teise riigi samalaadse asutuse olemusest või staatusest.</w:t>
      </w:r>
    </w:p>
    <w:p w:rsidR="00D032BE" w:rsidRPr="00D032BE" w:rsidRDefault="00D032BE" w:rsidP="00D032BE">
      <w:pPr>
        <w:pStyle w:val="Pealkiri4"/>
      </w:pPr>
      <w:r w:rsidRPr="00D032BE">
        <w:t>Vahetatava teabe kaitse</w:t>
      </w:r>
    </w:p>
    <w:p w:rsidR="00D032BE" w:rsidRPr="00D032BE" w:rsidRDefault="00D032BE" w:rsidP="00D032BE">
      <w:pPr>
        <w:pStyle w:val="Kehatekstloend"/>
      </w:pPr>
      <w:r w:rsidRPr="00D032BE">
        <w:t xml:space="preserve">3. </w:t>
      </w:r>
      <w:r w:rsidRPr="00D032BE">
        <w:tab/>
        <w:t>Vahetatavat teavet tuleks kasutada ainult sellel otstarbel, milleks seda taotleti või anti. Teabe levitamiseks teistele asutustele või kolmandatele isikutele või selle teabe kasutamiseks algselt heakskiidetutest erinevatel haldus-, juurdlus-, prokuratuuri- või kohtueesmärkidel peaks olema nõutav taotluse saanud pädeva asutuse eelnev luba.</w:t>
      </w:r>
    </w:p>
    <w:p w:rsidR="00D032BE" w:rsidRPr="00D032BE" w:rsidRDefault="00D032BE" w:rsidP="00D032BE">
      <w:pPr>
        <w:pStyle w:val="Kehatekstloend"/>
      </w:pPr>
      <w:r w:rsidRPr="00D032BE">
        <w:t xml:space="preserve">4. </w:t>
      </w:r>
      <w:r w:rsidRPr="00D032BE">
        <w:tab/>
        <w:t>Pädevad asutused peaksid tagama mis tahes koostöötaotluse ja vahetatava teabe konfidentsiaalsuse, et kaitsta juurdluse või järelepärimise puutumatust</w:t>
      </w:r>
      <w:r w:rsidRPr="00D032BE">
        <w:rPr>
          <w:rStyle w:val="Allmrkuseviide"/>
        </w:rPr>
        <w:footnoteReference w:id="48"/>
      </w:r>
      <w:r w:rsidRPr="00D032BE">
        <w:t xml:space="preserve"> kooskõlas mõlema osalise privaatsus- ja andmekaitse kohustustega. Pädevad asutused peaksid kaitsma vahetatavat teavet vähemalt samal moel, nagu nad </w:t>
      </w:r>
      <w:r w:rsidRPr="00D032BE">
        <w:lastRenderedPageBreak/>
        <w:t>kaitseksid riigisisestest allikatest saadavat sarnast teavet. Riigid peaksid kehtestama kontroll- ja kaitsemehhanismid tagamaks, et pädevate asutuste vahetatavat teavet kasutatakse ainult lubatud viisil. Teabe vahetamine peaks toimuma turvaliselt, usaldusväärsete kanalite või mehhanismide kaudu. Taotluse saanud pädevad asutused võivad vajaduse korral keelduda teabe andmisest, kui taotluse esitanud pädev asutus ei suuda teavet tõhusalt kaitsta.</w:t>
      </w:r>
    </w:p>
    <w:p w:rsidR="00D032BE" w:rsidRPr="00D032BE" w:rsidRDefault="00D032BE" w:rsidP="00D032BE">
      <w:pPr>
        <w:pStyle w:val="Pealkiri4"/>
      </w:pPr>
      <w:r w:rsidRPr="00D032BE">
        <w:t>Teabe otsimise volitused</w:t>
      </w:r>
    </w:p>
    <w:p w:rsidR="00D032BE" w:rsidRPr="00D032BE" w:rsidRDefault="00D032BE" w:rsidP="00D032BE">
      <w:pPr>
        <w:pStyle w:val="Kehatekstloend"/>
      </w:pPr>
      <w:r w:rsidRPr="00D032BE">
        <w:t xml:space="preserve">5. </w:t>
      </w:r>
      <w:r w:rsidRPr="00D032BE">
        <w:tab/>
        <w:t>Pädevad asutused peaksid olema suutelised tegema välisriigi samalaadsete asutuste nimel järelepärimisi ja vahetama välisriigi samalaadsete asutustega kogu teavet, mis oleks neile kättesaadav siis, kui selliseid järelepärimisi tehtaks riigisiseselt.</w:t>
      </w:r>
    </w:p>
    <w:p w:rsidR="00D032BE" w:rsidRPr="00D032BE" w:rsidRDefault="00D032BE" w:rsidP="00D032BE">
      <w:pPr>
        <w:pStyle w:val="A-pealkiri"/>
      </w:pPr>
      <w:r w:rsidRPr="00D032BE">
        <w:t xml:space="preserve">B. </w:t>
      </w:r>
      <w:r w:rsidRPr="00D032BE">
        <w:tab/>
        <w:t>RAHVUSVAHELISE KOOSTÖÖ ERIVORMIDE SUHTES KOHALDATAVAD PÕHIMÕTTED</w:t>
      </w:r>
    </w:p>
    <w:p w:rsidR="00D032BE" w:rsidRPr="00D032BE" w:rsidRDefault="00D032BE" w:rsidP="00D032BE">
      <w:pPr>
        <w:pStyle w:val="Kehatekstloend"/>
      </w:pPr>
      <w:r w:rsidRPr="00D032BE">
        <w:t xml:space="preserve">6. </w:t>
      </w:r>
      <w:r w:rsidRPr="00D032BE">
        <w:tab/>
        <w:t>Eespool kirjeldatud üldised põhimõtted kehtivad samalaadsete ja mittesamalaadsete asutuste vahel teabe vahetamise kõikide vormide suhtes kooskõlas alljärgnevalt sätestatud tingimustega.</w:t>
      </w:r>
    </w:p>
    <w:p w:rsidR="00D032BE" w:rsidRPr="00D032BE" w:rsidRDefault="00D86A5F" w:rsidP="00D032BE">
      <w:pPr>
        <w:pStyle w:val="Pealkiri4"/>
      </w:pPr>
      <w:r>
        <w:t>Rahapesu andmebüroo</w:t>
      </w:r>
      <w:r w:rsidR="00D032BE" w:rsidRPr="00D032BE">
        <w:t>de vaheline teabevahetus</w:t>
      </w:r>
    </w:p>
    <w:p w:rsidR="00D032BE" w:rsidRPr="00D032BE" w:rsidRDefault="00D032BE" w:rsidP="00D032BE">
      <w:pPr>
        <w:pStyle w:val="Kehatekstloend"/>
      </w:pPr>
      <w:r w:rsidRPr="00D032BE">
        <w:t xml:space="preserve">7. </w:t>
      </w:r>
      <w:r w:rsidRPr="00D032BE">
        <w:tab/>
      </w:r>
      <w:r w:rsidR="00D86A5F">
        <w:t>Rahapesu andmebüroo</w:t>
      </w:r>
      <w:r w:rsidRPr="00D032BE">
        <w:t xml:space="preserve">d peaksid vahetama teavet teiste riikide </w:t>
      </w:r>
      <w:r w:rsidR="00D86A5F">
        <w:t>Rahapesu andmebüroo</w:t>
      </w:r>
      <w:r w:rsidRPr="00D032BE">
        <w:t xml:space="preserve">dega sõltumata nende staatusest (kas haldus-, õiguskaitse-, kohtu- või muu asutus). Selleks peaks </w:t>
      </w:r>
      <w:r w:rsidR="00D86A5F">
        <w:t>Rahapesu andmebüroo</w:t>
      </w:r>
      <w:r w:rsidRPr="00D032BE">
        <w:t xml:space="preserve">del olema piisav seaduslik alus </w:t>
      </w:r>
      <w:r w:rsidR="002A32CF">
        <w:t>rahapesu</w:t>
      </w:r>
      <w:r w:rsidRPr="00D032BE">
        <w:t>, eelkuritegude ja terrorismi rahastamise alase koostöö tegemiseks.</w:t>
      </w:r>
    </w:p>
    <w:p w:rsidR="00D032BE" w:rsidRPr="00D032BE" w:rsidRDefault="00D032BE" w:rsidP="00D032BE">
      <w:pPr>
        <w:pStyle w:val="Kehatekstloend"/>
      </w:pPr>
      <w:r w:rsidRPr="00D032BE">
        <w:t xml:space="preserve">8. </w:t>
      </w:r>
      <w:r w:rsidRPr="00D032BE">
        <w:tab/>
        <w:t xml:space="preserve">Koostöötaotluse esitamisel peaksid </w:t>
      </w:r>
      <w:r w:rsidR="00D86A5F">
        <w:t>Rahapesu andmebüroo</w:t>
      </w:r>
      <w:r w:rsidRPr="00D032BE">
        <w:t xml:space="preserve">d rakendama oma parimaid jõupingutusi, et esitada täielikud faktilised ja vajaduse korral ka õiguslikud andmed, sh analüüsitava juhtumi kirjeldus ja võimalik seos taotluse saanud riigiga. Nõudmise korral ja mil iganes võimalik, peaksid </w:t>
      </w:r>
      <w:r w:rsidR="00D86A5F">
        <w:t>Rahapesu andmebüroo</w:t>
      </w:r>
      <w:r w:rsidRPr="00D032BE">
        <w:t>d andma välisriigi samalaadsetele asutustele tagasisidet saadud teabe kasutamise ja selle teabe põhjal teostatud analüüsi tulemuste kohta.</w:t>
      </w:r>
    </w:p>
    <w:p w:rsidR="00D032BE" w:rsidRPr="00D032BE" w:rsidRDefault="00D032BE" w:rsidP="00D032BE">
      <w:pPr>
        <w:pStyle w:val="Kehatekstloend"/>
      </w:pPr>
      <w:r w:rsidRPr="00D032BE">
        <w:t xml:space="preserve">9. </w:t>
      </w:r>
      <w:r w:rsidRPr="00D032BE">
        <w:tab/>
      </w:r>
      <w:r w:rsidR="00D86A5F">
        <w:t>Rahapesu andmebüroo</w:t>
      </w:r>
      <w:r w:rsidRPr="00D032BE">
        <w:t>del peaksid olema volitused vahetada</w:t>
      </w:r>
    </w:p>
    <w:p w:rsidR="00D032BE" w:rsidRPr="00D032BE" w:rsidRDefault="00D032BE" w:rsidP="00D032BE">
      <w:pPr>
        <w:pStyle w:val="a-thtloend"/>
      </w:pPr>
      <w:r w:rsidRPr="00D032BE">
        <w:t xml:space="preserve">a) </w:t>
      </w:r>
      <w:r w:rsidRPr="00D032BE">
        <w:tab/>
        <w:t>kogu teavet, mis peab FATFi soovituste, eelkõige soovituse</w:t>
      </w:r>
      <w:r w:rsidR="00847867">
        <w:t xml:space="preserve"> </w:t>
      </w:r>
      <w:r w:rsidRPr="00D032BE">
        <w:t xml:space="preserve">29 kohaselt olema </w:t>
      </w:r>
      <w:r w:rsidR="00D86A5F">
        <w:t>Rahapesu andmebüroo</w:t>
      </w:r>
      <w:r w:rsidRPr="00D032BE">
        <w:t>le otseselt või kaudselt kättesaadav või juurdepääsetav; ja</w:t>
      </w:r>
    </w:p>
    <w:p w:rsidR="00D032BE" w:rsidRPr="00D032BE" w:rsidRDefault="00D032BE" w:rsidP="00D032BE">
      <w:pPr>
        <w:pStyle w:val="a-thtloend"/>
      </w:pPr>
      <w:r w:rsidRPr="00D032BE">
        <w:t xml:space="preserve">b) </w:t>
      </w:r>
      <w:r w:rsidRPr="00D032BE">
        <w:tab/>
        <w:t>mis tahes muud teavet, mida nad on riigisiseselt volitatud otseselt või kaudselt saama või millele nad on volitatud juurde pääsema kooskõlas vastastikkuse põhimõttega.</w:t>
      </w:r>
    </w:p>
    <w:p w:rsidR="00D032BE" w:rsidRPr="00D032BE" w:rsidRDefault="00D032BE" w:rsidP="00D032BE">
      <w:pPr>
        <w:pStyle w:val="Pealkiri4"/>
      </w:pPr>
      <w:r w:rsidRPr="00D032BE">
        <w:lastRenderedPageBreak/>
        <w:t>Finantsjärelevalveasutuste vaheline teabevahetus</w:t>
      </w:r>
      <w:r w:rsidRPr="00D032BE">
        <w:rPr>
          <w:rStyle w:val="Allmrkuseviide"/>
        </w:rPr>
        <w:footnoteReference w:id="49"/>
      </w:r>
    </w:p>
    <w:p w:rsidR="00D032BE" w:rsidRPr="00D032BE" w:rsidRDefault="00D032BE" w:rsidP="00D032BE">
      <w:pPr>
        <w:pStyle w:val="Kehatekstloend"/>
      </w:pPr>
      <w:r w:rsidRPr="00D032BE">
        <w:t xml:space="preserve">10. </w:t>
      </w:r>
      <w:r w:rsidRPr="00D032BE">
        <w:tab/>
        <w:t xml:space="preserve">Finantsjärelevalveasutused peaksid tegema teiste riikide samalaadsete asutustega koostööd sõltumata nende olemusest või staatusest. Finantsjärelevalveasutuste vahelise tõhusa koostöö eesmärk on aidata kaasa </w:t>
      </w:r>
      <w:r w:rsidR="006043CB">
        <w:t>finantsasutus</w:t>
      </w:r>
      <w:r w:rsidRPr="00D032BE">
        <w:t xml:space="preserve">te tulemusliku </w:t>
      </w:r>
      <w:r w:rsidR="002A32CF">
        <w:t>rahapesu</w:t>
      </w:r>
      <w:r w:rsidRPr="00D032BE">
        <w:t xml:space="preserve"> ja terrorismi rahastamise </w:t>
      </w:r>
      <w:r w:rsidR="002A32CF">
        <w:t>tõkestamise</w:t>
      </w:r>
      <w:r w:rsidRPr="00D032BE">
        <w:t xml:space="preserve"> järelevalve teostamisele. Selleks peaks finantsjärelevalveasutustel olema piisav õiguslik alus koostöö tegemiseks kooskõlas kehtivate rahvusvaheliste järelevalvestandarditega, eelkõige rahapesu ja terrorismi rahastamise tõkestamisega seotud või selle raames asjakohase järelevalvealase teabe vahetamise osas.</w:t>
      </w:r>
    </w:p>
    <w:p w:rsidR="00D032BE" w:rsidRPr="00D032BE" w:rsidRDefault="00D032BE" w:rsidP="00D032BE">
      <w:pPr>
        <w:pStyle w:val="Kehatekstloend"/>
      </w:pPr>
      <w:r w:rsidRPr="00D032BE">
        <w:t xml:space="preserve">11. </w:t>
      </w:r>
      <w:r w:rsidRPr="00D032BE">
        <w:tab/>
        <w:t xml:space="preserve">Finantsjärelevalveasutused peaksid olema suutelised vahetama teiste riikide samalaadsete asutustega neile riigisiseselt kättesaadavat teavet, sh </w:t>
      </w:r>
      <w:r w:rsidR="006043CB">
        <w:t>finantsasutus</w:t>
      </w:r>
      <w:r w:rsidRPr="00D032BE">
        <w:t xml:space="preserve">te valduses olevat teavet proportsionaalselt nende asjaomaste vajadustega. Finantsjärelevalveasutused peaksid olema suutelised vahetama </w:t>
      </w:r>
      <w:r w:rsidR="002A32CF">
        <w:t>rahapesu</w:t>
      </w:r>
      <w:r w:rsidRPr="00D032BE">
        <w:t xml:space="preserve"> ja terrorismi rahastamise tõkestamisega seoses järgmist liiki teavet eelkõige teiste asjakohaste järelevalveasutustega, mis kannavad jagatud vastutust samas kontsernis tegutsevate </w:t>
      </w:r>
      <w:r w:rsidR="006043CB">
        <w:t>finantsasutus</w:t>
      </w:r>
      <w:r w:rsidRPr="00D032BE">
        <w:t>te eest:</w:t>
      </w:r>
    </w:p>
    <w:p w:rsidR="00D032BE" w:rsidRPr="00D032BE" w:rsidRDefault="00D032BE" w:rsidP="00D032BE">
      <w:pPr>
        <w:pStyle w:val="a-thtloend"/>
      </w:pPr>
      <w:r w:rsidRPr="00D032BE">
        <w:t xml:space="preserve">a) </w:t>
      </w:r>
      <w:r w:rsidRPr="00D032BE">
        <w:tab/>
        <w:t>regulatiivalane teave, nt teave siseriikliku regulatiivsüsteemi kohta ja üldine teave finantssektorite kohta;</w:t>
      </w:r>
    </w:p>
    <w:p w:rsidR="00D032BE" w:rsidRPr="00D032BE" w:rsidRDefault="00D032BE" w:rsidP="00D032BE">
      <w:pPr>
        <w:pStyle w:val="a-thtloend"/>
      </w:pPr>
      <w:r w:rsidRPr="00D032BE">
        <w:t xml:space="preserve">b) </w:t>
      </w:r>
      <w:r w:rsidRPr="00D032BE">
        <w:tab/>
        <w:t xml:space="preserve">usaldatavusnõuetega seotud teave, eelkõige põhiprintsiipe kohaldavate järelevalveasutuste puhul, nt teave </w:t>
      </w:r>
      <w:r w:rsidR="006043CB">
        <w:t>finantsasutus</w:t>
      </w:r>
      <w:r w:rsidRPr="00D032BE">
        <w:t>e äritegevuse ja tegelike kasusaajate ning sobivuse ja nõuetelevastavuse kohta;</w:t>
      </w:r>
    </w:p>
    <w:p w:rsidR="00D032BE" w:rsidRPr="00D032BE" w:rsidRDefault="00D032BE" w:rsidP="00D032BE">
      <w:pPr>
        <w:pStyle w:val="a-thtloend"/>
      </w:pPr>
      <w:r w:rsidRPr="00D032BE">
        <w:t xml:space="preserve">c) </w:t>
      </w:r>
      <w:r w:rsidRPr="00D032BE">
        <w:tab/>
        <w:t xml:space="preserve">rahapesu ja terrorismi rahastamisega seotud teave, nt </w:t>
      </w:r>
      <w:r w:rsidR="006043CB">
        <w:t>finantsasutus</w:t>
      </w:r>
      <w:r w:rsidRPr="00D032BE">
        <w:t xml:space="preserve">te </w:t>
      </w:r>
      <w:r w:rsidR="002A32CF">
        <w:t>rahapesu</w:t>
      </w:r>
      <w:r w:rsidRPr="00D032BE">
        <w:t xml:space="preserve"> ja terrorismi rahastamise </w:t>
      </w:r>
      <w:r w:rsidR="002A32CF">
        <w:t>tõkestamise</w:t>
      </w:r>
      <w:r w:rsidRPr="00D032BE">
        <w:t xml:space="preserve"> sisekorraeeskirjad ja tegevusjuhised, klientide hoolsusmeetmete rakendamise käigus kogutav teave, klientide andmed, kontode näidised ja tehingutega seotud teave.</w:t>
      </w:r>
    </w:p>
    <w:p w:rsidR="00D032BE" w:rsidRPr="00D032BE" w:rsidRDefault="00D032BE" w:rsidP="00D032BE">
      <w:pPr>
        <w:pStyle w:val="Kehatekstloend"/>
      </w:pPr>
      <w:r w:rsidRPr="00D032BE">
        <w:t xml:space="preserve">12. </w:t>
      </w:r>
      <w:r w:rsidRPr="00D032BE">
        <w:tab/>
        <w:t>Finantsjärelevalveasutused peaksid olema suutelised tegema teiste riikide samalaadsete asutuste nimel järelepärimisi ja vajaduse korral andma teiste riikide samalaadsetele asutustele loa või võimaluse riigis ise järelepärimiste tegemiseks, et tagada kontserni tõhus järelevalve.</w:t>
      </w:r>
    </w:p>
    <w:p w:rsidR="00D032BE" w:rsidRPr="00D032BE" w:rsidRDefault="00D032BE" w:rsidP="00D032BE">
      <w:pPr>
        <w:pStyle w:val="Kehatekstloend"/>
      </w:pPr>
      <w:r w:rsidRPr="00D032BE">
        <w:t xml:space="preserve">13. </w:t>
      </w:r>
      <w:r w:rsidRPr="00D032BE">
        <w:tab/>
        <w:t xml:space="preserve">Vahetatud teabe levitamiseks või kasutamiseks järelevalve- või muudel eesmärkidel peaks olema nõutav taotluse saanud finantsjärelevalve eelnev luba, välja arvatud juhul, kui taotluse esitanud finantsjärelevalveasutusel on seaduslik kohustus see teave avalikustada või edastada. Sellistel juhtudel peaks taotluse esitanud finantsjärelevalveasutus taotluse saanud finantsjärelevalveasutust sellisest kohustusest vähemalt teavitama. Eelnev luba hõlmab vastastikuse mõistmise memorandumi või mitmepoolse mõistmise memorandumi raames kindlaksmääratud ja aluspõhimõtete normide kehtestaja väljastatud eelnevat </w:t>
      </w:r>
      <w:r w:rsidRPr="00D032BE">
        <w:lastRenderedPageBreak/>
        <w:t>luba, mis kehtib vastastikuse mõistmise memorandumi või mitmepoolse mõistmise memorandumi alusel vahetatava teabe kohta.</w:t>
      </w:r>
    </w:p>
    <w:p w:rsidR="00D032BE" w:rsidRPr="00D032BE" w:rsidRDefault="00D032BE" w:rsidP="00D032BE">
      <w:pPr>
        <w:pStyle w:val="Pealkiri4"/>
      </w:pPr>
      <w:r w:rsidRPr="00D032BE">
        <w:t>Õiguskaitseasutuste vaheline teabevahetus</w:t>
      </w:r>
    </w:p>
    <w:p w:rsidR="00D032BE" w:rsidRPr="00D032BE" w:rsidRDefault="00D032BE" w:rsidP="00D032BE">
      <w:pPr>
        <w:pStyle w:val="Kehatekstloend"/>
      </w:pPr>
      <w:r w:rsidRPr="00D032BE">
        <w:t xml:space="preserve">14. </w:t>
      </w:r>
      <w:r w:rsidRPr="00D032BE">
        <w:tab/>
        <w:t>Õiguskaitseasutused peaksid olema suutelised vahetama teiste riikide samalaadsete asutustega riigisiseselt kättesaadavat teavet rahapesu, eelkuritegude või terrorismi rahastamisega seotud luure- või uurimiseesmärgil, sh kuritegeliku tulu ja kuritegude toimepanemise vahendite väljaselgitamise ja jälgimise eesmärgil.</w:t>
      </w:r>
    </w:p>
    <w:p w:rsidR="00D032BE" w:rsidRPr="00D032BE" w:rsidRDefault="00D032BE" w:rsidP="00D032BE">
      <w:pPr>
        <w:pStyle w:val="Kehatekstloend"/>
      </w:pPr>
      <w:r w:rsidRPr="00D032BE">
        <w:t xml:space="preserve">15. </w:t>
      </w:r>
      <w:r w:rsidRPr="00D032BE">
        <w:tab/>
        <w:t xml:space="preserve">Samuti peaks õiguskaitseasutustel olema võimalik kasutada oma volitusi, k.a siseriikliku õiguse kohaselt olemasolevaid uurimismeetodeid teiste riikide samalaadsete asutuste nimel järelepärimiste tegemiseks ja teabe hankimiseks. Sellist õiguskaitsealast koostööd reguleerivad režiimid või tavad, nagu näiteks Interpoli, </w:t>
      </w:r>
      <w:proofErr w:type="spellStart"/>
      <w:r w:rsidRPr="00D032BE">
        <w:t>Europoli</w:t>
      </w:r>
      <w:proofErr w:type="spellEnd"/>
      <w:r w:rsidRPr="00D032BE">
        <w:t xml:space="preserve"> või </w:t>
      </w:r>
      <w:proofErr w:type="spellStart"/>
      <w:r w:rsidRPr="00D032BE">
        <w:t>Eurojusti</w:t>
      </w:r>
      <w:proofErr w:type="spellEnd"/>
      <w:r w:rsidRPr="00D032BE">
        <w:t xml:space="preserve"> ja konkreetsete riikide vahelised kokkulepped, peaksid reguleerima ka taotluse saanud õiguskaitseasutuse kehtestatud kasutuspiiranguid.</w:t>
      </w:r>
    </w:p>
    <w:p w:rsidR="00D032BE" w:rsidRPr="00D032BE" w:rsidRDefault="00D032BE" w:rsidP="00D032BE">
      <w:pPr>
        <w:pStyle w:val="Kehatekstloend"/>
      </w:pPr>
      <w:r w:rsidRPr="00D032BE">
        <w:t xml:space="preserve">16. </w:t>
      </w:r>
      <w:r w:rsidRPr="00D032BE">
        <w:tab/>
        <w:t xml:space="preserve">Õiguskaitseasutustel peaks olema võimalik moodustada juurdluste teostamiseks ühiseid uurimisrühmi ning vajaduse korral peaksid riigid sõlmima kahe- või mitmepoolseid kokkuleppeid selliste ühisjuurdluste võimaldamiseks. Riikidel soovitatakse õigeaegse ja tõhusa koostöö soodustamiseks liituda olemasolevate </w:t>
      </w:r>
      <w:r w:rsidR="002A32CF">
        <w:t>rahapesu</w:t>
      </w:r>
      <w:r w:rsidRPr="00D032BE">
        <w:t xml:space="preserve"> ja terrorismi rahastamise </w:t>
      </w:r>
      <w:r w:rsidR="00A35E9F">
        <w:t>tõkestamise</w:t>
      </w:r>
      <w:r w:rsidRPr="00D032BE">
        <w:t xml:space="preserve"> võrgustikega ja neid toetada ning luua kahepoolsed sidemed teiste riikide õiguskaitseasutustega, sh lähetama teistesse riikidesse kontaktametnikud.</w:t>
      </w:r>
    </w:p>
    <w:p w:rsidR="00D032BE" w:rsidRPr="00D032BE" w:rsidRDefault="00D032BE" w:rsidP="00D032BE">
      <w:pPr>
        <w:pStyle w:val="Pealkiri4"/>
      </w:pPr>
      <w:r w:rsidRPr="00D032BE">
        <w:t>Mittesamalaadsete asutuste vaheline teabevahetus</w:t>
      </w:r>
    </w:p>
    <w:p w:rsidR="00D032BE" w:rsidRPr="00D032BE" w:rsidRDefault="00D032BE" w:rsidP="00D032BE">
      <w:pPr>
        <w:pStyle w:val="Kehatekstloend"/>
      </w:pPr>
      <w:r w:rsidRPr="00D032BE">
        <w:t xml:space="preserve">17. </w:t>
      </w:r>
      <w:r w:rsidRPr="00D032BE">
        <w:tab/>
        <w:t>Riigid peaksid lubama oma pädevatel asutustel eespool kirjeldatud asjakohaseid põhimõtteid rakendades vahetada kaudselt teavet mittesamalaadsete asutustega. Kaudne teabevahetus tähendab taotletava teabe liikumist taotluse saanud asutuselt ühe või mitme riigisisese või välisriigi asutuse kaudu enne teabe jõudmist taotluse esitanud asutuseni. Selliseks teabevahetuseks ja selle teabe kasutamiseks võib olla nõutav taotluse saanud riigi ühe või enama pädeva asutuse luba. Teavet taotlev pädev asutus peaks alati selgelt väljendama, mis eesmärgil ja kelle nimel taotlus esitatakse.</w:t>
      </w:r>
    </w:p>
    <w:p w:rsidR="00D032BE" w:rsidRPr="00D032BE" w:rsidRDefault="00D032BE" w:rsidP="00D032BE">
      <w:pPr>
        <w:pStyle w:val="Kehatekstloend"/>
      </w:pPr>
      <w:r w:rsidRPr="00D032BE">
        <w:t xml:space="preserve">18. </w:t>
      </w:r>
      <w:r w:rsidRPr="00D032BE">
        <w:tab/>
        <w:t>Riikidel soovitatakse lubada ka kiiret ja konstruktiivset teabevahetust otse mittesamalaadsete asutustega.</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6043CB" w:rsidP="00D032BE">
      <w:pPr>
        <w:pStyle w:val="Pealkiri1"/>
      </w:pPr>
      <w:bookmarkStart w:id="11" w:name="_Toc338857795"/>
      <w:bookmarkStart w:id="12" w:name="_Ref338857996"/>
      <w:r>
        <w:lastRenderedPageBreak/>
        <w:t>FINANTSASUTUS</w:t>
      </w:r>
      <w:r w:rsidR="00D032BE" w:rsidRPr="00D032BE">
        <w:t>TELE JA MITTEFINANTSTEENUSEID PAKKUVATELE MÄÄRATUD ETTEVÕTJATELE JA KUTSETÖÖTAJATELE KEHTESTATUD NÕUETE ÕIGUSLIK ALUS</w:t>
      </w:r>
      <w:bookmarkEnd w:id="11"/>
      <w:bookmarkEnd w:id="12"/>
    </w:p>
    <w:p w:rsidR="00D032BE" w:rsidRPr="00D032BE" w:rsidRDefault="00D032BE" w:rsidP="00D032BE">
      <w:pPr>
        <w:pStyle w:val="Kehatekstloend"/>
      </w:pPr>
      <w:r w:rsidRPr="00D032BE">
        <w:t xml:space="preserve">1. </w:t>
      </w:r>
      <w:r w:rsidRPr="00D032BE">
        <w:tab/>
        <w:t xml:space="preserve">Kõik </w:t>
      </w:r>
      <w:r w:rsidR="006043CB">
        <w:t>finantsasutus</w:t>
      </w:r>
      <w:r w:rsidRPr="00D032BE">
        <w:t>tele või mittefinantsteenuseid pakkuvatele määratud ettevõtjatele ja kutsetöötajatele kehtestatud nõuded tuleks sätestada kas a) seadusega (vt selles osas soovituste</w:t>
      </w:r>
      <w:r w:rsidR="00847867">
        <w:t xml:space="preserve"> </w:t>
      </w:r>
      <w:r w:rsidRPr="00D032BE">
        <w:t>10, 11 ja 20 erinõudeid) või b) kõikidel teistel juhtudel seadusega või täitmisele pööratavate vahenditega (riigi omal äranägemisel).</w:t>
      </w:r>
    </w:p>
    <w:p w:rsidR="00D032BE" w:rsidRPr="00D032BE" w:rsidRDefault="00D032BE" w:rsidP="00D032BE">
      <w:pPr>
        <w:pStyle w:val="Kehatekstloend"/>
      </w:pPr>
      <w:r w:rsidRPr="00D032BE">
        <w:t xml:space="preserve">2. </w:t>
      </w:r>
      <w:r w:rsidRPr="00D032BE">
        <w:tab/>
        <w:t>Soovitustes</w:t>
      </w:r>
      <w:r w:rsidR="00847867">
        <w:t xml:space="preserve"> </w:t>
      </w:r>
      <w:r w:rsidRPr="00D032BE">
        <w:t>10, 11 ja 20 tähendab „</w:t>
      </w:r>
      <w:r w:rsidR="00B86CDE" w:rsidRPr="00E079EA">
        <w:rPr>
          <w:i/>
        </w:rPr>
        <w:t>seadus</w:t>
      </w:r>
      <w:r w:rsidRPr="00D032BE">
        <w:t>” mis tahes õigusakte, mis on välja antud või vastu võetud parlamentaarse protsessi käigus või muul võrdväärsel moel, mis on ette nähtud riigi põhiseadusliku raamistiku kohaselt ning millega kehtestatakse kohustuslikud nõuded ja karistused nende mittetäitmise eest. Nõuete mittetäitmise eest rakendatavad karistused peaksid olema tõhusad, proportsionaalsed ja hoiatavad (vt soovitust</w:t>
      </w:r>
      <w:r w:rsidR="00847867">
        <w:t xml:space="preserve"> </w:t>
      </w:r>
      <w:r w:rsidRPr="00D032BE">
        <w:t>35). Seaduse kontseptsioon hõlmab ka asjaomaseid nõudeid kehtestavaid kohtuotsuseid, mis on riigi kõikides osades siduvad ja ametlikud.</w:t>
      </w:r>
    </w:p>
    <w:p w:rsidR="00D032BE" w:rsidRPr="00D032BE" w:rsidRDefault="00D032BE" w:rsidP="00D032BE">
      <w:pPr>
        <w:pStyle w:val="Kehatekstloend"/>
      </w:pPr>
      <w:r w:rsidRPr="00D032BE">
        <w:t xml:space="preserve">3. </w:t>
      </w:r>
      <w:r w:rsidRPr="00D032BE">
        <w:tab/>
        <w:t>Mõiste „</w:t>
      </w:r>
      <w:r w:rsidR="00B86CDE" w:rsidRPr="00E079EA">
        <w:rPr>
          <w:i/>
        </w:rPr>
        <w:t>täitmisele pööratavad vahendid</w:t>
      </w:r>
      <w:r w:rsidRPr="00D032BE">
        <w:t xml:space="preserve">” tähendab pädevate asutuste välja antud või vastu võetud eeskirju, suuniseid, juhiseid või muid dokumente või mehhanisme, milles sätestatakse jõustatavad </w:t>
      </w:r>
      <w:r w:rsidR="002A32CF">
        <w:t>rahapesu</w:t>
      </w:r>
      <w:r w:rsidRPr="00D032BE">
        <w:t xml:space="preserve"> ja terrorismi rahastamise </w:t>
      </w:r>
      <w:r w:rsidR="002A32CF">
        <w:t>tõkestamise</w:t>
      </w:r>
      <w:r w:rsidRPr="00D032BE">
        <w:t xml:space="preserve"> kohustuslikud nõuded ja karistused nende mittetäitmise eest. Nõuete mittetäitmise eest rakendatavad karistused peaksid olema tõhusad, proportsionaalsed ja hoiatavad (vt soovitust</w:t>
      </w:r>
      <w:r w:rsidR="00847867">
        <w:t xml:space="preserve"> </w:t>
      </w:r>
      <w:r w:rsidRPr="00D032BE">
        <w:t>35).</w:t>
      </w:r>
    </w:p>
    <w:p w:rsidR="00D032BE" w:rsidRPr="00D032BE" w:rsidRDefault="00D032BE" w:rsidP="00D032BE">
      <w:pPr>
        <w:pStyle w:val="Kehatekstloend"/>
      </w:pPr>
      <w:r w:rsidRPr="00D032BE">
        <w:t xml:space="preserve">4. </w:t>
      </w:r>
      <w:r w:rsidRPr="00D032BE">
        <w:tab/>
        <w:t>Kaaludes, kas mingi dokument või mehhanism sisaldab nõudeid, mis kujutavad endast täitmisele pööratavaid vahendeid, tuleks arvesse võtta järgmisi tegureid:</w:t>
      </w:r>
    </w:p>
    <w:p w:rsidR="00D032BE" w:rsidRPr="00D032BE" w:rsidRDefault="00D032BE" w:rsidP="00D032BE">
      <w:pPr>
        <w:pStyle w:val="a-thtloend"/>
      </w:pPr>
      <w:r w:rsidRPr="00D032BE">
        <w:t xml:space="preserve">a) </w:t>
      </w:r>
      <w:r w:rsidRPr="00D032BE">
        <w:tab/>
        <w:t>peab olema kehtestatud dokument või mehhanism, milles sätestatakse või kinnitatakse FATFi soovitustes käsitletud probleemide lahendamisele suunatud selgelt väljendatud nõuded, mida sellistena ka mõistetakse. Näiteks:</w:t>
      </w:r>
    </w:p>
    <w:p w:rsidR="00D032BE" w:rsidRPr="00D032BE" w:rsidRDefault="00D032BE" w:rsidP="00D032BE">
      <w:pPr>
        <w:pStyle w:val="i-thtloeng"/>
      </w:pPr>
      <w:r w:rsidRPr="00D032BE">
        <w:t xml:space="preserve">i) </w:t>
      </w:r>
      <w:r w:rsidRPr="00D032BE">
        <w:tab/>
        <w:t>kui konkreetsete meetmete puhul kasutatakse sõna „peab” või „tuleb”, tuleks seda lugeda kohustuslikuks;</w:t>
      </w:r>
    </w:p>
    <w:p w:rsidR="00D032BE" w:rsidRPr="00D032BE" w:rsidRDefault="00D032BE" w:rsidP="00D032BE">
      <w:pPr>
        <w:pStyle w:val="i-thtloeng"/>
      </w:pPr>
      <w:proofErr w:type="spellStart"/>
      <w:r w:rsidRPr="00D032BE">
        <w:t>ii</w:t>
      </w:r>
      <w:proofErr w:type="spellEnd"/>
      <w:r w:rsidRPr="00D032BE">
        <w:t xml:space="preserve">) </w:t>
      </w:r>
      <w:r w:rsidRPr="00D032BE">
        <w:tab/>
        <w:t>kui kasutatakse sõna „peaks”, võib see olla kohustuslik, kui nii reguleerija kui ka reguleeritud asutused tõendavad, et meetmed on otseselt või kaudselt nõutavad ja neid rakendatakse; väljendeid „ärgitatakse”, „soovitatakse” või „asutused peaksid kaaluma” ei mõisteta tõenäoliselt kohustuslikuna. Igal juhul eeldatakse nõrgemate väljendite kasutamise korral, et nõuded ei ole kohustuslikud (v.a kui riik suudab tõendada vastupidist).</w:t>
      </w:r>
    </w:p>
    <w:p w:rsidR="00D032BE" w:rsidRPr="00D032BE" w:rsidRDefault="00D032BE" w:rsidP="00D032BE">
      <w:pPr>
        <w:pStyle w:val="a-thtloend"/>
      </w:pPr>
      <w:r w:rsidRPr="00D032BE">
        <w:lastRenderedPageBreak/>
        <w:t xml:space="preserve">b) </w:t>
      </w:r>
      <w:r w:rsidRPr="00D032BE">
        <w:tab/>
        <w:t>dokumendi/mehhanismi peab olema välja andnud või vastu võtnud pädev asutus;</w:t>
      </w:r>
    </w:p>
    <w:p w:rsidR="00D032BE" w:rsidRPr="00D032BE" w:rsidRDefault="00D032BE" w:rsidP="00D032BE">
      <w:pPr>
        <w:pStyle w:val="a-thtloend"/>
      </w:pPr>
      <w:r w:rsidRPr="00D032BE">
        <w:t xml:space="preserve">c) </w:t>
      </w:r>
      <w:r w:rsidRPr="00D032BE">
        <w:tab/>
        <w:t>nõuete mittetäitmise eest peavad olema kehtestatud karistused (</w:t>
      </w:r>
      <w:proofErr w:type="spellStart"/>
      <w:r w:rsidRPr="00D032BE">
        <w:t>karistused</w:t>
      </w:r>
      <w:proofErr w:type="spellEnd"/>
      <w:r w:rsidRPr="00D032BE">
        <w:t xml:space="preserve"> ei pruugi olla samas dokumendis, millega sätestatakse või kinnitatakse nõuded, vaid mõnes muus dokumendis, tingimusel et nõude ja rakendatavate karistuste vahel on selged seosed), mis peaksid olema tõhusad, proportsionaalsed ja hoiatavad. Sealjuures tuleks arvesse võtta järgmisi küsimusi:</w:t>
      </w:r>
    </w:p>
    <w:p w:rsidR="00D032BE" w:rsidRPr="00D032BE" w:rsidRDefault="00D032BE" w:rsidP="00D032BE">
      <w:pPr>
        <w:pStyle w:val="i-thtloeng"/>
      </w:pPr>
      <w:r w:rsidRPr="00D032BE">
        <w:t xml:space="preserve">i) </w:t>
      </w:r>
      <w:r w:rsidRPr="00D032BE">
        <w:tab/>
        <w:t>kehtestatud peaks olema piisav valik tõhusaid, proportsionaalseid ja hoiatavaid karistusi, mida saab rakendada, kui isikud oma kohustusi ei täida;</w:t>
      </w:r>
    </w:p>
    <w:p w:rsidR="00D032BE" w:rsidRPr="00D032BE" w:rsidRDefault="00D032BE" w:rsidP="00D032BE">
      <w:pPr>
        <w:pStyle w:val="i-thtloeng"/>
      </w:pPr>
      <w:proofErr w:type="spellStart"/>
      <w:r w:rsidRPr="00D032BE">
        <w:t>ii</w:t>
      </w:r>
      <w:proofErr w:type="spellEnd"/>
      <w:r w:rsidRPr="00D032BE">
        <w:t xml:space="preserve">) </w:t>
      </w:r>
      <w:r w:rsidRPr="00D032BE">
        <w:tab/>
        <w:t xml:space="preserve">karistused peaksid olema otseselt või kaudselt rakendatavad </w:t>
      </w:r>
      <w:r w:rsidR="002A32CF">
        <w:t>rahapesu</w:t>
      </w:r>
      <w:r w:rsidRPr="00D032BE">
        <w:t xml:space="preserve"> või terrorismi rahastamise </w:t>
      </w:r>
      <w:r w:rsidR="00A35E9F">
        <w:t>tõkestamise</w:t>
      </w:r>
      <w:r w:rsidRPr="00D032BE">
        <w:t xml:space="preserve"> nõuete mittetäitmise eest. Kui </w:t>
      </w:r>
      <w:r w:rsidR="002A32CF">
        <w:t>rahapesu</w:t>
      </w:r>
      <w:r w:rsidRPr="00D032BE">
        <w:t xml:space="preserve"> või terrorismi rahastamise </w:t>
      </w:r>
      <w:r w:rsidR="002A32CF">
        <w:t>tõkestamise</w:t>
      </w:r>
      <w:r w:rsidRPr="00D032BE">
        <w:t xml:space="preserve"> nõudega ei ole otseselt seotud ühtegi karistust, on rahuldav kasutada karistusi laiemate nõuete rikkumise eest, nagu näiteks nõuetekohaste süsteemide ja kontrollmehhanismide puudumine või mitte tegutsemine turvalisel ja nõuetekohasel moel, tingimusel et piisavaid karistusi on võimalik rakendada (ja on vajaduse korral rakendatud) vähemalt ühe või mitme </w:t>
      </w:r>
      <w:r w:rsidR="002A32CF">
        <w:t>rahapesu</w:t>
      </w:r>
      <w:r w:rsidRPr="00D032BE">
        <w:t xml:space="preserve"> või terrorismi rahastamise </w:t>
      </w:r>
      <w:r w:rsidR="002A32CF">
        <w:t>tõkestamise</w:t>
      </w:r>
      <w:r w:rsidRPr="00D032BE">
        <w:t xml:space="preserve"> nõude mittetäitmise eest, ilma, et oleks vaja tõendada rahapesu ja terrorismi rahastamisega mitteseotud täiendavaid usaldusnõuete rikkumisi; ja</w:t>
      </w:r>
    </w:p>
    <w:p w:rsidR="00D032BE" w:rsidRPr="00D032BE" w:rsidRDefault="00D032BE" w:rsidP="00D032BE">
      <w:pPr>
        <w:pStyle w:val="i-thtloeng"/>
      </w:pPr>
      <w:proofErr w:type="spellStart"/>
      <w:r w:rsidRPr="00D032BE">
        <w:t>iii</w:t>
      </w:r>
      <w:proofErr w:type="spellEnd"/>
      <w:r w:rsidRPr="00D032BE">
        <w:t xml:space="preserve">) </w:t>
      </w:r>
      <w:r w:rsidRPr="00D032BE">
        <w:tab/>
        <w:t>kas on olemas rahuldavad tõendid selle kohta, et praktikas rakendatakse tõhusaid, proportsionaalseid ja hoiatavaid karistusi.</w:t>
      </w:r>
    </w:p>
    <w:p w:rsidR="00D032BE" w:rsidRPr="00D032BE" w:rsidRDefault="00D032BE" w:rsidP="00D032BE">
      <w:pPr>
        <w:pStyle w:val="Kehatekstloend"/>
      </w:pPr>
      <w:r w:rsidRPr="00D032BE">
        <w:t xml:space="preserve">5. </w:t>
      </w:r>
      <w:r w:rsidRPr="00D032BE">
        <w:tab/>
        <w:t xml:space="preserve">Kõikidel juhtudel peaks olema selge, et </w:t>
      </w:r>
      <w:r w:rsidR="006043CB">
        <w:t>finantsasutus</w:t>
      </w:r>
      <w:r w:rsidRPr="00D032BE">
        <w:t>ed ja mittefinantsteenuseid pakkuvad määratud ettevõtjad ja kutsetöötajad mõistavad, et nõuete mittetäitmise eest rakendatakse karistusi, ja seda, milles need karistused seisnevad.</w:t>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1"/>
        <w:jc w:val="center"/>
      </w:pPr>
      <w:bookmarkStart w:id="13" w:name="_Ref342311395"/>
      <w:r w:rsidRPr="00D032BE">
        <w:lastRenderedPageBreak/>
        <w:t>SÕNASELETUSED</w:t>
      </w:r>
      <w:bookmarkEnd w:id="13"/>
    </w:p>
    <w:tbl>
      <w:tblPr>
        <w:tblpPr w:leftFromText="180" w:rightFromText="180" w:vertAnchor="text" w:tblpXSpec="right" w:tblpY="1"/>
        <w:tblOverlap w:val="never"/>
        <w:tblW w:w="9180" w:type="dxa"/>
        <w:tblLook w:val="04A0" w:firstRow="1" w:lastRow="0" w:firstColumn="1" w:lastColumn="0" w:noHBand="0" w:noVBand="1"/>
      </w:tblPr>
      <w:tblGrid>
        <w:gridCol w:w="2803"/>
        <w:gridCol w:w="31"/>
        <w:gridCol w:w="6346"/>
      </w:tblGrid>
      <w:tr w:rsidR="00D032BE" w:rsidRPr="00D032BE">
        <w:trPr>
          <w:tblHeader/>
        </w:trPr>
        <w:tc>
          <w:tcPr>
            <w:tcW w:w="2834" w:type="dxa"/>
            <w:gridSpan w:val="2"/>
          </w:tcPr>
          <w:p w:rsidR="00D032BE" w:rsidRPr="00D032BE" w:rsidRDefault="00D032BE" w:rsidP="00D032BE">
            <w:pPr>
              <w:pStyle w:val="kehatekst"/>
              <w:ind w:left="0"/>
              <w:jc w:val="left"/>
              <w:rPr>
                <w:rFonts w:asciiTheme="minorHAnsi" w:hAnsiTheme="minorHAnsi" w:cstheme="minorHAnsi"/>
                <w:b/>
                <w:color w:val="348093"/>
              </w:rPr>
            </w:pPr>
            <w:r w:rsidRPr="00D032BE">
              <w:rPr>
                <w:rFonts w:asciiTheme="minorHAnsi" w:hAnsiTheme="minorHAnsi" w:cstheme="minorHAnsi"/>
                <w:b/>
                <w:color w:val="348093"/>
              </w:rPr>
              <w:t xml:space="preserve">Mõiste </w:t>
            </w:r>
          </w:p>
        </w:tc>
        <w:tc>
          <w:tcPr>
            <w:tcW w:w="6346" w:type="dxa"/>
          </w:tcPr>
          <w:p w:rsidR="00D032BE" w:rsidRPr="00D032BE" w:rsidRDefault="00D032BE" w:rsidP="00D032BE">
            <w:pPr>
              <w:pStyle w:val="kehatekst"/>
              <w:ind w:left="0"/>
              <w:jc w:val="left"/>
              <w:rPr>
                <w:rFonts w:asciiTheme="minorHAnsi" w:hAnsiTheme="minorHAnsi" w:cstheme="minorHAnsi"/>
                <w:b/>
                <w:color w:val="348093"/>
              </w:rPr>
            </w:pPr>
            <w:r w:rsidRPr="00D032BE">
              <w:rPr>
                <w:rFonts w:asciiTheme="minorHAnsi" w:hAnsiTheme="minorHAnsi" w:cstheme="minorHAnsi"/>
                <w:b/>
                <w:color w:val="348093"/>
              </w:rPr>
              <w:t>Seletus</w:t>
            </w:r>
          </w:p>
        </w:tc>
      </w:tr>
      <w:tr w:rsidR="00D032BE" w:rsidRPr="003371E6">
        <w:tc>
          <w:tcPr>
            <w:tcW w:w="2803" w:type="dxa"/>
          </w:tcPr>
          <w:p w:rsidR="00D032BE" w:rsidRPr="00D032BE" w:rsidRDefault="00D032BE" w:rsidP="00D032BE">
            <w:pPr>
              <w:pStyle w:val="kehatekst"/>
              <w:ind w:left="0"/>
              <w:jc w:val="left"/>
              <w:rPr>
                <w:rFonts w:asciiTheme="minorHAnsi" w:hAnsiTheme="minorHAnsi" w:cstheme="minorHAnsi"/>
                <w:b/>
              </w:rPr>
            </w:pPr>
            <w:r w:rsidRPr="00D032BE">
              <w:rPr>
                <w:rFonts w:asciiTheme="minorHAnsi" w:hAnsiTheme="minorHAnsi" w:cstheme="minorHAnsi"/>
                <w:b/>
              </w:rPr>
              <w:t xml:space="preserve">Agent </w:t>
            </w:r>
          </w:p>
        </w:tc>
        <w:tc>
          <w:tcPr>
            <w:tcW w:w="6377" w:type="dxa"/>
            <w:gridSpan w:val="2"/>
          </w:tcPr>
          <w:p w:rsidR="00D032BE" w:rsidRPr="00D032BE" w:rsidRDefault="00D032BE" w:rsidP="004F64DC">
            <w:pPr>
              <w:pStyle w:val="kehatekst"/>
              <w:ind w:left="0"/>
              <w:jc w:val="left"/>
            </w:pPr>
            <w:r w:rsidRPr="00D032BE">
              <w:t>Soovituste</w:t>
            </w:r>
            <w:r w:rsidR="00847867">
              <w:t xml:space="preserve"> </w:t>
            </w:r>
            <w:r w:rsidRPr="00D032BE">
              <w:t>14 ja 16 kontekstis tähendab agent mis tahes füüsilist või juriidilist isikut, kes osutab raha või</w:t>
            </w:r>
            <w:r w:rsidR="00847867">
              <w:t xml:space="preserve"> </w:t>
            </w:r>
            <w:r w:rsidR="004F64DC" w:rsidRPr="004F64DC">
              <w:t>alternatiivse</w:t>
            </w:r>
            <w:r w:rsidR="00847867">
              <w:t xml:space="preserve"> </w:t>
            </w:r>
            <w:r w:rsidR="004F64DC" w:rsidRPr="004F64DC">
              <w:t>maksevahendi</w:t>
            </w:r>
            <w:r w:rsidR="00847867">
              <w:t xml:space="preserve"> </w:t>
            </w:r>
            <w:r w:rsidRPr="00D032BE">
              <w:t>ülekandeteenuste pakkuja nimel raha või</w:t>
            </w:r>
            <w:r w:rsidR="00847867">
              <w:t xml:space="preserve"> </w:t>
            </w:r>
            <w:r w:rsidR="004F64DC" w:rsidRPr="004F64DC">
              <w:t>alternatiivse</w:t>
            </w:r>
            <w:r w:rsidR="00847867">
              <w:t xml:space="preserve"> </w:t>
            </w:r>
            <w:r w:rsidR="004F64DC" w:rsidRPr="004F64DC">
              <w:t>maksevahendi</w:t>
            </w:r>
            <w:r w:rsidR="00847867">
              <w:t xml:space="preserve"> </w:t>
            </w:r>
            <w:r w:rsidRPr="00D032BE">
              <w:t>ülekandeteenuseid ka</w:t>
            </w:r>
            <w:r w:rsidR="004F64DC">
              <w:t xml:space="preserve">s lepingu alusel või raha või </w:t>
            </w:r>
            <w:r w:rsidR="004F64DC" w:rsidRPr="004F64DC">
              <w:t>alternatiivse</w:t>
            </w:r>
            <w:r w:rsidR="00847867">
              <w:t xml:space="preserve"> </w:t>
            </w:r>
            <w:r w:rsidR="004F64DC" w:rsidRPr="004F64DC">
              <w:t>maksevahendi</w:t>
            </w:r>
            <w:r w:rsidR="00847867">
              <w:t xml:space="preserve"> </w:t>
            </w:r>
            <w:r w:rsidRPr="00D032BE">
              <w:t>ülekandeteenuste osutaja otsesel juhendusel.</w:t>
            </w:r>
          </w:p>
        </w:tc>
      </w:tr>
    </w:tbl>
    <w:tbl>
      <w:tblPr>
        <w:tblW w:w="9180" w:type="dxa"/>
        <w:tblLook w:val="04A0" w:firstRow="1" w:lastRow="0" w:firstColumn="1" w:lastColumn="0" w:noHBand="0" w:noVBand="1"/>
      </w:tblPr>
      <w:tblGrid>
        <w:gridCol w:w="2803"/>
        <w:gridCol w:w="6377"/>
      </w:tblGrid>
      <w:tr w:rsidR="002109CD" w:rsidRPr="00D032BE">
        <w:tc>
          <w:tcPr>
            <w:tcW w:w="2803" w:type="dxa"/>
          </w:tcPr>
          <w:p w:rsidR="002109CD" w:rsidRPr="00D032BE" w:rsidRDefault="002109CD" w:rsidP="002109CD">
            <w:pPr>
              <w:pStyle w:val="kehatekst"/>
              <w:ind w:left="0"/>
              <w:jc w:val="left"/>
              <w:rPr>
                <w:rFonts w:asciiTheme="minorHAnsi" w:hAnsiTheme="minorHAnsi" w:cstheme="minorHAnsi"/>
                <w:b/>
              </w:rPr>
            </w:pPr>
            <w:r w:rsidRPr="00D032BE">
              <w:rPr>
                <w:rFonts w:asciiTheme="minorHAnsi" w:hAnsiTheme="minorHAnsi" w:cstheme="minorHAnsi"/>
                <w:b/>
              </w:rPr>
              <w:t xml:space="preserve">Andmete moonutamine </w:t>
            </w:r>
          </w:p>
        </w:tc>
        <w:tc>
          <w:tcPr>
            <w:tcW w:w="6377" w:type="dxa"/>
          </w:tcPr>
          <w:p w:rsidR="002109CD" w:rsidRPr="00D032BE" w:rsidRDefault="002109CD" w:rsidP="002109CD">
            <w:pPr>
              <w:pStyle w:val="kehatekst"/>
              <w:ind w:left="0"/>
              <w:jc w:val="left"/>
            </w:pPr>
            <w:r w:rsidRPr="00D032BE">
              <w:t>Vt soovituse</w:t>
            </w:r>
            <w:r w:rsidR="00847867">
              <w:t xml:space="preserve"> </w:t>
            </w:r>
            <w:r w:rsidRPr="00D032BE">
              <w:t>32 tõlgendavat märkust.</w:t>
            </w:r>
          </w:p>
        </w:tc>
      </w:tr>
    </w:tbl>
    <w:tbl>
      <w:tblPr>
        <w:tblpPr w:leftFromText="180" w:rightFromText="180" w:vertAnchor="text" w:tblpXSpec="right" w:tblpY="1"/>
        <w:tblOverlap w:val="never"/>
        <w:tblW w:w="9180" w:type="dxa"/>
        <w:tblLook w:val="04A0" w:firstRow="1" w:lastRow="0" w:firstColumn="1" w:lastColumn="0" w:noHBand="0" w:noVBand="1"/>
      </w:tblPr>
      <w:tblGrid>
        <w:gridCol w:w="2803"/>
        <w:gridCol w:w="6377"/>
      </w:tblGrid>
      <w:tr w:rsidR="005924A1" w:rsidRPr="003371E6">
        <w:tc>
          <w:tcPr>
            <w:tcW w:w="2803" w:type="dxa"/>
          </w:tcPr>
          <w:p w:rsidR="005924A1" w:rsidRPr="00D032BE" w:rsidRDefault="005924A1" w:rsidP="005924A1">
            <w:pPr>
              <w:pStyle w:val="kehatekst"/>
              <w:ind w:left="0"/>
              <w:jc w:val="left"/>
              <w:rPr>
                <w:rFonts w:asciiTheme="minorHAnsi" w:hAnsiTheme="minorHAnsi" w:cstheme="minorHAnsi"/>
                <w:b/>
              </w:rPr>
            </w:pPr>
            <w:r w:rsidRPr="00D032BE">
              <w:rPr>
                <w:rFonts w:asciiTheme="minorHAnsi" w:hAnsiTheme="minorHAnsi" w:cstheme="minorHAnsi"/>
                <w:b/>
              </w:rPr>
              <w:t xml:space="preserve">Arestima </w:t>
            </w:r>
          </w:p>
        </w:tc>
        <w:tc>
          <w:tcPr>
            <w:tcW w:w="6377" w:type="dxa"/>
          </w:tcPr>
          <w:p w:rsidR="005924A1" w:rsidRPr="00D032BE" w:rsidRDefault="005924A1" w:rsidP="005924A1">
            <w:pPr>
              <w:pStyle w:val="kehatekst"/>
              <w:ind w:left="0"/>
              <w:jc w:val="left"/>
            </w:pPr>
            <w:r w:rsidRPr="00D032BE">
              <w:rPr>
                <w:szCs w:val="24"/>
              </w:rPr>
              <w:t>Vara loovutamise, konverteerimise, käsutamise või liikumise keelamine pädeva asutuse või kohtu poolt blokeerimiskorra alusel algatatud meetme alusel</w:t>
            </w:r>
            <w:r w:rsidRPr="00D032BE">
              <w:t xml:space="preserve">. </w:t>
            </w:r>
            <w:r w:rsidRPr="00D032BE">
              <w:rPr>
                <w:szCs w:val="24"/>
              </w:rPr>
              <w:t>Erinevalt blokeerimisest toimub arestimine sellise korra alusel, mis võimaldab pädeval asutusel või kohtul võtta asjaomane vara oma kontrolli alla</w:t>
            </w:r>
            <w:r w:rsidRPr="00D032BE">
              <w:t>. Arestitud vara jääb selle füüsilise või juriidilise isiku omandiks, kes omas arestimise ajal huvi asjaomase vara suhtes, kuigi pädeva asutus või kohus võtab sageli üle arestitud vara valduse, haldamise või juhtimise.</w:t>
            </w:r>
          </w:p>
        </w:tc>
      </w:tr>
    </w:tbl>
    <w:tbl>
      <w:tblPr>
        <w:tblW w:w="9180" w:type="dxa"/>
        <w:tblLook w:val="04A0" w:firstRow="1" w:lastRow="0" w:firstColumn="1" w:lastColumn="0" w:noHBand="0" w:noVBand="1"/>
      </w:tblPr>
      <w:tblGrid>
        <w:gridCol w:w="2803"/>
        <w:gridCol w:w="6331"/>
        <w:gridCol w:w="46"/>
      </w:tblGrid>
      <w:tr w:rsidR="00C25A10" w:rsidRPr="00D032BE" w:rsidTr="00C25A10">
        <w:trPr>
          <w:gridAfter w:val="1"/>
          <w:wAfter w:w="46" w:type="dxa"/>
        </w:trPr>
        <w:tc>
          <w:tcPr>
            <w:tcW w:w="2803" w:type="dxa"/>
          </w:tcPr>
          <w:p w:rsidR="00C25A10" w:rsidRPr="00D032BE" w:rsidRDefault="00C25A10" w:rsidP="00C25A10">
            <w:pPr>
              <w:pStyle w:val="kehatekst"/>
              <w:ind w:left="0"/>
              <w:jc w:val="left"/>
              <w:rPr>
                <w:rFonts w:asciiTheme="minorHAnsi" w:hAnsiTheme="minorHAnsi" w:cstheme="minorHAnsi"/>
                <w:b/>
              </w:rPr>
            </w:pPr>
            <w:r w:rsidRPr="00D032BE">
              <w:rPr>
                <w:rFonts w:asciiTheme="minorHAnsi" w:hAnsiTheme="minorHAnsi" w:cstheme="minorHAnsi"/>
                <w:b/>
              </w:rPr>
              <w:t xml:space="preserve">Asjakohased asutused </w:t>
            </w:r>
          </w:p>
        </w:tc>
        <w:tc>
          <w:tcPr>
            <w:tcW w:w="6331" w:type="dxa"/>
          </w:tcPr>
          <w:p w:rsidR="00C25A10" w:rsidRPr="00D032BE" w:rsidRDefault="00C25A10" w:rsidP="00C25A10">
            <w:pPr>
              <w:pStyle w:val="kehatekst"/>
              <w:ind w:left="0"/>
              <w:jc w:val="left"/>
            </w:pPr>
            <w:r w:rsidRPr="00D032BE">
              <w:t>Vt soovituse</w:t>
            </w:r>
            <w:r w:rsidR="00847867">
              <w:t xml:space="preserve"> </w:t>
            </w:r>
            <w:r w:rsidRPr="00D032BE">
              <w:t>8 tõlgendavat märkust.</w:t>
            </w:r>
          </w:p>
        </w:tc>
      </w:tr>
      <w:tr w:rsidR="005924A1" w:rsidRPr="00D032BE">
        <w:tc>
          <w:tcPr>
            <w:tcW w:w="2803" w:type="dxa"/>
          </w:tcPr>
          <w:p w:rsidR="005924A1" w:rsidRPr="00D032BE" w:rsidRDefault="005924A1" w:rsidP="005924A1">
            <w:pPr>
              <w:pStyle w:val="kehatekst"/>
              <w:ind w:left="0"/>
              <w:jc w:val="left"/>
              <w:rPr>
                <w:rFonts w:asciiTheme="minorHAnsi" w:hAnsiTheme="minorHAnsi" w:cstheme="minorHAnsi"/>
                <w:b/>
              </w:rPr>
            </w:pPr>
            <w:r>
              <w:rPr>
                <w:rFonts w:asciiTheme="minorHAnsi" w:hAnsiTheme="minorHAnsi" w:cstheme="minorHAnsi"/>
                <w:b/>
              </w:rPr>
              <w:t>Asutaja</w:t>
            </w:r>
          </w:p>
        </w:tc>
        <w:tc>
          <w:tcPr>
            <w:tcW w:w="6377" w:type="dxa"/>
            <w:gridSpan w:val="2"/>
          </w:tcPr>
          <w:p w:rsidR="005924A1" w:rsidRPr="00D032BE" w:rsidRDefault="005924A1" w:rsidP="005924A1">
            <w:pPr>
              <w:pStyle w:val="kehatekst"/>
              <w:ind w:left="0"/>
              <w:jc w:val="left"/>
            </w:pPr>
            <w:r w:rsidRPr="00D032BE">
              <w:t>Füüsiline või juriidiline isik, kes annab usalduslepingu või muu sarnase instrumendi alusel oma vara omandi üle usaldusfondi volinikele.</w:t>
            </w:r>
          </w:p>
        </w:tc>
      </w:tr>
      <w:tr w:rsidR="00166E1E" w:rsidRPr="00D032BE">
        <w:tc>
          <w:tcPr>
            <w:tcW w:w="2803" w:type="dxa"/>
          </w:tcPr>
          <w:p w:rsidR="00166E1E" w:rsidRPr="00D032BE" w:rsidRDefault="00166E1E" w:rsidP="00166E1E">
            <w:pPr>
              <w:pStyle w:val="kehatekst"/>
              <w:ind w:left="0"/>
              <w:jc w:val="left"/>
              <w:rPr>
                <w:rFonts w:asciiTheme="minorHAnsi" w:hAnsiTheme="minorHAnsi" w:cstheme="minorHAnsi"/>
                <w:b/>
              </w:rPr>
            </w:pPr>
            <w:r w:rsidRPr="00D032BE">
              <w:rPr>
                <w:rFonts w:asciiTheme="minorHAnsi" w:hAnsiTheme="minorHAnsi" w:cstheme="minorHAnsi"/>
                <w:b/>
              </w:rPr>
              <w:t xml:space="preserve">Blokeerimine </w:t>
            </w:r>
          </w:p>
        </w:tc>
        <w:tc>
          <w:tcPr>
            <w:tcW w:w="6377" w:type="dxa"/>
            <w:gridSpan w:val="2"/>
          </w:tcPr>
          <w:p w:rsidR="00166E1E" w:rsidRPr="00D032BE" w:rsidRDefault="00166E1E" w:rsidP="00166E1E">
            <w:pPr>
              <w:pStyle w:val="kehatekst"/>
              <w:ind w:left="0"/>
              <w:jc w:val="left"/>
            </w:pPr>
            <w:r w:rsidRPr="00D032BE">
              <w:t>Konfiskeerimise ja ajutiste meetmete kontekstis (nt soovitused</w:t>
            </w:r>
            <w:r w:rsidR="00847867">
              <w:t xml:space="preserve"> </w:t>
            </w:r>
            <w:r w:rsidRPr="00D032BE">
              <w:t>4, 32 ja 38) tähendab blokeerimine vara, seadmete või muude abivahendite loovutamise, konverteerimise, käsutamise või liikumise keelamist pädeva asutuse või kohtu poolt blokeerimiskorra alusel algatatud meetme alusel ja selle kehtivuse lõpuni või pädeva asutuse poolt konfiskeerimisotsuse tegemiseni.</w:t>
            </w:r>
          </w:p>
          <w:p w:rsidR="00166E1E" w:rsidRPr="00D032BE" w:rsidRDefault="00166E1E" w:rsidP="00166E1E">
            <w:pPr>
              <w:pStyle w:val="kehatekst"/>
              <w:ind w:left="34"/>
              <w:jc w:val="left"/>
            </w:pPr>
            <w:r w:rsidRPr="00D032BE">
              <w:t>Seoses soovituste</w:t>
            </w:r>
            <w:r w:rsidR="00847867">
              <w:t xml:space="preserve"> </w:t>
            </w:r>
            <w:r w:rsidRPr="00D032BE">
              <w:t xml:space="preserve">6 ja 7 kohaselt sihtotstarbeliste finantssanktsioonide rakendamisega tähendab blokeerimine määratud isikute või üksuste omandis või kontrolli all olevate rahaliste vahendite või muu vara loovutamise, konverteerimise, käsutamise või liikumise keelamist ÜRO Julgeolekunõukogu poolt või vastavalt kohaldatavatele Julgeolekunõukogu resolutsioonidele pädeva asutuse või kohtu poolt algatatud meetme alusel ja </w:t>
            </w:r>
            <w:r w:rsidRPr="00D032BE">
              <w:lastRenderedPageBreak/>
              <w:t>selle kehtivuse lõpuni.</w:t>
            </w:r>
          </w:p>
          <w:p w:rsidR="00166E1E" w:rsidRPr="00D032BE" w:rsidRDefault="00166E1E" w:rsidP="00166E1E">
            <w:pPr>
              <w:pStyle w:val="kehatekst"/>
              <w:ind w:left="0"/>
              <w:jc w:val="left"/>
            </w:pPr>
            <w:r w:rsidRPr="00D032BE">
              <w:t>Kõikidel juhtudel jäävad blokeeritud varad, seadmed, abivahendid, rahalised vahendid või muu vara selle füüsilise või juriidilise isiku omandiks, kes omas blokeerimise ajal huvi asjaomaste vahendite või muu vara suhtes, ja neid võib ka edaspidi hallata kolmas isik või muu üksus, mille sellise füüsiline või juriidiline isik määras selliseks tegevuseks enne meetme rakendamist blokeerimiskorra alusel või kooskõlas teiste siseriiklike sätetega. Osana blokeerimismeetme rakendamisest võivad riigid otsustada võtta vara, seadmed, abivahendid või rahalised vahendid põgenemise ennetamiseks oma kontrolli alla.</w:t>
            </w:r>
          </w:p>
        </w:tc>
      </w:tr>
      <w:tr w:rsidR="003B75E9" w:rsidRPr="00D032BE">
        <w:tc>
          <w:tcPr>
            <w:tcW w:w="2803" w:type="dxa"/>
          </w:tcPr>
          <w:p w:rsidR="003B75E9" w:rsidRPr="00D032BE" w:rsidRDefault="003B75E9" w:rsidP="003B75E9">
            <w:pPr>
              <w:pStyle w:val="kehatekst"/>
              <w:ind w:left="0"/>
              <w:jc w:val="left"/>
              <w:rPr>
                <w:rFonts w:asciiTheme="minorHAnsi" w:hAnsiTheme="minorHAnsi" w:cstheme="minorHAnsi"/>
                <w:b/>
              </w:rPr>
            </w:pPr>
            <w:r w:rsidRPr="00D032BE">
              <w:rPr>
                <w:rFonts w:asciiTheme="minorHAnsi" w:hAnsiTheme="minorHAnsi" w:cstheme="minorHAnsi"/>
                <w:b/>
              </w:rPr>
              <w:lastRenderedPageBreak/>
              <w:t>„</w:t>
            </w:r>
            <w:proofErr w:type="spellStart"/>
            <w:r w:rsidRPr="007D41C3">
              <w:rPr>
                <w:rFonts w:asciiTheme="minorHAnsi" w:hAnsiTheme="minorHAnsi" w:cstheme="minorHAnsi"/>
                <w:b/>
                <w:i/>
              </w:rPr>
              <w:t>Cover</w:t>
            </w:r>
            <w:proofErr w:type="spellEnd"/>
            <w:r w:rsidRPr="00D032BE">
              <w:rPr>
                <w:rFonts w:ascii="Calibri" w:hAnsi="Calibri" w:cstheme="minorHAnsi"/>
                <w:b/>
              </w:rPr>
              <w:t>”</w:t>
            </w:r>
            <w:r w:rsidRPr="00D032BE">
              <w:rPr>
                <w:rFonts w:asciiTheme="minorHAnsi" w:hAnsiTheme="minorHAnsi" w:cstheme="minorHAnsi"/>
                <w:b/>
              </w:rPr>
              <w:t xml:space="preserve"> makse</w:t>
            </w:r>
          </w:p>
        </w:tc>
        <w:tc>
          <w:tcPr>
            <w:tcW w:w="6377" w:type="dxa"/>
            <w:gridSpan w:val="2"/>
          </w:tcPr>
          <w:p w:rsidR="003B75E9" w:rsidRPr="00D032BE" w:rsidRDefault="003B75E9" w:rsidP="003B75E9">
            <w:pPr>
              <w:pStyle w:val="kehatekst"/>
              <w:ind w:left="0"/>
              <w:jc w:val="left"/>
            </w:pPr>
            <w:r w:rsidRPr="00D032BE">
              <w:t>Vt soovituse</w:t>
            </w:r>
            <w:r w:rsidR="00847867">
              <w:t xml:space="preserve"> </w:t>
            </w:r>
            <w:r w:rsidRPr="00D032BE">
              <w:t>16 tõlgendavat märkust.</w:t>
            </w:r>
          </w:p>
        </w:tc>
      </w:tr>
    </w:tbl>
    <w:tbl>
      <w:tblPr>
        <w:tblpPr w:leftFromText="180" w:rightFromText="180" w:vertAnchor="text" w:tblpXSpec="right" w:tblpY="1"/>
        <w:tblOverlap w:val="never"/>
        <w:tblW w:w="9180" w:type="dxa"/>
        <w:tblLook w:val="04A0" w:firstRow="1" w:lastRow="0" w:firstColumn="1" w:lastColumn="0" w:noHBand="0" w:noVBand="1"/>
      </w:tblPr>
      <w:tblGrid>
        <w:gridCol w:w="2803"/>
        <w:gridCol w:w="6377"/>
      </w:tblGrid>
      <w:tr w:rsidR="00D032BE" w:rsidRPr="00D032BE">
        <w:tc>
          <w:tcPr>
            <w:tcW w:w="2803" w:type="dxa"/>
          </w:tcPr>
          <w:p w:rsidR="00D032BE" w:rsidRPr="00D032BE" w:rsidRDefault="00D032BE" w:rsidP="00D032BE">
            <w:pPr>
              <w:pStyle w:val="kehatekst"/>
              <w:ind w:left="0"/>
              <w:jc w:val="left"/>
              <w:rPr>
                <w:rFonts w:asciiTheme="minorHAnsi" w:hAnsiTheme="minorHAnsi" w:cstheme="minorHAnsi"/>
                <w:b/>
              </w:rPr>
            </w:pPr>
            <w:r w:rsidRPr="00D032BE">
              <w:rPr>
                <w:rFonts w:asciiTheme="minorHAnsi" w:hAnsiTheme="minorHAnsi" w:cstheme="minorHAnsi"/>
                <w:b/>
              </w:rPr>
              <w:t xml:space="preserve">Esitajaaktsiad </w:t>
            </w:r>
          </w:p>
        </w:tc>
        <w:tc>
          <w:tcPr>
            <w:tcW w:w="6377" w:type="dxa"/>
          </w:tcPr>
          <w:p w:rsidR="00D032BE" w:rsidRPr="00D032BE" w:rsidRDefault="00D032BE" w:rsidP="00D032BE">
            <w:pPr>
              <w:pStyle w:val="kehatekst"/>
              <w:ind w:left="0"/>
              <w:jc w:val="left"/>
            </w:pPr>
            <w:r w:rsidRPr="00D032BE">
              <w:t>Vabalt kaubeldavad maksevahendid, mis annavad osaluse juriidilises isikus sellele isikule, kelle valduses on esitajaaktsia tõend.</w:t>
            </w:r>
          </w:p>
        </w:tc>
      </w:tr>
      <w:tr w:rsidR="00B339F3" w:rsidRPr="00D032BE">
        <w:tc>
          <w:tcPr>
            <w:tcW w:w="2803" w:type="dxa"/>
          </w:tcPr>
          <w:p w:rsidR="00B339F3" w:rsidRPr="00D032BE" w:rsidRDefault="00B339F3" w:rsidP="00B339F3">
            <w:pPr>
              <w:pStyle w:val="kehatekst"/>
              <w:ind w:left="0"/>
              <w:jc w:val="left"/>
              <w:rPr>
                <w:rFonts w:asciiTheme="minorHAnsi" w:hAnsiTheme="minorHAnsi" w:cstheme="minorHAnsi"/>
                <w:b/>
                <w:i/>
              </w:rPr>
            </w:pPr>
            <w:proofErr w:type="spellStart"/>
            <w:r w:rsidRPr="007D41C3">
              <w:rPr>
                <w:rFonts w:asciiTheme="minorHAnsi" w:hAnsiTheme="minorHAnsi" w:cstheme="minorHAnsi"/>
                <w:b/>
                <w:i/>
              </w:rPr>
              <w:t>Ex</w:t>
            </w:r>
            <w:proofErr w:type="spellEnd"/>
            <w:r w:rsidRPr="007D41C3">
              <w:rPr>
                <w:rFonts w:asciiTheme="minorHAnsi" w:hAnsiTheme="minorHAnsi" w:cstheme="minorHAnsi"/>
                <w:b/>
                <w:i/>
              </w:rPr>
              <w:t xml:space="preserve"> Parte </w:t>
            </w:r>
          </w:p>
        </w:tc>
        <w:tc>
          <w:tcPr>
            <w:tcW w:w="6377" w:type="dxa"/>
          </w:tcPr>
          <w:p w:rsidR="00B339F3" w:rsidRPr="00D032BE" w:rsidRDefault="00B339F3" w:rsidP="00B339F3">
            <w:pPr>
              <w:pStyle w:val="kehatekst"/>
              <w:ind w:left="0"/>
              <w:jc w:val="left"/>
            </w:pPr>
            <w:r w:rsidRPr="00D032BE">
              <w:t>Tegutsemine ilma asjaomast osalist teavitamata ja ilma tema osaluseta.</w:t>
            </w:r>
          </w:p>
        </w:tc>
      </w:tr>
    </w:tbl>
    <w:tbl>
      <w:tblPr>
        <w:tblW w:w="9180" w:type="dxa"/>
        <w:tblLook w:val="04A0" w:firstRow="1" w:lastRow="0" w:firstColumn="1" w:lastColumn="0" w:noHBand="0" w:noVBand="1"/>
      </w:tblPr>
      <w:tblGrid>
        <w:gridCol w:w="2803"/>
        <w:gridCol w:w="31"/>
        <w:gridCol w:w="6300"/>
        <w:gridCol w:w="46"/>
      </w:tblGrid>
      <w:tr w:rsidR="002109CD" w:rsidRPr="00D032BE">
        <w:tc>
          <w:tcPr>
            <w:tcW w:w="2803" w:type="dxa"/>
          </w:tcPr>
          <w:p w:rsidR="002109CD" w:rsidRPr="00D032BE" w:rsidRDefault="002109CD" w:rsidP="002109CD">
            <w:pPr>
              <w:pStyle w:val="kehatekst"/>
              <w:ind w:left="0"/>
              <w:jc w:val="left"/>
              <w:rPr>
                <w:rFonts w:asciiTheme="minorHAnsi" w:hAnsiTheme="minorHAnsi" w:cstheme="minorHAnsi"/>
                <w:b/>
              </w:rPr>
            </w:pPr>
            <w:r>
              <w:rPr>
                <w:rFonts w:asciiTheme="minorHAnsi" w:hAnsiTheme="minorHAnsi" w:cstheme="minorHAnsi"/>
                <w:b/>
              </w:rPr>
              <w:t>Finantsasutus</w:t>
            </w:r>
            <w:r w:rsidRPr="00D032BE">
              <w:rPr>
                <w:rFonts w:asciiTheme="minorHAnsi" w:hAnsiTheme="minorHAnsi" w:cstheme="minorHAnsi"/>
                <w:b/>
              </w:rPr>
              <w:t>ed</w:t>
            </w:r>
          </w:p>
        </w:tc>
        <w:tc>
          <w:tcPr>
            <w:tcW w:w="6377" w:type="dxa"/>
            <w:gridSpan w:val="3"/>
          </w:tcPr>
          <w:p w:rsidR="002109CD" w:rsidRPr="00D032BE" w:rsidRDefault="002109CD" w:rsidP="002109CD">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Kõik füüsilised või juriidilised isikud, kes teevad kliendi eest või nimel ettevõtluse korras ühte või mitut järgmistest toimingutest:</w:t>
            </w:r>
          </w:p>
          <w:p w:rsidR="002109CD" w:rsidRPr="00D032BE" w:rsidRDefault="002109CD" w:rsidP="002109CD">
            <w:pPr>
              <w:pStyle w:val="kehatekst"/>
              <w:numPr>
                <w:ilvl w:val="1"/>
                <w:numId w:val="10"/>
              </w:numPr>
              <w:spacing w:line="240" w:lineRule="auto"/>
              <w:ind w:left="459" w:hanging="425"/>
              <w:jc w:val="left"/>
            </w:pPr>
            <w:r w:rsidRPr="00D032BE">
              <w:rPr>
                <w:szCs w:val="24"/>
              </w:rPr>
              <w:t>avalikkuselt hoiuste ja muude tagasimakstavate vahendite vastuvõtmine</w:t>
            </w:r>
            <w:r w:rsidRPr="00D032BE">
              <w:rPr>
                <w:rStyle w:val="Allmrkuseviide"/>
              </w:rPr>
              <w:footnoteReference w:id="50"/>
            </w:r>
            <w:r w:rsidRPr="00D032BE">
              <w:rPr>
                <w:szCs w:val="24"/>
              </w:rPr>
              <w:t>;</w:t>
            </w:r>
          </w:p>
          <w:p w:rsidR="002109CD" w:rsidRPr="00D032BE" w:rsidRDefault="002109CD" w:rsidP="002109CD">
            <w:pPr>
              <w:pStyle w:val="kehatekst"/>
              <w:numPr>
                <w:ilvl w:val="1"/>
                <w:numId w:val="10"/>
              </w:numPr>
              <w:spacing w:line="240" w:lineRule="auto"/>
              <w:ind w:left="459" w:hanging="425"/>
              <w:jc w:val="left"/>
            </w:pPr>
            <w:r w:rsidRPr="00D032BE">
              <w:t>laenutehingud</w:t>
            </w:r>
            <w:r w:rsidRPr="00D032BE">
              <w:rPr>
                <w:rStyle w:val="Allmrkuseviide"/>
              </w:rPr>
              <w:footnoteReference w:id="51"/>
            </w:r>
            <w:r w:rsidRPr="00D032BE">
              <w:t>;</w:t>
            </w:r>
          </w:p>
          <w:p w:rsidR="002109CD" w:rsidRPr="00D032BE" w:rsidRDefault="002109CD" w:rsidP="002109CD">
            <w:pPr>
              <w:pStyle w:val="kehatekst"/>
              <w:numPr>
                <w:ilvl w:val="1"/>
                <w:numId w:val="10"/>
              </w:numPr>
              <w:spacing w:line="240" w:lineRule="auto"/>
              <w:ind w:left="459" w:hanging="425"/>
              <w:jc w:val="left"/>
            </w:pPr>
            <w:r w:rsidRPr="00D032BE">
              <w:rPr>
                <w:szCs w:val="24"/>
              </w:rPr>
              <w:t>kapitalirent</w:t>
            </w:r>
            <w:r w:rsidRPr="00D032BE">
              <w:rPr>
                <w:rStyle w:val="Allmrkuseviide"/>
              </w:rPr>
              <w:footnoteReference w:id="52"/>
            </w:r>
            <w:r w:rsidRPr="00D032BE">
              <w:rPr>
                <w:szCs w:val="24"/>
              </w:rPr>
              <w:t>;</w:t>
            </w:r>
          </w:p>
          <w:p w:rsidR="002109CD" w:rsidRPr="00D032BE" w:rsidRDefault="002109CD" w:rsidP="004F64DC">
            <w:pPr>
              <w:pStyle w:val="kehatekst"/>
              <w:numPr>
                <w:ilvl w:val="1"/>
                <w:numId w:val="10"/>
              </w:numPr>
              <w:spacing w:line="240" w:lineRule="auto"/>
              <w:ind w:left="458" w:hanging="426"/>
              <w:jc w:val="left"/>
            </w:pPr>
            <w:r w:rsidRPr="00D032BE">
              <w:rPr>
                <w:szCs w:val="24"/>
              </w:rPr>
              <w:t xml:space="preserve">raha või </w:t>
            </w:r>
            <w:r w:rsidR="004F64DC" w:rsidRPr="004F64DC">
              <w:rPr>
                <w:szCs w:val="24"/>
              </w:rPr>
              <w:t>alternatiivse</w:t>
            </w:r>
            <w:r w:rsidR="00847867">
              <w:rPr>
                <w:szCs w:val="24"/>
              </w:rPr>
              <w:t xml:space="preserve"> </w:t>
            </w:r>
            <w:r w:rsidR="004F64DC" w:rsidRPr="004F64DC">
              <w:rPr>
                <w:szCs w:val="24"/>
              </w:rPr>
              <w:t>maksevahendi</w:t>
            </w:r>
            <w:r w:rsidRPr="00D032BE">
              <w:rPr>
                <w:szCs w:val="24"/>
              </w:rPr>
              <w:t xml:space="preserve"> ülekandmine</w:t>
            </w:r>
            <w:r w:rsidRPr="00D032BE">
              <w:rPr>
                <w:rStyle w:val="Allmrkuseviide"/>
              </w:rPr>
              <w:footnoteReference w:id="53"/>
            </w:r>
            <w:r w:rsidRPr="00D032BE">
              <w:rPr>
                <w:szCs w:val="24"/>
              </w:rPr>
              <w:t>;</w:t>
            </w:r>
          </w:p>
          <w:p w:rsidR="002109CD" w:rsidRPr="00D032BE" w:rsidRDefault="002109CD" w:rsidP="002109CD">
            <w:pPr>
              <w:pStyle w:val="kehatekst"/>
              <w:numPr>
                <w:ilvl w:val="1"/>
                <w:numId w:val="10"/>
              </w:numPr>
              <w:spacing w:line="240" w:lineRule="auto"/>
              <w:ind w:left="459" w:hanging="425"/>
              <w:jc w:val="left"/>
            </w:pPr>
            <w:r w:rsidRPr="00D032BE">
              <w:rPr>
                <w:szCs w:val="24"/>
              </w:rPr>
              <w:t>maksevahendite (nt krediit- ja deebetkaardid, tšekid, reisitšekid, rahakaardid ja pangavekslid, elektrooniline raha) väljaandmine ja haldamine;</w:t>
            </w:r>
          </w:p>
          <w:p w:rsidR="002109CD" w:rsidRPr="00D032BE" w:rsidRDefault="002109CD" w:rsidP="002109CD">
            <w:pPr>
              <w:pStyle w:val="kehatekst"/>
              <w:numPr>
                <w:ilvl w:val="1"/>
                <w:numId w:val="10"/>
              </w:numPr>
              <w:spacing w:line="240" w:lineRule="auto"/>
              <w:ind w:left="459" w:hanging="425"/>
              <w:jc w:val="left"/>
            </w:pPr>
            <w:r w:rsidRPr="00D032BE">
              <w:rPr>
                <w:szCs w:val="24"/>
              </w:rPr>
              <w:t>finantsgarantiid ja -kohustused;</w:t>
            </w:r>
          </w:p>
          <w:p w:rsidR="002109CD" w:rsidRPr="00D032BE" w:rsidRDefault="002109CD" w:rsidP="002109CD">
            <w:pPr>
              <w:pStyle w:val="kehatekst"/>
              <w:numPr>
                <w:ilvl w:val="1"/>
                <w:numId w:val="10"/>
              </w:numPr>
              <w:spacing w:line="240" w:lineRule="auto"/>
              <w:ind w:left="459" w:hanging="425"/>
              <w:jc w:val="left"/>
            </w:pPr>
            <w:r w:rsidRPr="00D032BE">
              <w:rPr>
                <w:szCs w:val="24"/>
              </w:rPr>
              <w:t>kauplemine</w:t>
            </w:r>
            <w:r w:rsidRPr="00D032BE">
              <w:t>:</w:t>
            </w:r>
          </w:p>
          <w:p w:rsidR="002109CD" w:rsidRPr="00D032BE" w:rsidRDefault="002109CD" w:rsidP="002109CD">
            <w:pPr>
              <w:pStyle w:val="kehatekst"/>
              <w:numPr>
                <w:ilvl w:val="0"/>
                <w:numId w:val="11"/>
              </w:numPr>
              <w:spacing w:line="240" w:lineRule="auto"/>
              <w:jc w:val="left"/>
            </w:pPr>
            <w:r w:rsidRPr="00D032BE">
              <w:rPr>
                <w:szCs w:val="24"/>
              </w:rPr>
              <w:t xml:space="preserve">rahaturuinstrumentidega (tšekid, vekslid, krediidiriski ülekandetehingud, </w:t>
            </w:r>
            <w:r w:rsidRPr="00D032BE">
              <w:rPr>
                <w:szCs w:val="24"/>
              </w:rPr>
              <w:lastRenderedPageBreak/>
              <w:t>tuletisinstrumendid jne</w:t>
            </w:r>
            <w:r w:rsidRPr="00D032BE">
              <w:t>);</w:t>
            </w:r>
          </w:p>
          <w:p w:rsidR="002109CD" w:rsidRPr="00D032BE" w:rsidRDefault="002109CD" w:rsidP="002109CD">
            <w:pPr>
              <w:pStyle w:val="kehatekst"/>
              <w:numPr>
                <w:ilvl w:val="0"/>
                <w:numId w:val="11"/>
              </w:numPr>
              <w:spacing w:line="240" w:lineRule="auto"/>
              <w:jc w:val="left"/>
            </w:pPr>
            <w:r w:rsidRPr="00D032BE">
              <w:rPr>
                <w:szCs w:val="24"/>
              </w:rPr>
              <w:t>välisvaluutaga</w:t>
            </w:r>
            <w:r w:rsidRPr="00D032BE">
              <w:t>;</w:t>
            </w:r>
          </w:p>
          <w:p w:rsidR="002109CD" w:rsidRPr="00D032BE" w:rsidRDefault="002109CD" w:rsidP="002109CD">
            <w:pPr>
              <w:pStyle w:val="kehatekst"/>
              <w:numPr>
                <w:ilvl w:val="0"/>
                <w:numId w:val="11"/>
              </w:numPr>
              <w:spacing w:line="240" w:lineRule="auto"/>
              <w:jc w:val="left"/>
            </w:pPr>
            <w:r w:rsidRPr="00D032BE">
              <w:rPr>
                <w:szCs w:val="24"/>
              </w:rPr>
              <w:t>vahetuskursi-, intressi- ja indeksiga seotud instrumentidega</w:t>
            </w:r>
            <w:r w:rsidRPr="00D032BE">
              <w:t xml:space="preserve">; </w:t>
            </w:r>
          </w:p>
          <w:p w:rsidR="002109CD" w:rsidRPr="00D032BE" w:rsidRDefault="002109CD" w:rsidP="002109CD">
            <w:pPr>
              <w:pStyle w:val="kehatekst"/>
              <w:numPr>
                <w:ilvl w:val="0"/>
                <w:numId w:val="11"/>
              </w:numPr>
              <w:spacing w:line="240" w:lineRule="auto"/>
              <w:jc w:val="left"/>
            </w:pPr>
            <w:r w:rsidRPr="00D032BE">
              <w:rPr>
                <w:szCs w:val="24"/>
              </w:rPr>
              <w:t>vabalt kaubeldavate väärtpaberitega</w:t>
            </w:r>
            <w:r w:rsidRPr="00D032BE">
              <w:t>;</w:t>
            </w:r>
          </w:p>
          <w:p w:rsidR="002109CD" w:rsidRPr="00D032BE" w:rsidRDefault="002109CD" w:rsidP="002109CD">
            <w:pPr>
              <w:pStyle w:val="kehatekst"/>
              <w:numPr>
                <w:ilvl w:val="0"/>
                <w:numId w:val="11"/>
              </w:numPr>
              <w:spacing w:line="240" w:lineRule="auto"/>
              <w:jc w:val="left"/>
            </w:pPr>
            <w:r w:rsidRPr="00D032BE">
              <w:rPr>
                <w:szCs w:val="24"/>
              </w:rPr>
              <w:t>kaubafutuuridega</w:t>
            </w:r>
            <w:r w:rsidRPr="00D032BE">
              <w:t>.</w:t>
            </w:r>
          </w:p>
          <w:p w:rsidR="002109CD" w:rsidRPr="00D032BE" w:rsidRDefault="002109CD" w:rsidP="002109CD">
            <w:pPr>
              <w:pStyle w:val="kehatekst"/>
              <w:numPr>
                <w:ilvl w:val="1"/>
                <w:numId w:val="10"/>
              </w:numPr>
              <w:spacing w:line="240" w:lineRule="auto"/>
              <w:ind w:left="459" w:hanging="425"/>
              <w:jc w:val="left"/>
            </w:pPr>
            <w:r w:rsidRPr="00D032BE">
              <w:rPr>
                <w:szCs w:val="24"/>
              </w:rPr>
              <w:t>osalemine väärtpaberiemissioonides ja nendega seotud finantsteenuste osutamises;</w:t>
            </w:r>
          </w:p>
          <w:p w:rsidR="002109CD" w:rsidRPr="00D032BE" w:rsidRDefault="002109CD" w:rsidP="002109CD">
            <w:pPr>
              <w:pStyle w:val="kehatekst"/>
              <w:numPr>
                <w:ilvl w:val="1"/>
                <w:numId w:val="10"/>
              </w:numPr>
              <w:spacing w:line="240" w:lineRule="auto"/>
              <w:ind w:left="459" w:hanging="425"/>
              <w:jc w:val="left"/>
            </w:pPr>
            <w:r w:rsidRPr="00D032BE">
              <w:rPr>
                <w:szCs w:val="24"/>
              </w:rPr>
              <w:t>üksikute ja kollektiivsete portfellide haldamine;</w:t>
            </w:r>
          </w:p>
          <w:p w:rsidR="002109CD" w:rsidRPr="00D032BE" w:rsidRDefault="002109CD" w:rsidP="002109CD">
            <w:pPr>
              <w:pStyle w:val="kehatekst"/>
              <w:numPr>
                <w:ilvl w:val="1"/>
                <w:numId w:val="10"/>
              </w:numPr>
              <w:spacing w:line="240" w:lineRule="auto"/>
              <w:ind w:left="459" w:hanging="425"/>
              <w:jc w:val="left"/>
            </w:pPr>
            <w:r w:rsidRPr="00D032BE">
              <w:rPr>
                <w:szCs w:val="24"/>
              </w:rPr>
              <w:t xml:space="preserve">raha või </w:t>
            </w:r>
            <w:r w:rsidRPr="00EE7F9E">
              <w:rPr>
                <w:szCs w:val="24"/>
              </w:rPr>
              <w:t>likviidsete</w:t>
            </w:r>
            <w:r w:rsidRPr="00D032BE">
              <w:rPr>
                <w:szCs w:val="24"/>
              </w:rPr>
              <w:t xml:space="preserve"> väärtpaberite hoidmine ja haldamine teiste isikute nimel;</w:t>
            </w:r>
          </w:p>
          <w:p w:rsidR="002109CD" w:rsidRPr="00D032BE" w:rsidRDefault="002109CD" w:rsidP="002109CD">
            <w:pPr>
              <w:pStyle w:val="kehatekst"/>
              <w:numPr>
                <w:ilvl w:val="1"/>
                <w:numId w:val="10"/>
              </w:numPr>
              <w:spacing w:line="240" w:lineRule="auto"/>
              <w:ind w:left="459" w:hanging="425"/>
              <w:jc w:val="left"/>
            </w:pPr>
            <w:r w:rsidRPr="00D032BE">
              <w:rPr>
                <w:szCs w:val="24"/>
              </w:rPr>
              <w:t>muu investeerimine või raha haldamine või juhtimine teiste isikute nimel;</w:t>
            </w:r>
          </w:p>
          <w:p w:rsidR="002109CD" w:rsidRPr="00D032BE" w:rsidRDefault="002109CD" w:rsidP="002109CD">
            <w:pPr>
              <w:pStyle w:val="kehatekst"/>
              <w:numPr>
                <w:ilvl w:val="1"/>
                <w:numId w:val="10"/>
              </w:numPr>
              <w:spacing w:line="240" w:lineRule="auto"/>
              <w:ind w:left="459" w:hanging="425"/>
              <w:jc w:val="left"/>
            </w:pPr>
            <w:r w:rsidRPr="00D032BE">
              <w:rPr>
                <w:szCs w:val="24"/>
              </w:rPr>
              <w:t>elukindlustuse ja muu investeerimisega seotud kindlustuse lepingute sõlmimine</w:t>
            </w:r>
            <w:r w:rsidRPr="00D032BE">
              <w:rPr>
                <w:rStyle w:val="Allmrkuseviide"/>
              </w:rPr>
              <w:footnoteReference w:id="54"/>
            </w:r>
            <w:r w:rsidRPr="00D032BE">
              <w:rPr>
                <w:szCs w:val="24"/>
              </w:rPr>
              <w:t>;</w:t>
            </w:r>
          </w:p>
          <w:p w:rsidR="002109CD" w:rsidRPr="00D032BE" w:rsidRDefault="002109CD" w:rsidP="002109CD">
            <w:pPr>
              <w:pStyle w:val="kehatekst"/>
              <w:numPr>
                <w:ilvl w:val="1"/>
                <w:numId w:val="10"/>
              </w:numPr>
              <w:spacing w:line="240" w:lineRule="auto"/>
              <w:ind w:left="459" w:hanging="425"/>
              <w:jc w:val="left"/>
            </w:pPr>
            <w:r w:rsidRPr="00D032BE">
              <w:rPr>
                <w:szCs w:val="24"/>
              </w:rPr>
              <w:t>raha- ja valuutavahetus</w:t>
            </w:r>
            <w:r w:rsidRPr="00D032BE">
              <w:t>.</w:t>
            </w:r>
          </w:p>
        </w:tc>
      </w:tr>
      <w:tr w:rsidR="002109CD" w:rsidRPr="003371E6">
        <w:tc>
          <w:tcPr>
            <w:tcW w:w="2803" w:type="dxa"/>
          </w:tcPr>
          <w:p w:rsidR="002109CD" w:rsidRPr="00D032BE" w:rsidRDefault="002109CD" w:rsidP="002109CD">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Finantskontsern </w:t>
            </w:r>
          </w:p>
        </w:tc>
        <w:tc>
          <w:tcPr>
            <w:tcW w:w="6377" w:type="dxa"/>
            <w:gridSpan w:val="3"/>
          </w:tcPr>
          <w:p w:rsidR="002109CD" w:rsidRPr="00D032BE" w:rsidRDefault="002109CD" w:rsidP="002A32CF">
            <w:pPr>
              <w:pStyle w:val="kehatekst"/>
              <w:ind w:left="0"/>
              <w:jc w:val="left"/>
            </w:pPr>
            <w:r w:rsidRPr="00D032BE">
              <w:t xml:space="preserve">Kontsern, mis koosneb emaettevõttest või muud liiki juriidilisest isikust, kes kontrollib ja koordineerib ülejäänud kontserni, teostades kontserni järelevalvet vastavalt põhiprintsiipidele, ja filiaalidest ja/või tütarettevõtetest, mille suhtes kohaldatakse kontserni tasandil kehtestatud </w:t>
            </w:r>
            <w:r w:rsidR="002A32CF">
              <w:t>rahapesu</w:t>
            </w:r>
            <w:r w:rsidRPr="00D032BE">
              <w:t xml:space="preserve"> ja terrorismi rahastamise </w:t>
            </w:r>
            <w:r w:rsidR="002A32CF">
              <w:t>tõkestamise</w:t>
            </w:r>
            <w:r w:rsidRPr="00D032BE">
              <w:t xml:space="preserve"> tegevusjuhiseid ja protseduurireegleid.</w:t>
            </w:r>
          </w:p>
        </w:tc>
      </w:tr>
      <w:tr w:rsidR="00CB5800" w:rsidRPr="00D032BE">
        <w:tc>
          <w:tcPr>
            <w:tcW w:w="2803" w:type="dxa"/>
          </w:tcPr>
          <w:p w:rsidR="00CB5800" w:rsidRPr="00D032BE" w:rsidRDefault="00CB5800" w:rsidP="00CB5800">
            <w:pPr>
              <w:pStyle w:val="kehatekst"/>
              <w:ind w:left="0"/>
              <w:jc w:val="left"/>
              <w:rPr>
                <w:rFonts w:asciiTheme="minorHAnsi" w:hAnsiTheme="minorHAnsi" w:cstheme="minorHAnsi"/>
                <w:b/>
              </w:rPr>
            </w:pPr>
            <w:r w:rsidRPr="00D032BE">
              <w:rPr>
                <w:rFonts w:asciiTheme="minorHAnsi" w:hAnsiTheme="minorHAnsi" w:cstheme="minorHAnsi"/>
                <w:b/>
              </w:rPr>
              <w:t>Füüsiline piiriülene vedu</w:t>
            </w:r>
          </w:p>
        </w:tc>
        <w:tc>
          <w:tcPr>
            <w:tcW w:w="6377" w:type="dxa"/>
            <w:gridSpan w:val="3"/>
          </w:tcPr>
          <w:p w:rsidR="00CB5800" w:rsidRPr="00D032BE" w:rsidRDefault="00CB5800" w:rsidP="00CB5800">
            <w:pPr>
              <w:pStyle w:val="kehatekst"/>
              <w:ind w:left="0"/>
              <w:jc w:val="left"/>
            </w:pPr>
            <w:r w:rsidRPr="00D032BE">
              <w:t>Vt soovituse</w:t>
            </w:r>
            <w:r w:rsidR="00847867">
              <w:t xml:space="preserve"> </w:t>
            </w:r>
            <w:r w:rsidRPr="00D032BE">
              <w:t>32 tõlgendavat märkust.</w:t>
            </w:r>
          </w:p>
        </w:tc>
      </w:tr>
      <w:tr w:rsidR="00C560B1" w:rsidRPr="00D032BE">
        <w:tc>
          <w:tcPr>
            <w:tcW w:w="2803" w:type="dxa"/>
          </w:tcPr>
          <w:p w:rsidR="00C560B1" w:rsidRPr="00D032BE" w:rsidRDefault="00C560B1" w:rsidP="00C560B1">
            <w:pPr>
              <w:pStyle w:val="kehatekst"/>
              <w:ind w:left="0"/>
              <w:jc w:val="left"/>
              <w:rPr>
                <w:rFonts w:asciiTheme="minorHAnsi" w:hAnsiTheme="minorHAnsi" w:cstheme="minorHAnsi"/>
                <w:b/>
              </w:rPr>
            </w:pPr>
            <w:r w:rsidRPr="00D032BE">
              <w:rPr>
                <w:rFonts w:asciiTheme="minorHAnsi" w:hAnsiTheme="minorHAnsi" w:cstheme="minorHAnsi"/>
                <w:b/>
              </w:rPr>
              <w:t>Isereguleeruv organ</w:t>
            </w:r>
            <w:r w:rsidR="006F4DF2">
              <w:rPr>
                <w:rFonts w:asciiTheme="minorHAnsi" w:hAnsiTheme="minorHAnsi" w:cstheme="minorHAnsi"/>
                <w:b/>
              </w:rPr>
              <w:t>isatsioon</w:t>
            </w:r>
          </w:p>
        </w:tc>
        <w:tc>
          <w:tcPr>
            <w:tcW w:w="6377" w:type="dxa"/>
            <w:gridSpan w:val="3"/>
          </w:tcPr>
          <w:p w:rsidR="00C560B1" w:rsidRPr="00D032BE" w:rsidRDefault="00C560B1" w:rsidP="006F4DF2">
            <w:pPr>
              <w:pStyle w:val="kehatekst"/>
              <w:ind w:left="0"/>
              <w:jc w:val="left"/>
            </w:pPr>
            <w:r w:rsidRPr="00D032BE">
              <w:t>Organ</w:t>
            </w:r>
            <w:r w:rsidR="006F4DF2">
              <w:t>isatsioon</w:t>
            </w:r>
            <w:r w:rsidRPr="00D032BE">
              <w:t>, mis esindab teatavat kutseala (nt juristid, notarid, muud õigusteenuse osutajad või raamatupidajad) ja koosneb selle kutseala liikmetest. Isereguleeruv organ</w:t>
            </w:r>
            <w:r w:rsidR="006F4DF2">
              <w:t>isatsioon</w:t>
            </w:r>
            <w:r w:rsidRPr="00D032BE">
              <w:t xml:space="preserve"> reguleerib isikuid, kes on kvalifitseeritud tegutsema või tegutsevad asjaomasel kutsealal, ja täidab ka teatud järelevalve- või kontrollifunktsioone. Sellised organi</w:t>
            </w:r>
            <w:r w:rsidR="006F4DF2">
              <w:t>satsoonid</w:t>
            </w:r>
            <w:r w:rsidRPr="00D032BE">
              <w:t xml:space="preserve"> peaksid kehtestama eeskirjad tagamaks, et asjaomasel kutsealal tegutsevad isikud järgivad kõrgeid eetika- ja moraalinorme.</w:t>
            </w:r>
          </w:p>
        </w:tc>
      </w:tr>
      <w:tr w:rsidR="00BC4C2F" w:rsidRPr="003371E6">
        <w:tc>
          <w:tcPr>
            <w:tcW w:w="2803" w:type="dxa"/>
          </w:tcPr>
          <w:p w:rsidR="00BC4C2F" w:rsidRPr="00D032BE" w:rsidRDefault="00BC4C2F" w:rsidP="00BC4C2F">
            <w:pPr>
              <w:pStyle w:val="kehatekst"/>
              <w:ind w:left="0"/>
              <w:jc w:val="left"/>
              <w:rPr>
                <w:rFonts w:asciiTheme="minorHAnsi" w:hAnsiTheme="minorHAnsi" w:cstheme="minorHAnsi"/>
                <w:b/>
              </w:rPr>
            </w:pPr>
            <w:r w:rsidRPr="00D032BE">
              <w:rPr>
                <w:rFonts w:asciiTheme="minorHAnsi" w:hAnsiTheme="minorHAnsi" w:cstheme="minorHAnsi"/>
                <w:b/>
              </w:rPr>
              <w:t xml:space="preserve">Juriidilised isikud </w:t>
            </w:r>
          </w:p>
        </w:tc>
        <w:tc>
          <w:tcPr>
            <w:tcW w:w="6377" w:type="dxa"/>
            <w:gridSpan w:val="3"/>
          </w:tcPr>
          <w:p w:rsidR="00BC4C2F" w:rsidRPr="00D032BE" w:rsidRDefault="00BC4C2F" w:rsidP="00BC4C2F">
            <w:pPr>
              <w:pStyle w:val="kehatekst"/>
              <w:ind w:left="0"/>
              <w:jc w:val="left"/>
            </w:pPr>
            <w:r w:rsidRPr="00D032BE">
              <w:t xml:space="preserve">Muud isikud peale füüsiliste isikute, mis saavad astuda alalisse ärisuhtesse </w:t>
            </w:r>
            <w:r>
              <w:t>finantsasutus</w:t>
            </w:r>
            <w:r w:rsidRPr="00D032BE">
              <w:t>ega või muul moel omada vara. See võib hõlmata ettevõtteid, äriühinguid, sihtasutusi, asutusi (</w:t>
            </w:r>
            <w:proofErr w:type="spellStart"/>
            <w:r w:rsidRPr="00D032BE">
              <w:rPr>
                <w:i/>
              </w:rPr>
              <w:t>anstalt</w:t>
            </w:r>
            <w:proofErr w:type="spellEnd"/>
            <w:r w:rsidRPr="00D032BE">
              <w:t xml:space="preserve">), täis- ja usaldusühinguid, ühendusi ja muid </w:t>
            </w:r>
            <w:r w:rsidRPr="00D032BE">
              <w:lastRenderedPageBreak/>
              <w:t>sarnaseid üksusi.</w:t>
            </w:r>
          </w:p>
        </w:tc>
      </w:tr>
      <w:tr w:rsidR="00607058" w:rsidRPr="003371E6">
        <w:tc>
          <w:tcPr>
            <w:tcW w:w="2803" w:type="dxa"/>
          </w:tcPr>
          <w:p w:rsidR="00607058" w:rsidRPr="00D032BE" w:rsidRDefault="00607058" w:rsidP="00607058">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Järelevalveasutused </w:t>
            </w:r>
          </w:p>
        </w:tc>
        <w:tc>
          <w:tcPr>
            <w:tcW w:w="6377" w:type="dxa"/>
            <w:gridSpan w:val="3"/>
          </w:tcPr>
          <w:p w:rsidR="00607058" w:rsidRPr="00D032BE" w:rsidRDefault="00607058" w:rsidP="00A35E9F">
            <w:pPr>
              <w:pStyle w:val="kehatekst"/>
              <w:ind w:left="0"/>
              <w:jc w:val="left"/>
            </w:pPr>
            <w:r w:rsidRPr="00D032BE">
              <w:t>Kindlaksmääratud pädevad asu</w:t>
            </w:r>
            <w:r w:rsidR="006F4DF2">
              <w:t>tused või mitteriiklikud organisatsioonid</w:t>
            </w:r>
            <w:r w:rsidRPr="00D032BE">
              <w:t>, kelle kohuseks on tagada finantsasutuste („finantsjärelevalveasutused</w:t>
            </w:r>
            <w:r w:rsidRPr="00D032BE">
              <w:rPr>
                <w:rFonts w:ascii="Calibri" w:hAnsi="Calibri" w:cstheme="minorHAnsi"/>
              </w:rPr>
              <w:t>”</w:t>
            </w:r>
            <w:r w:rsidRPr="00D032BE">
              <w:rPr>
                <w:rStyle w:val="Allmrkuseviide"/>
              </w:rPr>
              <w:footnoteReference w:id="55"/>
            </w:r>
            <w:r w:rsidRPr="00D032BE">
              <w:t xml:space="preserve">) ja/või mittefinantsteenuseid pakkuvate määratud ettevõtjate ja kutsetöötajate vastavus </w:t>
            </w:r>
            <w:r w:rsidR="002A32CF">
              <w:t>rahapesu</w:t>
            </w:r>
            <w:r w:rsidRPr="00D032BE">
              <w:t xml:space="preserve"> ja terrorismi rahastamise </w:t>
            </w:r>
            <w:r w:rsidR="00A35E9F">
              <w:t>tõkestamise</w:t>
            </w:r>
            <w:r w:rsidRPr="00D032BE">
              <w:t xml:space="preserve"> nõ</w:t>
            </w:r>
            <w:r w:rsidR="006F4DF2">
              <w:t>uetele. Mitteriiklikel organisatsioonidel</w:t>
            </w:r>
            <w:r w:rsidRPr="00D032BE">
              <w:t xml:space="preserve"> (mis võib hõlmata teatavat</w:t>
            </w:r>
            <w:r w:rsidR="006F4DF2">
              <w:t xml:space="preserve"> liiki isereguleeruvaid organisatsioone</w:t>
            </w:r>
            <w:r w:rsidRPr="00D032BE">
              <w:t xml:space="preserve">) peaksid olema volitused teostada finantsasutuste või mittefinantsteenuseid pakkuvate määratud ettevõtjate ja kutsetöötajate üle järelevalvet ning rakendada nende suhtes karistusi seoses </w:t>
            </w:r>
            <w:r w:rsidR="002A32CF">
              <w:t>rahapesu</w:t>
            </w:r>
            <w:r w:rsidRPr="00D032BE">
              <w:t xml:space="preserve"> ja terrorismi rahastamise </w:t>
            </w:r>
            <w:r w:rsidR="00A35E9F">
              <w:t>tõkestamise</w:t>
            </w:r>
            <w:r w:rsidRPr="00D032BE">
              <w:t xml:space="preserve"> nõuetega. Samuti pea</w:t>
            </w:r>
            <w:r w:rsidR="006F4DF2">
              <w:t>ksid need mitteriiklikud organisatsoonid</w:t>
            </w:r>
            <w:r w:rsidRPr="00D032BE">
              <w:t xml:space="preserve"> olema seadusega volitatud oma funktsioone täitma ja allutatud nende funktsioonide täitmisel pädeva asutuse poolsele järelevalvele.</w:t>
            </w:r>
          </w:p>
        </w:tc>
      </w:tr>
      <w:tr w:rsidR="0018411B" w:rsidRPr="00D032BE">
        <w:tc>
          <w:tcPr>
            <w:tcW w:w="2803" w:type="dxa"/>
          </w:tcPr>
          <w:p w:rsidR="0018411B" w:rsidRPr="00D032BE" w:rsidRDefault="0018411B" w:rsidP="0018411B">
            <w:pPr>
              <w:pStyle w:val="kehatekst"/>
              <w:ind w:left="0"/>
              <w:jc w:val="left"/>
              <w:rPr>
                <w:rFonts w:asciiTheme="minorHAnsi" w:hAnsiTheme="minorHAnsi" w:cstheme="minorHAnsi"/>
                <w:b/>
              </w:rPr>
            </w:pPr>
            <w:r w:rsidRPr="00D032BE">
              <w:rPr>
                <w:rFonts w:asciiTheme="minorHAnsi" w:hAnsiTheme="minorHAnsi" w:cstheme="minorHAnsi"/>
                <w:b/>
              </w:rPr>
              <w:t xml:space="preserve">Kindel </w:t>
            </w:r>
          </w:p>
        </w:tc>
        <w:tc>
          <w:tcPr>
            <w:tcW w:w="6377" w:type="dxa"/>
            <w:gridSpan w:val="3"/>
          </w:tcPr>
          <w:p w:rsidR="0018411B" w:rsidRPr="00D032BE" w:rsidRDefault="0018411B" w:rsidP="0018411B">
            <w:pPr>
              <w:pStyle w:val="kehatekst"/>
              <w:ind w:left="0"/>
              <w:jc w:val="left"/>
            </w:pPr>
            <w:r w:rsidRPr="00D032BE">
              <w:rPr>
                <w:szCs w:val="24"/>
              </w:rPr>
              <w:t xml:space="preserve">Kui on sätestatud, et </w:t>
            </w:r>
            <w:r>
              <w:rPr>
                <w:szCs w:val="24"/>
              </w:rPr>
              <w:t>finantsasutus</w:t>
            </w:r>
            <w:r w:rsidRPr="00D032BE">
              <w:rPr>
                <w:szCs w:val="24"/>
              </w:rPr>
              <w:t xml:space="preserve"> peab olema milleski kindel, peab asjaomane asutus suutma oma hinnangut põhjendada pädevatele asutustele</w:t>
            </w:r>
            <w:r w:rsidRPr="00D032BE">
              <w:t>.</w:t>
            </w:r>
          </w:p>
        </w:tc>
      </w:tr>
      <w:tr w:rsidR="00B339F3" w:rsidRPr="003371E6">
        <w:tc>
          <w:tcPr>
            <w:tcW w:w="2803" w:type="dxa"/>
          </w:tcPr>
          <w:p w:rsidR="00B339F3" w:rsidRPr="00D032BE" w:rsidRDefault="00B339F3" w:rsidP="00B339F3">
            <w:pPr>
              <w:pStyle w:val="kehatekst"/>
              <w:ind w:left="0"/>
              <w:jc w:val="left"/>
              <w:rPr>
                <w:rFonts w:asciiTheme="minorHAnsi" w:hAnsiTheme="minorHAnsi" w:cstheme="minorHAnsi"/>
                <w:b/>
              </w:rPr>
            </w:pPr>
            <w:r w:rsidRPr="00D032BE">
              <w:rPr>
                <w:rFonts w:asciiTheme="minorHAnsi" w:hAnsiTheme="minorHAnsi" w:cstheme="minorHAnsi"/>
                <w:b/>
              </w:rPr>
              <w:t>Kindlaksmääratud õigusrikkumiste kategooriad</w:t>
            </w:r>
          </w:p>
        </w:tc>
        <w:tc>
          <w:tcPr>
            <w:tcW w:w="6377" w:type="dxa"/>
            <w:gridSpan w:val="3"/>
          </w:tcPr>
          <w:p w:rsidR="00B339F3" w:rsidRPr="00D032BE" w:rsidRDefault="00B339F3" w:rsidP="00B339F3">
            <w:pPr>
              <w:pStyle w:val="kehatekst"/>
              <w:ind w:left="0"/>
              <w:jc w:val="left"/>
            </w:pPr>
            <w:r w:rsidRPr="00D032BE">
              <w:t>„Kindlaksmääratud õigusrikkumiste kategooriad</w:t>
            </w:r>
            <w:r w:rsidRPr="00D032BE">
              <w:rPr>
                <w:szCs w:val="24"/>
              </w:rPr>
              <w:t>”</w:t>
            </w:r>
            <w:r w:rsidRPr="00D032BE">
              <w:t xml:space="preserve"> on järgmised:</w:t>
            </w:r>
          </w:p>
          <w:p w:rsidR="00B339F3" w:rsidRPr="00D032BE" w:rsidRDefault="00B339F3" w:rsidP="00B339F3">
            <w:pPr>
              <w:pStyle w:val="kehatekst"/>
              <w:numPr>
                <w:ilvl w:val="0"/>
                <w:numId w:val="2"/>
              </w:numPr>
              <w:spacing w:line="240" w:lineRule="auto"/>
              <w:jc w:val="left"/>
            </w:pPr>
            <w:r w:rsidRPr="00D032BE">
              <w:rPr>
                <w:szCs w:val="24"/>
              </w:rPr>
              <w:t>osalemine organiseeritud kuritegelikus ühenduses ja väljapressimises</w:t>
            </w:r>
            <w:r w:rsidRPr="00D032BE">
              <w:t>;</w:t>
            </w:r>
          </w:p>
          <w:p w:rsidR="00B339F3" w:rsidRPr="00D032BE" w:rsidRDefault="00B339F3" w:rsidP="00B339F3">
            <w:pPr>
              <w:pStyle w:val="kehatekst"/>
              <w:numPr>
                <w:ilvl w:val="0"/>
                <w:numId w:val="2"/>
              </w:numPr>
              <w:spacing w:line="240" w:lineRule="auto"/>
              <w:jc w:val="left"/>
            </w:pPr>
            <w:r w:rsidRPr="00D032BE">
              <w:rPr>
                <w:szCs w:val="24"/>
              </w:rPr>
              <w:t>terrorism, sh terrorismi rahastamine</w:t>
            </w:r>
            <w:r w:rsidRPr="00D032BE">
              <w:t>;</w:t>
            </w:r>
          </w:p>
          <w:p w:rsidR="00B339F3" w:rsidRPr="00D032BE" w:rsidRDefault="00B339F3" w:rsidP="00B339F3">
            <w:pPr>
              <w:pStyle w:val="kehatekst"/>
              <w:numPr>
                <w:ilvl w:val="0"/>
                <w:numId w:val="2"/>
              </w:numPr>
              <w:spacing w:line="240" w:lineRule="auto"/>
              <w:jc w:val="left"/>
            </w:pPr>
            <w:r w:rsidRPr="00D032BE">
              <w:rPr>
                <w:szCs w:val="24"/>
              </w:rPr>
              <w:t>inimkaubandus ja välismaalaste ebaseaduslik üle piiri toimetamine</w:t>
            </w:r>
            <w:r w:rsidRPr="00D032BE">
              <w:t>;</w:t>
            </w:r>
          </w:p>
          <w:p w:rsidR="00B339F3" w:rsidRPr="00D032BE" w:rsidRDefault="00B339F3" w:rsidP="00B339F3">
            <w:pPr>
              <w:pStyle w:val="kehatekst"/>
              <w:numPr>
                <w:ilvl w:val="0"/>
                <w:numId w:val="2"/>
              </w:numPr>
              <w:spacing w:line="240" w:lineRule="auto"/>
              <w:jc w:val="left"/>
            </w:pPr>
            <w:r w:rsidRPr="00D032BE">
              <w:rPr>
                <w:szCs w:val="24"/>
              </w:rPr>
              <w:t>seksuaalne ekspluateerimine, sh laste seksuaalne ekspluateerimine</w:t>
            </w:r>
            <w:r w:rsidRPr="00D032BE">
              <w:t>;</w:t>
            </w:r>
          </w:p>
          <w:p w:rsidR="00B339F3" w:rsidRPr="00D032BE" w:rsidRDefault="00B339F3" w:rsidP="00B339F3">
            <w:pPr>
              <w:pStyle w:val="kehatekst"/>
              <w:numPr>
                <w:ilvl w:val="0"/>
                <w:numId w:val="2"/>
              </w:numPr>
              <w:spacing w:line="240" w:lineRule="auto"/>
              <w:jc w:val="left"/>
            </w:pPr>
            <w:r w:rsidRPr="00D032BE">
              <w:rPr>
                <w:szCs w:val="24"/>
              </w:rPr>
              <w:t>narkootiliste ja psühhotroopsete ainete salakaubavedu</w:t>
            </w:r>
            <w:r w:rsidRPr="00D032BE">
              <w:t>;</w:t>
            </w:r>
          </w:p>
          <w:p w:rsidR="00B339F3" w:rsidRPr="00D032BE" w:rsidRDefault="00B339F3" w:rsidP="00B339F3">
            <w:pPr>
              <w:pStyle w:val="kehatekst"/>
              <w:numPr>
                <w:ilvl w:val="0"/>
                <w:numId w:val="2"/>
              </w:numPr>
              <w:spacing w:line="240" w:lineRule="auto"/>
              <w:jc w:val="left"/>
            </w:pPr>
            <w:r w:rsidRPr="00D032BE">
              <w:rPr>
                <w:szCs w:val="24"/>
              </w:rPr>
              <w:t>relvade salakaubavedu</w:t>
            </w:r>
            <w:r w:rsidRPr="00D032BE">
              <w:t>;</w:t>
            </w:r>
          </w:p>
          <w:p w:rsidR="00B339F3" w:rsidRPr="00D032BE" w:rsidRDefault="00B339F3" w:rsidP="00B339F3">
            <w:pPr>
              <w:pStyle w:val="kehatekst"/>
              <w:numPr>
                <w:ilvl w:val="0"/>
                <w:numId w:val="2"/>
              </w:numPr>
              <w:spacing w:line="240" w:lineRule="auto"/>
              <w:jc w:val="left"/>
            </w:pPr>
            <w:r w:rsidRPr="00D032BE">
              <w:rPr>
                <w:szCs w:val="24"/>
              </w:rPr>
              <w:t>varastatud ja muu kauba salakaubavedu</w:t>
            </w:r>
            <w:r w:rsidRPr="00D032BE">
              <w:t>;</w:t>
            </w:r>
          </w:p>
          <w:p w:rsidR="00B339F3" w:rsidRPr="00D032BE" w:rsidRDefault="00B339F3" w:rsidP="00B339F3">
            <w:pPr>
              <w:pStyle w:val="kehatekst"/>
              <w:numPr>
                <w:ilvl w:val="0"/>
                <w:numId w:val="2"/>
              </w:numPr>
              <w:spacing w:line="240" w:lineRule="auto"/>
              <w:jc w:val="left"/>
            </w:pPr>
            <w:r w:rsidRPr="00D032BE">
              <w:rPr>
                <w:szCs w:val="24"/>
              </w:rPr>
              <w:t>korruptsioon ja altkäemaks</w:t>
            </w:r>
            <w:r w:rsidRPr="00D032BE">
              <w:t>;</w:t>
            </w:r>
          </w:p>
          <w:p w:rsidR="00B339F3" w:rsidRPr="00D032BE" w:rsidRDefault="00B339F3" w:rsidP="00B339F3">
            <w:pPr>
              <w:pStyle w:val="kehatekst"/>
              <w:numPr>
                <w:ilvl w:val="0"/>
                <w:numId w:val="2"/>
              </w:numPr>
              <w:spacing w:line="240" w:lineRule="auto"/>
              <w:jc w:val="left"/>
            </w:pPr>
            <w:r w:rsidRPr="00D032BE">
              <w:rPr>
                <w:szCs w:val="24"/>
              </w:rPr>
              <w:t>pettus</w:t>
            </w:r>
            <w:r w:rsidRPr="00D032BE">
              <w:t>;</w:t>
            </w:r>
          </w:p>
          <w:p w:rsidR="00B339F3" w:rsidRPr="00D032BE" w:rsidRDefault="00B339F3" w:rsidP="00B339F3">
            <w:pPr>
              <w:pStyle w:val="kehatekst"/>
              <w:numPr>
                <w:ilvl w:val="0"/>
                <w:numId w:val="2"/>
              </w:numPr>
              <w:spacing w:line="240" w:lineRule="auto"/>
              <w:jc w:val="left"/>
            </w:pPr>
            <w:r w:rsidRPr="00D032BE">
              <w:rPr>
                <w:szCs w:val="24"/>
              </w:rPr>
              <w:t>raha võltsimine</w:t>
            </w:r>
            <w:r w:rsidRPr="00D032BE">
              <w:t>;</w:t>
            </w:r>
          </w:p>
          <w:p w:rsidR="00B339F3" w:rsidRPr="00D032BE" w:rsidRDefault="00B339F3" w:rsidP="00B339F3">
            <w:pPr>
              <w:pStyle w:val="kehatekst"/>
              <w:numPr>
                <w:ilvl w:val="0"/>
                <w:numId w:val="2"/>
              </w:numPr>
              <w:spacing w:line="240" w:lineRule="auto"/>
              <w:jc w:val="left"/>
            </w:pPr>
            <w:r w:rsidRPr="00D032BE">
              <w:rPr>
                <w:szCs w:val="24"/>
              </w:rPr>
              <w:lastRenderedPageBreak/>
              <w:t>toodete võltsimine ja piraatkoopiate valmistamine</w:t>
            </w:r>
            <w:r w:rsidRPr="00D032BE">
              <w:t>;</w:t>
            </w:r>
          </w:p>
          <w:p w:rsidR="00B339F3" w:rsidRPr="00D032BE" w:rsidRDefault="00B339F3" w:rsidP="00B339F3">
            <w:pPr>
              <w:pStyle w:val="kehatekst"/>
              <w:numPr>
                <w:ilvl w:val="0"/>
                <w:numId w:val="2"/>
              </w:numPr>
              <w:spacing w:line="240" w:lineRule="auto"/>
              <w:jc w:val="left"/>
            </w:pPr>
            <w:r w:rsidRPr="00D032BE">
              <w:rPr>
                <w:szCs w:val="24"/>
              </w:rPr>
              <w:t>keskkonnakuriteod</w:t>
            </w:r>
            <w:r w:rsidRPr="00D032BE">
              <w:t>;</w:t>
            </w:r>
          </w:p>
          <w:p w:rsidR="00B339F3" w:rsidRPr="00D032BE" w:rsidRDefault="00B339F3" w:rsidP="00B339F3">
            <w:pPr>
              <w:pStyle w:val="kehatekst"/>
              <w:numPr>
                <w:ilvl w:val="0"/>
                <w:numId w:val="2"/>
              </w:numPr>
              <w:spacing w:line="240" w:lineRule="auto"/>
              <w:jc w:val="left"/>
            </w:pPr>
            <w:r w:rsidRPr="00D032BE">
              <w:rPr>
                <w:szCs w:val="24"/>
              </w:rPr>
              <w:t>tahtlik tapmine, raske kehavigastuse tekitamine</w:t>
            </w:r>
            <w:r w:rsidRPr="00D032BE">
              <w:t>;</w:t>
            </w:r>
          </w:p>
          <w:p w:rsidR="00B339F3" w:rsidRPr="00D032BE" w:rsidRDefault="00B339F3" w:rsidP="00B339F3">
            <w:pPr>
              <w:pStyle w:val="kehatekst"/>
              <w:numPr>
                <w:ilvl w:val="0"/>
                <w:numId w:val="2"/>
              </w:numPr>
              <w:spacing w:line="240" w:lineRule="auto"/>
              <w:jc w:val="left"/>
            </w:pPr>
            <w:r w:rsidRPr="00D032BE">
              <w:rPr>
                <w:szCs w:val="24"/>
              </w:rPr>
              <w:t>inimrööv, ebaseaduslik vabadusevõtmine ja pantvangi võtmine</w:t>
            </w:r>
            <w:r w:rsidRPr="00D032BE">
              <w:t>;</w:t>
            </w:r>
          </w:p>
          <w:p w:rsidR="00B339F3" w:rsidRPr="00D032BE" w:rsidRDefault="00B339F3" w:rsidP="00B339F3">
            <w:pPr>
              <w:pStyle w:val="kehatekst"/>
              <w:numPr>
                <w:ilvl w:val="0"/>
                <w:numId w:val="2"/>
              </w:numPr>
              <w:spacing w:line="240" w:lineRule="auto"/>
              <w:jc w:val="left"/>
            </w:pPr>
            <w:r w:rsidRPr="00D032BE">
              <w:rPr>
                <w:szCs w:val="24"/>
              </w:rPr>
              <w:t>röövimine või vargus</w:t>
            </w:r>
            <w:r w:rsidRPr="00D032BE">
              <w:t>;</w:t>
            </w:r>
          </w:p>
          <w:p w:rsidR="00B339F3" w:rsidRPr="00D032BE" w:rsidRDefault="00B339F3" w:rsidP="00B339F3">
            <w:pPr>
              <w:pStyle w:val="kehatekst"/>
              <w:numPr>
                <w:ilvl w:val="0"/>
                <w:numId w:val="2"/>
              </w:numPr>
              <w:spacing w:line="240" w:lineRule="auto"/>
              <w:jc w:val="left"/>
            </w:pPr>
            <w:r w:rsidRPr="00D032BE">
              <w:rPr>
                <w:szCs w:val="24"/>
              </w:rPr>
              <w:t>salakaubavedu</w:t>
            </w:r>
            <w:r w:rsidRPr="00D032BE">
              <w:t>; (sh seoses tolli-, aktsiisi ja muude maksudega);</w:t>
            </w:r>
          </w:p>
          <w:p w:rsidR="00B339F3" w:rsidRPr="00D032BE" w:rsidRDefault="00B339F3" w:rsidP="00B339F3">
            <w:pPr>
              <w:pStyle w:val="kehatekst"/>
              <w:numPr>
                <w:ilvl w:val="0"/>
                <w:numId w:val="2"/>
              </w:numPr>
              <w:spacing w:line="240" w:lineRule="auto"/>
              <w:jc w:val="left"/>
            </w:pPr>
            <w:r w:rsidRPr="00D032BE">
              <w:t>maksukuriteod (seoses otseste ja kaudsete maksudega);</w:t>
            </w:r>
          </w:p>
          <w:p w:rsidR="00B339F3" w:rsidRPr="00D032BE" w:rsidRDefault="00B339F3" w:rsidP="00B339F3">
            <w:pPr>
              <w:pStyle w:val="kehatekst"/>
              <w:numPr>
                <w:ilvl w:val="0"/>
                <w:numId w:val="2"/>
              </w:numPr>
              <w:spacing w:line="240" w:lineRule="auto"/>
              <w:jc w:val="left"/>
            </w:pPr>
            <w:r w:rsidRPr="00D032BE">
              <w:rPr>
                <w:szCs w:val="24"/>
              </w:rPr>
              <w:t>väljapressimine</w:t>
            </w:r>
            <w:r w:rsidRPr="00D032BE">
              <w:t>;</w:t>
            </w:r>
          </w:p>
          <w:p w:rsidR="00B339F3" w:rsidRPr="00D032BE" w:rsidRDefault="00B339F3" w:rsidP="00B339F3">
            <w:pPr>
              <w:pStyle w:val="kehatekst"/>
              <w:numPr>
                <w:ilvl w:val="0"/>
                <w:numId w:val="2"/>
              </w:numPr>
              <w:spacing w:line="240" w:lineRule="auto"/>
              <w:jc w:val="left"/>
            </w:pPr>
            <w:r w:rsidRPr="00D032BE">
              <w:rPr>
                <w:szCs w:val="24"/>
              </w:rPr>
              <w:t>võltsimine</w:t>
            </w:r>
            <w:r w:rsidRPr="00D032BE">
              <w:t>;</w:t>
            </w:r>
          </w:p>
          <w:p w:rsidR="00B339F3" w:rsidRPr="00D032BE" w:rsidRDefault="00B339F3" w:rsidP="00B339F3">
            <w:pPr>
              <w:pStyle w:val="kehatekst"/>
              <w:numPr>
                <w:ilvl w:val="0"/>
                <w:numId w:val="2"/>
              </w:numPr>
              <w:spacing w:line="240" w:lineRule="auto"/>
              <w:jc w:val="left"/>
            </w:pPr>
            <w:r w:rsidRPr="00D032BE">
              <w:rPr>
                <w:szCs w:val="24"/>
              </w:rPr>
              <w:t>piraatlus</w:t>
            </w:r>
            <w:r w:rsidRPr="00D032BE">
              <w:t xml:space="preserve"> ja</w:t>
            </w:r>
          </w:p>
          <w:p w:rsidR="00B339F3" w:rsidRPr="00D032BE" w:rsidRDefault="00B339F3" w:rsidP="00B339F3">
            <w:pPr>
              <w:pStyle w:val="kehatekst"/>
              <w:numPr>
                <w:ilvl w:val="0"/>
                <w:numId w:val="2"/>
              </w:numPr>
              <w:spacing w:line="240" w:lineRule="auto"/>
              <w:jc w:val="left"/>
            </w:pPr>
            <w:r w:rsidRPr="00D032BE">
              <w:rPr>
                <w:szCs w:val="24"/>
              </w:rPr>
              <w:t>siseteabe väärkasutamine ja turuga manipuleerimine</w:t>
            </w:r>
            <w:r w:rsidRPr="00D032BE">
              <w:t>.</w:t>
            </w:r>
          </w:p>
          <w:p w:rsidR="00B339F3" w:rsidRPr="00D032BE" w:rsidRDefault="00B339F3" w:rsidP="00B339F3">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Määrates kindlaks neid õigusrikkumisi, mida tuleks iga eespool loetletud kategooria raames lugeda eelkuriteoks, võib iga riik vastavalt oma siseriiklikule õigusele otsustada, kuidas määratleda neid õigusrikkumisi ja nende konkreetseid üksikasju, mis muudavad need õigusrikkumised tõsisteks õigusrikkumisteks.</w:t>
            </w:r>
          </w:p>
          <w:p w:rsidR="00B339F3" w:rsidRPr="00D032BE" w:rsidRDefault="00B339F3" w:rsidP="00B339F3">
            <w:pPr>
              <w:autoSpaceDE w:val="0"/>
              <w:autoSpaceDN w:val="0"/>
              <w:adjustRightInd w:val="0"/>
              <w:rPr>
                <w:lang w:val="et-EE"/>
              </w:rPr>
            </w:pPr>
          </w:p>
        </w:tc>
      </w:tr>
      <w:tr w:rsidR="00A228A0" w:rsidRPr="00942AD0">
        <w:tc>
          <w:tcPr>
            <w:tcW w:w="2803" w:type="dxa"/>
          </w:tcPr>
          <w:p w:rsidR="00A228A0" w:rsidRPr="00D032BE" w:rsidRDefault="00A228A0" w:rsidP="00A228A0">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Kolmandad </w:t>
            </w:r>
            <w:r>
              <w:rPr>
                <w:rFonts w:asciiTheme="minorHAnsi" w:hAnsiTheme="minorHAnsi" w:cstheme="minorHAnsi"/>
                <w:b/>
              </w:rPr>
              <w:t>isikud</w:t>
            </w:r>
            <w:r w:rsidRPr="00D032BE">
              <w:rPr>
                <w:rFonts w:asciiTheme="minorHAnsi" w:hAnsiTheme="minorHAnsi" w:cstheme="minorHAnsi"/>
                <w:b/>
              </w:rPr>
              <w:t xml:space="preserve"> </w:t>
            </w:r>
          </w:p>
        </w:tc>
        <w:tc>
          <w:tcPr>
            <w:tcW w:w="6377" w:type="dxa"/>
            <w:gridSpan w:val="3"/>
          </w:tcPr>
          <w:p w:rsidR="00A228A0" w:rsidRPr="00D032BE" w:rsidRDefault="00A228A0" w:rsidP="00A228A0">
            <w:pPr>
              <w:pStyle w:val="kehatekst"/>
              <w:ind w:left="0"/>
              <w:jc w:val="left"/>
            </w:pPr>
            <w:r w:rsidRPr="00D032BE">
              <w:t>Soovituste</w:t>
            </w:r>
            <w:r w:rsidR="00847867">
              <w:t xml:space="preserve"> </w:t>
            </w:r>
            <w:r w:rsidRPr="00D032BE">
              <w:t xml:space="preserve">6 ja 7 kontekstis hõlmab „kolmandad </w:t>
            </w:r>
            <w:r>
              <w:t>isikud”</w:t>
            </w:r>
            <w:r w:rsidRPr="00D032BE">
              <w:t xml:space="preserve"> muu</w:t>
            </w:r>
            <w:r>
              <w:t xml:space="preserve"> </w:t>
            </w:r>
            <w:r w:rsidRPr="00D032BE">
              <w:t xml:space="preserve">hulgas </w:t>
            </w:r>
            <w:r>
              <w:t>finantsasutus</w:t>
            </w:r>
            <w:r w:rsidRPr="00D032BE">
              <w:t>i ja mittefinantsteenuseid pakkuvaid määratud ettevõtjaid ja kutsetöötajaid.</w:t>
            </w:r>
            <w:r w:rsidRPr="00D032BE">
              <w:br/>
              <w:t>Vt ka soovituse</w:t>
            </w:r>
            <w:r w:rsidR="00847867">
              <w:t xml:space="preserve"> </w:t>
            </w:r>
            <w:r w:rsidRPr="00D032BE">
              <w:t>17 tõlgendavat märkust.</w:t>
            </w:r>
          </w:p>
        </w:tc>
      </w:tr>
      <w:tr w:rsidR="00454110" w:rsidRPr="00D032BE" w:rsidTr="00454110">
        <w:trPr>
          <w:gridAfter w:val="1"/>
          <w:wAfter w:w="46" w:type="dxa"/>
        </w:trPr>
        <w:tc>
          <w:tcPr>
            <w:tcW w:w="2803" w:type="dxa"/>
          </w:tcPr>
          <w:p w:rsidR="00454110" w:rsidRPr="00D032BE" w:rsidRDefault="00454110" w:rsidP="00454110">
            <w:pPr>
              <w:pStyle w:val="kehatekst"/>
              <w:ind w:left="0"/>
              <w:jc w:val="left"/>
              <w:rPr>
                <w:rFonts w:asciiTheme="minorHAnsi" w:hAnsiTheme="minorHAnsi" w:cstheme="minorHAnsi"/>
                <w:b/>
              </w:rPr>
            </w:pPr>
            <w:r w:rsidRPr="00D032BE">
              <w:rPr>
                <w:rFonts w:asciiTheme="minorHAnsi" w:hAnsiTheme="minorHAnsi" w:cstheme="minorHAnsi"/>
                <w:b/>
              </w:rPr>
              <w:t>Kontod</w:t>
            </w:r>
          </w:p>
        </w:tc>
        <w:tc>
          <w:tcPr>
            <w:tcW w:w="6331" w:type="dxa"/>
            <w:gridSpan w:val="2"/>
          </w:tcPr>
          <w:p w:rsidR="00454110" w:rsidRPr="00D032BE" w:rsidRDefault="00454110" w:rsidP="00454110">
            <w:pPr>
              <w:pStyle w:val="kehatekst"/>
              <w:ind w:left="0"/>
              <w:jc w:val="left"/>
            </w:pPr>
            <w:r w:rsidRPr="00D032BE">
              <w:t xml:space="preserve">Viited „kontodele” hõlmavad ka muid sarnaseid ärisuhteid </w:t>
            </w:r>
            <w:r>
              <w:t>finantsasutus</w:t>
            </w:r>
            <w:r w:rsidRPr="00D032BE">
              <w:t>te ja nende klientide vahel.</w:t>
            </w:r>
          </w:p>
        </w:tc>
      </w:tr>
      <w:tr w:rsidR="00D01ADF" w:rsidRPr="00D032BE" w:rsidTr="00D01ADF">
        <w:trPr>
          <w:gridAfter w:val="1"/>
          <w:wAfter w:w="46" w:type="dxa"/>
          <w:trHeight w:val="548"/>
        </w:trPr>
        <w:tc>
          <w:tcPr>
            <w:tcW w:w="2803" w:type="dxa"/>
          </w:tcPr>
          <w:p w:rsidR="00D01ADF" w:rsidRPr="00D032BE" w:rsidRDefault="00D01ADF" w:rsidP="00D01ADF">
            <w:pPr>
              <w:pStyle w:val="kehatekst"/>
              <w:ind w:left="0"/>
              <w:jc w:val="left"/>
              <w:rPr>
                <w:rFonts w:cstheme="minorHAnsi"/>
                <w:b/>
                <w:szCs w:val="24"/>
              </w:rPr>
            </w:pPr>
            <w:r w:rsidRPr="00121A70">
              <w:rPr>
                <w:rFonts w:asciiTheme="minorHAnsi" w:hAnsiTheme="minorHAnsi" w:cstheme="minorHAnsi"/>
                <w:b/>
              </w:rPr>
              <w:t>Konfiskeerimine</w:t>
            </w:r>
            <w:r w:rsidRPr="00D032BE">
              <w:rPr>
                <w:rFonts w:cstheme="minorHAnsi"/>
                <w:b/>
                <w:szCs w:val="24"/>
              </w:rPr>
              <w:t xml:space="preserve"> </w:t>
            </w:r>
          </w:p>
        </w:tc>
        <w:tc>
          <w:tcPr>
            <w:tcW w:w="6331" w:type="dxa"/>
            <w:gridSpan w:val="2"/>
          </w:tcPr>
          <w:p w:rsidR="00D01ADF" w:rsidRPr="00D032BE" w:rsidRDefault="00D01ADF" w:rsidP="00D01ADF">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 xml:space="preserve">Rahaliste vahendite või muu vara alaline äravõtmine pädeva asutuse või kohtu korralduse alusel. Konfiskeerimine toimub kohtu- või haldusmenetluse kaudu, millega loovutatakse riigile üleandmisele kuuluvate kindlaksmääratud rahaliste vahendite või muu vara omandiõigus. Sellisel juhul kaotab isik või üksus, kes omas konfiskeerimise ajal huvi asjaomaste vahendite või muu vara suhtes, põhimõtteliselt kõik õigused konfiskeeritud rahalistele vahenditele või muule varale. Konfiskeerimisorderid on tavaliselt seotud kriminaalkaristuse või kohtuotsusega, mille kohaselt on kindlaks tehtud, et konfiskeeritav vara on saadud seaduse </w:t>
            </w:r>
            <w:r w:rsidRPr="00D032BE">
              <w:rPr>
                <w:rFonts w:asciiTheme="majorHAnsi" w:hAnsiTheme="majorHAnsi"/>
                <w:sz w:val="24"/>
                <w:szCs w:val="24"/>
                <w:lang w:val="et-EE"/>
              </w:rPr>
              <w:lastRenderedPageBreak/>
              <w:t>rikkumise teel või kavandatud seaduse rikkumiseks.</w:t>
            </w:r>
          </w:p>
        </w:tc>
      </w:tr>
      <w:tr w:rsidR="00BC4C2F" w:rsidRPr="00D032BE">
        <w:tc>
          <w:tcPr>
            <w:tcW w:w="2834" w:type="dxa"/>
            <w:gridSpan w:val="2"/>
          </w:tcPr>
          <w:p w:rsidR="00BC4C2F" w:rsidRPr="00C560B1" w:rsidRDefault="00BC4C2F" w:rsidP="00BC4C2F">
            <w:pPr>
              <w:pStyle w:val="kehatekst"/>
              <w:ind w:left="0"/>
              <w:jc w:val="left"/>
              <w:rPr>
                <w:rFonts w:asciiTheme="minorHAnsi" w:hAnsiTheme="minorHAnsi" w:cstheme="minorHAnsi"/>
                <w:b/>
              </w:rPr>
            </w:pPr>
            <w:r w:rsidRPr="00C560B1">
              <w:rPr>
                <w:rFonts w:asciiTheme="minorHAnsi" w:hAnsiTheme="minorHAnsi" w:cstheme="minorHAnsi"/>
                <w:b/>
              </w:rPr>
              <w:lastRenderedPageBreak/>
              <w:t>Konfiskeerimine ilma süüdimõistva kohtuotsuseta</w:t>
            </w:r>
          </w:p>
        </w:tc>
        <w:tc>
          <w:tcPr>
            <w:tcW w:w="6346" w:type="dxa"/>
            <w:gridSpan w:val="2"/>
          </w:tcPr>
          <w:p w:rsidR="00BC4C2F" w:rsidRPr="00D032BE" w:rsidRDefault="00BC4C2F" w:rsidP="00BC4C2F">
            <w:pPr>
              <w:pStyle w:val="kehatekst"/>
              <w:ind w:left="0"/>
              <w:jc w:val="left"/>
            </w:pPr>
            <w:r w:rsidRPr="00C560B1">
              <w:t>Konfiskeerimine kohtumenetluse käigus, mis on seotud kuriteoga, mille eest süüdimõistva kohtuotsuse tegemine ei ole vajalik.</w:t>
            </w:r>
          </w:p>
        </w:tc>
      </w:tr>
      <w:tr w:rsidR="00B61542" w:rsidRPr="00D032BE" w:rsidTr="00B61542">
        <w:tc>
          <w:tcPr>
            <w:tcW w:w="2803" w:type="dxa"/>
          </w:tcPr>
          <w:p w:rsidR="00B61542" w:rsidRPr="00D032BE" w:rsidRDefault="00B61542" w:rsidP="00B61542">
            <w:pPr>
              <w:pStyle w:val="kehatekst"/>
              <w:ind w:left="0"/>
              <w:jc w:val="left"/>
              <w:rPr>
                <w:rFonts w:asciiTheme="minorHAnsi" w:hAnsiTheme="minorHAnsi" w:cstheme="minorHAnsi"/>
                <w:b/>
              </w:rPr>
            </w:pPr>
            <w:r w:rsidRPr="00D032BE">
              <w:rPr>
                <w:rFonts w:asciiTheme="minorHAnsi" w:hAnsiTheme="minorHAnsi" w:cstheme="minorHAnsi"/>
                <w:b/>
              </w:rPr>
              <w:t>Kordumatu tehingutunnus</w:t>
            </w:r>
          </w:p>
        </w:tc>
        <w:tc>
          <w:tcPr>
            <w:tcW w:w="6377" w:type="dxa"/>
            <w:gridSpan w:val="3"/>
          </w:tcPr>
          <w:p w:rsidR="00B61542" w:rsidRPr="00D032BE" w:rsidRDefault="00B61542" w:rsidP="00B61542">
            <w:pPr>
              <w:pStyle w:val="kehatekst"/>
              <w:ind w:left="0"/>
              <w:jc w:val="left"/>
            </w:pPr>
            <w:r w:rsidRPr="00D032BE">
              <w:t>Vt soovituse</w:t>
            </w:r>
            <w:r w:rsidR="00847867">
              <w:t xml:space="preserve"> </w:t>
            </w:r>
            <w:r w:rsidRPr="00D032BE">
              <w:t>16 tõlgendavat märkust.</w:t>
            </w:r>
          </w:p>
        </w:tc>
      </w:tr>
      <w:tr w:rsidR="00BB5E03" w:rsidRPr="003371E6">
        <w:tc>
          <w:tcPr>
            <w:tcW w:w="2803" w:type="dxa"/>
          </w:tcPr>
          <w:p w:rsidR="00BB5E03" w:rsidRPr="00D5119F" w:rsidRDefault="00BB5E03" w:rsidP="00BB5E03">
            <w:pPr>
              <w:pStyle w:val="kehatekst"/>
              <w:ind w:left="0"/>
              <w:jc w:val="left"/>
              <w:rPr>
                <w:rFonts w:asciiTheme="minorHAnsi" w:hAnsiTheme="minorHAnsi" w:cstheme="minorHAnsi"/>
                <w:b/>
              </w:rPr>
            </w:pPr>
            <w:r w:rsidRPr="00D5119F">
              <w:rPr>
                <w:rFonts w:asciiTheme="minorHAnsi" w:hAnsiTheme="minorHAnsi" w:cstheme="minorHAnsi"/>
                <w:b/>
              </w:rPr>
              <w:t>Korrespondentpangandus</w:t>
            </w:r>
          </w:p>
        </w:tc>
        <w:tc>
          <w:tcPr>
            <w:tcW w:w="6377" w:type="dxa"/>
            <w:gridSpan w:val="3"/>
          </w:tcPr>
          <w:p w:rsidR="00BB5E03" w:rsidRPr="00D032BE" w:rsidRDefault="00BB5E03" w:rsidP="00707272">
            <w:pPr>
              <w:pStyle w:val="kehatekst"/>
              <w:ind w:left="0"/>
              <w:jc w:val="left"/>
            </w:pPr>
            <w:r w:rsidRPr="00D5119F">
              <w:t>Korrespondentpanganduses osutab üks pank („korrespondentpank</w:t>
            </w:r>
            <w:r w:rsidRPr="00D5119F">
              <w:rPr>
                <w:rFonts w:asciiTheme="majorHAnsi" w:hAnsiTheme="majorHAnsi"/>
                <w:szCs w:val="24"/>
              </w:rPr>
              <w:t>”</w:t>
            </w:r>
            <w:r w:rsidRPr="00D5119F">
              <w:t>) pangandusteenuseid teisele pangale („</w:t>
            </w:r>
            <w:r w:rsidR="00D5119F" w:rsidRPr="00D5119F">
              <w:t>vastuvõttev korrespondentpank</w:t>
            </w:r>
            <w:r w:rsidRPr="00D5119F">
              <w:rPr>
                <w:rFonts w:asciiTheme="majorHAnsi" w:hAnsiTheme="majorHAnsi"/>
                <w:szCs w:val="24"/>
              </w:rPr>
              <w:t>”</w:t>
            </w:r>
            <w:r w:rsidRPr="00D5119F">
              <w:t xml:space="preserve">). Suured rahvusvahelised pangad tegutsevad tavaliselt korrespondentpankadena tuhandetele teistele pankadele üle kogu maailma. Respondentpankadele võidakse osutada laias valikus teenuseid, sh rahaliste vahendite haldust (nt intressi teenivad kontod eri valuutades), rahvusvahelisi elektroonilisi ülekandeid, tšekkide lunastamist, </w:t>
            </w:r>
            <w:r w:rsidR="00BF1067" w:rsidRPr="00BF1067">
              <w:t>laiendatud kasutusõigusega konto</w:t>
            </w:r>
            <w:r w:rsidRPr="00D5119F">
              <w:t xml:space="preserve"> teenust ja valuutavahetusteenuseid.</w:t>
            </w:r>
          </w:p>
        </w:tc>
      </w:tr>
    </w:tbl>
    <w:tbl>
      <w:tblPr>
        <w:tblpPr w:leftFromText="180" w:rightFromText="180" w:vertAnchor="text" w:tblpXSpec="right" w:tblpY="1"/>
        <w:tblOverlap w:val="never"/>
        <w:tblW w:w="9180" w:type="dxa"/>
        <w:tblLook w:val="04A0" w:firstRow="1" w:lastRow="0" w:firstColumn="1" w:lastColumn="0" w:noHBand="0" w:noVBand="1"/>
      </w:tblPr>
      <w:tblGrid>
        <w:gridCol w:w="2803"/>
        <w:gridCol w:w="6377"/>
      </w:tblGrid>
      <w:tr w:rsidR="003B75E9" w:rsidRPr="003371E6">
        <w:tc>
          <w:tcPr>
            <w:tcW w:w="2803" w:type="dxa"/>
          </w:tcPr>
          <w:p w:rsidR="003B75E9" w:rsidRPr="00D032BE" w:rsidRDefault="003B75E9" w:rsidP="003B75E9">
            <w:pPr>
              <w:pStyle w:val="kehatekst"/>
              <w:ind w:left="0"/>
              <w:jc w:val="left"/>
              <w:rPr>
                <w:rFonts w:cstheme="minorHAnsi"/>
                <w:b/>
                <w:szCs w:val="24"/>
              </w:rPr>
            </w:pPr>
            <w:r w:rsidRPr="00CD2665">
              <w:rPr>
                <w:rFonts w:asciiTheme="minorHAnsi" w:hAnsiTheme="minorHAnsi" w:cstheme="minorHAnsi"/>
                <w:b/>
              </w:rPr>
              <w:t>Kuritegelik</w:t>
            </w:r>
            <w:r w:rsidRPr="00D032BE">
              <w:rPr>
                <w:rFonts w:cstheme="minorHAnsi"/>
                <w:b/>
                <w:szCs w:val="24"/>
              </w:rPr>
              <w:t xml:space="preserve"> tegevus </w:t>
            </w:r>
          </w:p>
        </w:tc>
        <w:tc>
          <w:tcPr>
            <w:tcW w:w="6377" w:type="dxa"/>
          </w:tcPr>
          <w:p w:rsidR="003B75E9" w:rsidRPr="00D032BE" w:rsidRDefault="003B75E9" w:rsidP="003B75E9">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„Kuritegelik tegevus</w:t>
            </w:r>
            <w:r w:rsidRPr="00D032BE">
              <w:rPr>
                <w:rFonts w:ascii="Cambria" w:hAnsi="Cambria"/>
                <w:sz w:val="24"/>
                <w:szCs w:val="24"/>
                <w:lang w:val="et-EE"/>
              </w:rPr>
              <w:t>”</w:t>
            </w:r>
            <w:r w:rsidRPr="00D032BE">
              <w:rPr>
                <w:rFonts w:asciiTheme="majorHAnsi" w:hAnsiTheme="majorHAnsi"/>
                <w:sz w:val="24"/>
                <w:szCs w:val="24"/>
                <w:lang w:val="et-EE"/>
              </w:rPr>
              <w:t xml:space="preserve"> tähendab: a) kõiki kuritegusid, mida peetakse selles riigis rahapesuga seonduvaks eelkuriteoks või b) vähemalt selliseid õigusrikkumisi, mida soovituse</w:t>
            </w:r>
            <w:r w:rsidR="00847867">
              <w:rPr>
                <w:rFonts w:asciiTheme="majorHAnsi" w:hAnsiTheme="majorHAnsi"/>
                <w:sz w:val="24"/>
                <w:szCs w:val="24"/>
                <w:lang w:val="et-EE"/>
              </w:rPr>
              <w:t xml:space="preserve"> </w:t>
            </w:r>
            <w:r w:rsidRPr="00D032BE">
              <w:rPr>
                <w:rFonts w:asciiTheme="majorHAnsi" w:hAnsiTheme="majorHAnsi"/>
                <w:sz w:val="24"/>
                <w:szCs w:val="24"/>
                <w:lang w:val="et-EE"/>
              </w:rPr>
              <w:t>3 kohaselt loetakse eelkuriteoks.</w:t>
            </w:r>
          </w:p>
          <w:p w:rsidR="003B75E9" w:rsidRPr="00D032BE" w:rsidRDefault="003B75E9" w:rsidP="003B75E9">
            <w:pPr>
              <w:autoSpaceDE w:val="0"/>
              <w:autoSpaceDN w:val="0"/>
              <w:adjustRightInd w:val="0"/>
              <w:rPr>
                <w:rFonts w:asciiTheme="majorHAnsi" w:hAnsiTheme="majorHAnsi"/>
                <w:sz w:val="24"/>
                <w:szCs w:val="24"/>
                <w:lang w:val="et-EE"/>
              </w:rPr>
            </w:pPr>
          </w:p>
        </w:tc>
      </w:tr>
      <w:tr w:rsidR="00BC4C2F" w:rsidRPr="00D032BE">
        <w:tc>
          <w:tcPr>
            <w:tcW w:w="2803" w:type="dxa"/>
          </w:tcPr>
          <w:p w:rsidR="00BC4C2F" w:rsidRPr="00D032BE" w:rsidRDefault="00BF1067" w:rsidP="00BC4C2F">
            <w:pPr>
              <w:pStyle w:val="kehatekst"/>
              <w:ind w:left="0"/>
              <w:jc w:val="left"/>
              <w:rPr>
                <w:rFonts w:asciiTheme="minorHAnsi" w:hAnsiTheme="minorHAnsi" w:cstheme="minorHAnsi"/>
                <w:b/>
              </w:rPr>
            </w:pPr>
            <w:r>
              <w:rPr>
                <w:rFonts w:asciiTheme="minorHAnsi" w:hAnsiTheme="minorHAnsi" w:cstheme="minorHAnsi"/>
                <w:b/>
              </w:rPr>
              <w:t>L</w:t>
            </w:r>
            <w:r w:rsidRPr="00BF1067">
              <w:rPr>
                <w:rFonts w:asciiTheme="minorHAnsi" w:hAnsiTheme="minorHAnsi" w:cstheme="minorHAnsi"/>
                <w:b/>
              </w:rPr>
              <w:t>aiendatud kasutusõigusega konto</w:t>
            </w:r>
            <w:r w:rsidR="00BC4C2F">
              <w:rPr>
                <w:rFonts w:asciiTheme="minorHAnsi" w:hAnsiTheme="minorHAnsi" w:cstheme="minorHAnsi"/>
                <w:b/>
              </w:rPr>
              <w:t xml:space="preserve"> (</w:t>
            </w:r>
            <w:proofErr w:type="spellStart"/>
            <w:r w:rsidR="00707272">
              <w:rPr>
                <w:rFonts w:asciiTheme="minorHAnsi" w:hAnsiTheme="minorHAnsi" w:cstheme="minorHAnsi"/>
                <w:b/>
              </w:rPr>
              <w:t>Ingl</w:t>
            </w:r>
            <w:proofErr w:type="spellEnd"/>
            <w:r w:rsidR="00707272">
              <w:rPr>
                <w:rFonts w:asciiTheme="minorHAnsi" w:hAnsiTheme="minorHAnsi" w:cstheme="minorHAnsi"/>
                <w:b/>
              </w:rPr>
              <w:t xml:space="preserve">. k. - </w:t>
            </w:r>
            <w:proofErr w:type="spellStart"/>
            <w:r w:rsidR="00BC4C2F" w:rsidRPr="005924A1">
              <w:rPr>
                <w:rFonts w:asciiTheme="minorHAnsi" w:hAnsiTheme="minorHAnsi" w:cstheme="minorHAnsi"/>
                <w:b/>
                <w:i/>
              </w:rPr>
              <w:t>Payable-through</w:t>
            </w:r>
            <w:proofErr w:type="spellEnd"/>
            <w:r w:rsidR="00BC4C2F" w:rsidRPr="005924A1">
              <w:rPr>
                <w:rFonts w:asciiTheme="minorHAnsi" w:hAnsiTheme="minorHAnsi" w:cstheme="minorHAnsi"/>
                <w:b/>
                <w:i/>
              </w:rPr>
              <w:t xml:space="preserve"> </w:t>
            </w:r>
            <w:proofErr w:type="spellStart"/>
            <w:r w:rsidR="00BC4C2F" w:rsidRPr="005924A1">
              <w:rPr>
                <w:rFonts w:asciiTheme="minorHAnsi" w:hAnsiTheme="minorHAnsi" w:cstheme="minorHAnsi"/>
                <w:b/>
                <w:i/>
              </w:rPr>
              <w:t>accounts</w:t>
            </w:r>
            <w:proofErr w:type="spellEnd"/>
            <w:r w:rsidR="00BC4C2F">
              <w:rPr>
                <w:rFonts w:asciiTheme="minorHAnsi" w:hAnsiTheme="minorHAnsi" w:cstheme="minorHAnsi"/>
                <w:b/>
              </w:rPr>
              <w:t>)</w:t>
            </w:r>
          </w:p>
        </w:tc>
        <w:tc>
          <w:tcPr>
            <w:tcW w:w="6377" w:type="dxa"/>
          </w:tcPr>
          <w:p w:rsidR="00BC4C2F" w:rsidRPr="00D032BE" w:rsidRDefault="00BC4C2F" w:rsidP="00BF1067">
            <w:pPr>
              <w:pStyle w:val="kehatekst"/>
              <w:ind w:left="0"/>
              <w:jc w:val="left"/>
            </w:pPr>
            <w:r w:rsidRPr="00D032BE">
              <w:t>Vt soovituse</w:t>
            </w:r>
            <w:r w:rsidR="00847867">
              <w:t xml:space="preserve"> </w:t>
            </w:r>
            <w:r w:rsidRPr="00D032BE">
              <w:t>1</w:t>
            </w:r>
            <w:r w:rsidR="00BF1067">
              <w:t>3</w:t>
            </w:r>
            <w:r w:rsidRPr="00D032BE">
              <w:t xml:space="preserve"> tõlgendavat märkust.</w:t>
            </w:r>
          </w:p>
        </w:tc>
      </w:tr>
    </w:tbl>
    <w:tbl>
      <w:tblPr>
        <w:tblW w:w="9180" w:type="dxa"/>
        <w:tblLook w:val="04A0" w:firstRow="1" w:lastRow="0" w:firstColumn="1" w:lastColumn="0" w:noHBand="0" w:noVBand="1"/>
      </w:tblPr>
      <w:tblGrid>
        <w:gridCol w:w="2800"/>
        <w:gridCol w:w="62"/>
        <w:gridCol w:w="6212"/>
        <w:gridCol w:w="45"/>
        <w:gridCol w:w="61"/>
      </w:tblGrid>
      <w:tr w:rsidR="00DB7D79" w:rsidRPr="00D032BE" w:rsidTr="00DB7D79">
        <w:trPr>
          <w:gridAfter w:val="1"/>
          <w:wAfter w:w="61" w:type="dxa"/>
        </w:trPr>
        <w:tc>
          <w:tcPr>
            <w:tcW w:w="2803" w:type="dxa"/>
          </w:tcPr>
          <w:p w:rsidR="00DB7D79" w:rsidRPr="00D032BE" w:rsidRDefault="00DB7D79" w:rsidP="00DB7D79">
            <w:pPr>
              <w:pStyle w:val="kehatekst"/>
              <w:ind w:left="0"/>
              <w:jc w:val="left"/>
              <w:rPr>
                <w:rFonts w:asciiTheme="minorHAnsi" w:hAnsiTheme="minorHAnsi" w:cstheme="minorHAnsi"/>
                <w:b/>
              </w:rPr>
            </w:pPr>
            <w:r>
              <w:rPr>
                <w:rFonts w:asciiTheme="minorHAnsi" w:hAnsiTheme="minorHAnsi" w:cstheme="minorHAnsi"/>
                <w:b/>
              </w:rPr>
              <w:t>Lepingulised õ</w:t>
            </w:r>
            <w:r w:rsidRPr="00D032BE">
              <w:rPr>
                <w:rFonts w:asciiTheme="minorHAnsi" w:hAnsiTheme="minorHAnsi" w:cstheme="minorHAnsi"/>
                <w:b/>
              </w:rPr>
              <w:t>iguslikud üksused</w:t>
            </w:r>
          </w:p>
        </w:tc>
        <w:tc>
          <w:tcPr>
            <w:tcW w:w="6377" w:type="dxa"/>
            <w:gridSpan w:val="3"/>
          </w:tcPr>
          <w:p w:rsidR="00DB7D79" w:rsidRPr="00D032BE" w:rsidRDefault="00DB7D79" w:rsidP="00DB7D79">
            <w:pPr>
              <w:pStyle w:val="kehatekst"/>
              <w:ind w:left="0"/>
              <w:jc w:val="left"/>
            </w:pPr>
            <w:r w:rsidRPr="00D032BE">
              <w:t xml:space="preserve">Usaldusfondid ja muud sarnased </w:t>
            </w:r>
            <w:r>
              <w:t xml:space="preserve">lepingulised </w:t>
            </w:r>
            <w:r w:rsidRPr="00D032BE">
              <w:t xml:space="preserve">õiguslikud üksused. </w:t>
            </w:r>
            <w:r>
              <w:t>Rahapesu</w:t>
            </w:r>
            <w:r w:rsidRPr="00D032BE">
              <w:t xml:space="preserve"> ja terrorismi rahastamise </w:t>
            </w:r>
            <w:r>
              <w:t>tõkestamise</w:t>
            </w:r>
            <w:r w:rsidRPr="00D032BE">
              <w:t xml:space="preserve"> kontekstis on sarnased õiguslikud üksused näiteks </w:t>
            </w:r>
            <w:proofErr w:type="spellStart"/>
            <w:r w:rsidRPr="00D032BE">
              <w:rPr>
                <w:i/>
              </w:rPr>
              <w:t>fiducie</w:t>
            </w:r>
            <w:proofErr w:type="spellEnd"/>
            <w:r w:rsidRPr="00D032BE">
              <w:t xml:space="preserve">, </w:t>
            </w:r>
            <w:proofErr w:type="spellStart"/>
            <w:r w:rsidRPr="00D032BE">
              <w:rPr>
                <w:i/>
              </w:rPr>
              <w:t>treuhand</w:t>
            </w:r>
            <w:proofErr w:type="spellEnd"/>
            <w:r w:rsidRPr="00D032BE">
              <w:t xml:space="preserve"> ja </w:t>
            </w:r>
            <w:proofErr w:type="spellStart"/>
            <w:r w:rsidRPr="00D032BE">
              <w:rPr>
                <w:i/>
              </w:rPr>
              <w:t>fideicomiso</w:t>
            </w:r>
            <w:proofErr w:type="spellEnd"/>
            <w:r w:rsidRPr="00D032BE">
              <w:t xml:space="preserve">. </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 xml:space="preserve">Makse algataja </w:t>
            </w:r>
          </w:p>
        </w:tc>
        <w:tc>
          <w:tcPr>
            <w:tcW w:w="6377" w:type="dxa"/>
            <w:gridSpan w:val="3"/>
          </w:tcPr>
          <w:p w:rsidR="00DB7D79" w:rsidRPr="00D032BE" w:rsidRDefault="00DB7D79" w:rsidP="00DB7D79">
            <w:pPr>
              <w:pStyle w:val="kehatekst"/>
              <w:ind w:left="0"/>
              <w:jc w:val="left"/>
            </w:pPr>
            <w:r w:rsidRPr="00D032BE">
              <w:t>Vt soovituse</w:t>
            </w:r>
            <w:r>
              <w:t xml:space="preserve"> </w:t>
            </w:r>
            <w:r w:rsidRPr="00D032BE">
              <w:t>16 tõlgendavat märkust.</w:t>
            </w:r>
          </w:p>
        </w:tc>
      </w:tr>
      <w:tr w:rsidR="00DB7D79" w:rsidRPr="00D032BE" w:rsidTr="00EE6033">
        <w:trPr>
          <w:gridAfter w:val="2"/>
          <w:wAfter w:w="108"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 xml:space="preserve">Makse saaja </w:t>
            </w:r>
          </w:p>
        </w:tc>
        <w:tc>
          <w:tcPr>
            <w:tcW w:w="6331" w:type="dxa"/>
            <w:gridSpan w:val="2"/>
          </w:tcPr>
          <w:p w:rsidR="00DB7D79" w:rsidRPr="00D032BE" w:rsidRDefault="00DB7D79" w:rsidP="00DB7D79">
            <w:pPr>
              <w:pStyle w:val="kehatekst"/>
              <w:ind w:left="0"/>
              <w:jc w:val="left"/>
            </w:pPr>
            <w:r w:rsidRPr="00D032BE">
              <w:t>Selle mõiste tähendus FATFi soovitustes sõltub kontekstist:</w:t>
            </w:r>
          </w:p>
          <w:p w:rsidR="00DB7D79" w:rsidRPr="00F415B9" w:rsidRDefault="00DB7D79" w:rsidP="00DB7D79">
            <w:pPr>
              <w:pStyle w:val="kehatekst"/>
              <w:numPr>
                <w:ilvl w:val="0"/>
                <w:numId w:val="2"/>
              </w:numPr>
              <w:spacing w:line="240" w:lineRule="auto"/>
              <w:ind w:left="601"/>
              <w:jc w:val="left"/>
            </w:pPr>
            <w:r w:rsidRPr="00D052FF">
              <w:t xml:space="preserve">investeerimisfondide õiguses on makse saaja isik või isikud, kellel on õigus saada kasu investeerimisfondist. Makse saaja võib olla füüsiline või juriidiline isik või </w:t>
            </w:r>
            <w:r>
              <w:t xml:space="preserve">lepinguline </w:t>
            </w:r>
            <w:r w:rsidRPr="00D052FF">
              <w:t xml:space="preserve">õiguslik üksus. </w:t>
            </w:r>
            <w:r w:rsidRPr="00F415B9">
              <w:t>F</w:t>
            </w:r>
            <w:r>
              <w:t xml:space="preserve">ondiõiguses on makse saaja isik või isikud, kellel on õigus saada usaldusfondist tulu. Makse saaja võib olla füüsiline või juriidiline isik või lepinguline õiguslik üksus. Kõikidel usaldusfondidel (v.a </w:t>
            </w:r>
            <w:r>
              <w:lastRenderedPageBreak/>
              <w:t>heategevuslikel või seadusega lubatud mitteheategevuslikel usaldusfondidel) peavad olema tuvastatavad makse saajad. Kuigi usaldusfondidel peab alati olema lõplikult tuvastatav makse saaja, ei pruugi neil olla konkreetselt määratletud makse saajaid, vaid ainult volituste objektid, kuni teatud isikutel tekib eelnevalt määratud perioodi (kogumisperioodi) lõpul õigus saada fondist tulu või kapitali. See periood on tavaliselt sama pikk kui usaldusfondi kestvusperiood, mida usalduslepingus nimetatakse usaldusfondi perioodiks;</w:t>
            </w:r>
          </w:p>
          <w:p w:rsidR="00DB7D79" w:rsidRPr="00D032BE" w:rsidRDefault="00DB7D79" w:rsidP="00DB7D79">
            <w:pPr>
              <w:pStyle w:val="kehatekst"/>
              <w:numPr>
                <w:ilvl w:val="0"/>
                <w:numId w:val="2"/>
              </w:numPr>
              <w:spacing w:line="240" w:lineRule="auto"/>
              <w:ind w:left="601"/>
              <w:jc w:val="left"/>
            </w:pPr>
            <w:r w:rsidRPr="00D032BE">
              <w:t xml:space="preserve">elukindlustuse või muu investeeringutega seotud kindlustuse kontekstis on soodustatud isik füüsiline või juriidiline isik või </w:t>
            </w:r>
            <w:r>
              <w:t xml:space="preserve">lepinguline </w:t>
            </w:r>
            <w:r w:rsidRPr="00D032BE">
              <w:t>õiguslik üksus või isikute liik, kellele makstakse välja poliisist tulenev tulu juhul/siis, kui toimub poliisiga hõlmatud kindlustusjuhtum.</w:t>
            </w:r>
          </w:p>
          <w:p w:rsidR="00DB7D79" w:rsidRPr="00D032BE" w:rsidRDefault="00DB7D79" w:rsidP="00DB7D79">
            <w:pPr>
              <w:pStyle w:val="kehatekst"/>
              <w:ind w:left="0"/>
              <w:jc w:val="left"/>
            </w:pPr>
            <w:r w:rsidRPr="00D032BE">
              <w:t>Vt ka soovituste</w:t>
            </w:r>
            <w:r>
              <w:t xml:space="preserve"> </w:t>
            </w:r>
            <w:r w:rsidRPr="00D032BE">
              <w:t xml:space="preserve">10 ja 16 tõlgendavaid märkusi. </w:t>
            </w:r>
          </w:p>
        </w:tc>
      </w:tr>
      <w:tr w:rsidR="00DB7D79" w:rsidRPr="00D032BE" w:rsidTr="00EE6033">
        <w:trPr>
          <w:gridAfter w:val="2"/>
          <w:wAfter w:w="108"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Maksesaaja </w:t>
            </w:r>
            <w:r>
              <w:rPr>
                <w:rFonts w:asciiTheme="minorHAnsi" w:hAnsiTheme="minorHAnsi" w:cstheme="minorHAnsi"/>
                <w:b/>
              </w:rPr>
              <w:t>finantsasutus</w:t>
            </w:r>
          </w:p>
        </w:tc>
        <w:tc>
          <w:tcPr>
            <w:tcW w:w="6331" w:type="dxa"/>
            <w:gridSpan w:val="2"/>
          </w:tcPr>
          <w:p w:rsidR="00DB7D79" w:rsidRPr="00D032BE" w:rsidRDefault="00DB7D79" w:rsidP="00DB7D79">
            <w:pPr>
              <w:pStyle w:val="kehatekst"/>
              <w:ind w:left="0"/>
              <w:jc w:val="left"/>
            </w:pPr>
            <w:r w:rsidRPr="00D032BE">
              <w:t>Vt soovituse</w:t>
            </w:r>
            <w:r>
              <w:t xml:space="preserve"> </w:t>
            </w:r>
            <w:r w:rsidRPr="00D032BE">
              <w:t>16 tõlgendavat märkust.</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Mittefinantsteenuseid pakkuvad määratud ettevõtjad ja kutsetöötajad</w:t>
            </w:r>
          </w:p>
        </w:tc>
        <w:tc>
          <w:tcPr>
            <w:tcW w:w="6377" w:type="dxa"/>
            <w:gridSpan w:val="3"/>
          </w:tcPr>
          <w:p w:rsidR="00DB7D79" w:rsidRPr="00D032BE" w:rsidRDefault="00DB7D79" w:rsidP="00DB7D79">
            <w:pPr>
              <w:pStyle w:val="kehatekst"/>
              <w:ind w:left="34"/>
              <w:jc w:val="left"/>
            </w:pPr>
            <w:r w:rsidRPr="00D032BE">
              <w:t>„Mittefinantsteenuseid pakkuvad määratud ettevõtjad ja kutsetöötajad</w:t>
            </w:r>
            <w:r w:rsidRPr="00D032BE">
              <w:rPr>
                <w:szCs w:val="24"/>
              </w:rPr>
              <w:t>”</w:t>
            </w:r>
            <w:r w:rsidRPr="00D032BE">
              <w:t xml:space="preserve"> on järgmised:</w:t>
            </w:r>
          </w:p>
          <w:p w:rsidR="00DB7D79" w:rsidRPr="00D032BE" w:rsidRDefault="00DB7D79" w:rsidP="00DB7D79">
            <w:pPr>
              <w:pStyle w:val="kehatekst"/>
              <w:numPr>
                <w:ilvl w:val="0"/>
                <w:numId w:val="3"/>
              </w:numPr>
              <w:spacing w:line="240" w:lineRule="auto"/>
              <w:ind w:left="743"/>
              <w:jc w:val="left"/>
            </w:pPr>
            <w:r w:rsidRPr="00D032BE">
              <w:t>kasiinod</w:t>
            </w:r>
            <w:r w:rsidRPr="00D032BE">
              <w:rPr>
                <w:rStyle w:val="Allmrkuseviide"/>
              </w:rPr>
              <w:footnoteReference w:id="56"/>
            </w:r>
            <w:r w:rsidRPr="00D032BE">
              <w:t>;</w:t>
            </w:r>
          </w:p>
          <w:p w:rsidR="00DB7D79" w:rsidRPr="00D032BE" w:rsidRDefault="00DB7D79" w:rsidP="00DB7D79">
            <w:pPr>
              <w:pStyle w:val="kehatekst"/>
              <w:numPr>
                <w:ilvl w:val="0"/>
                <w:numId w:val="3"/>
              </w:numPr>
              <w:spacing w:line="240" w:lineRule="auto"/>
              <w:ind w:left="743"/>
              <w:jc w:val="left"/>
            </w:pPr>
            <w:r w:rsidRPr="00D032BE">
              <w:rPr>
                <w:szCs w:val="24"/>
              </w:rPr>
              <w:t>kinnisvaravahendajad;</w:t>
            </w:r>
          </w:p>
          <w:p w:rsidR="00DB7D79" w:rsidRPr="00D032BE" w:rsidRDefault="00DB7D79" w:rsidP="00DB7D79">
            <w:pPr>
              <w:pStyle w:val="kehatekst"/>
              <w:numPr>
                <w:ilvl w:val="0"/>
                <w:numId w:val="3"/>
              </w:numPr>
              <w:spacing w:line="240" w:lineRule="auto"/>
              <w:ind w:left="743"/>
              <w:jc w:val="left"/>
            </w:pPr>
            <w:r w:rsidRPr="00D032BE">
              <w:rPr>
                <w:szCs w:val="24"/>
              </w:rPr>
              <w:t>väärismetallidega kauplejad</w:t>
            </w:r>
            <w:r w:rsidRPr="00D032BE">
              <w:t>;</w:t>
            </w:r>
          </w:p>
          <w:p w:rsidR="00DB7D79" w:rsidRPr="00D032BE" w:rsidRDefault="00DB7D79" w:rsidP="00DB7D79">
            <w:pPr>
              <w:pStyle w:val="kehatekst"/>
              <w:numPr>
                <w:ilvl w:val="0"/>
                <w:numId w:val="3"/>
              </w:numPr>
              <w:spacing w:line="240" w:lineRule="auto"/>
              <w:ind w:left="743"/>
              <w:jc w:val="left"/>
            </w:pPr>
            <w:r w:rsidRPr="00D032BE">
              <w:rPr>
                <w:szCs w:val="24"/>
              </w:rPr>
              <w:t>vääriskividega kauplejad;</w:t>
            </w:r>
          </w:p>
          <w:p w:rsidR="00DB7D79" w:rsidRPr="00D032BE" w:rsidRDefault="00DB7D79" w:rsidP="00DB7D79">
            <w:pPr>
              <w:pStyle w:val="kehatekst"/>
              <w:numPr>
                <w:ilvl w:val="0"/>
                <w:numId w:val="3"/>
              </w:numPr>
              <w:spacing w:line="240" w:lineRule="auto"/>
              <w:ind w:left="743"/>
              <w:jc w:val="left"/>
            </w:pPr>
            <w:r w:rsidRPr="00D032BE">
              <w:rPr>
                <w:szCs w:val="24"/>
              </w:rPr>
              <w:t xml:space="preserve">juristid, notarid, muud õigusteenuse osutajad ja raamatupidajad </w:t>
            </w:r>
            <w:r w:rsidRPr="00D032BE">
              <w:t xml:space="preserve">– </w:t>
            </w:r>
            <w:r w:rsidRPr="00D032BE">
              <w:rPr>
                <w:szCs w:val="24"/>
              </w:rPr>
              <w:t>sh füüsilisest isikust ettevõtjad, vastavas valdkonnas tegutseva äriühingu osanikud või palgalised töötajad</w:t>
            </w:r>
            <w:r w:rsidRPr="00D032BE">
              <w:t xml:space="preserve">. </w:t>
            </w:r>
            <w:r w:rsidRPr="00D032BE">
              <w:rPr>
                <w:szCs w:val="24"/>
              </w:rPr>
              <w:t xml:space="preserve">Mõiste ei hõlma sarnaseid kutsetöötajaid, kes töötavad muu valdkonna ettevõtetes, ega ka riigiastutuste kutsetöötajaid, kelle suhtes on võib-olla juba </w:t>
            </w:r>
            <w:r>
              <w:rPr>
                <w:szCs w:val="24"/>
              </w:rPr>
              <w:t>rakendatud</w:t>
            </w:r>
            <w:r w:rsidRPr="00D032BE">
              <w:rPr>
                <w:szCs w:val="24"/>
              </w:rPr>
              <w:t xml:space="preserve"> </w:t>
            </w:r>
            <w:r>
              <w:rPr>
                <w:szCs w:val="24"/>
              </w:rPr>
              <w:t>rahapesu</w:t>
            </w:r>
            <w:r w:rsidRPr="00D032BE">
              <w:rPr>
                <w:szCs w:val="24"/>
              </w:rPr>
              <w:t xml:space="preserve"> ja terrorismi rahastamise </w:t>
            </w:r>
            <w:r>
              <w:rPr>
                <w:szCs w:val="24"/>
              </w:rPr>
              <w:t>tõkestamise</w:t>
            </w:r>
            <w:r w:rsidRPr="00D032BE">
              <w:rPr>
                <w:szCs w:val="24"/>
              </w:rPr>
              <w:t xml:space="preserve"> meetmeid</w:t>
            </w:r>
            <w:r w:rsidRPr="00D032BE">
              <w:t>.</w:t>
            </w:r>
          </w:p>
          <w:p w:rsidR="00DB7D79" w:rsidRPr="00D032BE" w:rsidRDefault="00DB7D79" w:rsidP="00DB7D79">
            <w:pPr>
              <w:pStyle w:val="kehatekst"/>
              <w:numPr>
                <w:ilvl w:val="0"/>
                <w:numId w:val="3"/>
              </w:numPr>
              <w:spacing w:line="240" w:lineRule="auto"/>
              <w:ind w:left="743"/>
              <w:jc w:val="left"/>
            </w:pPr>
            <w:r w:rsidRPr="00D032BE">
              <w:rPr>
                <w:szCs w:val="24"/>
              </w:rPr>
              <w:t>usaldusfondide ja äriühingute teenuste osutajad on kõik isikud ja äriühingud, mida ei hõlma muud käesolevates soovitustes kasutatud mõisted ja mis osutavad kolmandatele isikutele järgmisi teenuseid:</w:t>
            </w:r>
            <w:r w:rsidRPr="00D032BE">
              <w:t xml:space="preserve"> </w:t>
            </w:r>
          </w:p>
          <w:p w:rsidR="00DB7D79" w:rsidRPr="00D032BE" w:rsidRDefault="00DB7D79" w:rsidP="00DB7D79">
            <w:pPr>
              <w:pStyle w:val="kehatekst"/>
              <w:numPr>
                <w:ilvl w:val="0"/>
                <w:numId w:val="5"/>
              </w:numPr>
              <w:spacing w:line="240" w:lineRule="auto"/>
              <w:jc w:val="left"/>
            </w:pPr>
            <w:r w:rsidRPr="00D032BE">
              <w:rPr>
                <w:szCs w:val="24"/>
              </w:rPr>
              <w:t>juriidiliste isikute asutamine</w:t>
            </w:r>
            <w:r w:rsidRPr="00D032BE">
              <w:t>;</w:t>
            </w:r>
          </w:p>
          <w:p w:rsidR="00DB7D79" w:rsidRPr="00D032BE" w:rsidRDefault="00DB7D79" w:rsidP="00DB7D79">
            <w:pPr>
              <w:pStyle w:val="kehatekst"/>
              <w:numPr>
                <w:ilvl w:val="0"/>
                <w:numId w:val="5"/>
              </w:numPr>
              <w:spacing w:line="240" w:lineRule="auto"/>
              <w:jc w:val="left"/>
            </w:pPr>
            <w:r w:rsidRPr="00D032BE">
              <w:rPr>
                <w:szCs w:val="24"/>
              </w:rPr>
              <w:t xml:space="preserve">tegutsemine juhi või juhatuse liikmena äriühingus, osanikuna täisühingus või sarnasel positsioonil teiste juriidiliste isikute juures, samuti teise isiku </w:t>
            </w:r>
            <w:r w:rsidRPr="00D032BE">
              <w:rPr>
                <w:szCs w:val="24"/>
              </w:rPr>
              <w:lastRenderedPageBreak/>
              <w:t>kõnealustele ametikohtadele asumise korraldamine</w:t>
            </w:r>
            <w:r w:rsidRPr="00D032BE">
              <w:t>;</w:t>
            </w:r>
          </w:p>
          <w:p w:rsidR="00DB7D79" w:rsidRPr="00D032BE" w:rsidRDefault="00DB7D79" w:rsidP="00DB7D79">
            <w:pPr>
              <w:pStyle w:val="kehatekst"/>
              <w:numPr>
                <w:ilvl w:val="0"/>
                <w:numId w:val="5"/>
              </w:numPr>
              <w:spacing w:line="240" w:lineRule="auto"/>
              <w:jc w:val="left"/>
            </w:pPr>
            <w:r w:rsidRPr="00D032BE">
              <w:rPr>
                <w:szCs w:val="24"/>
              </w:rPr>
              <w:t>asukoha, äritegevuse aadressi või ruumide, posti- või haldusaadressi pakkumine äriühingule, seltsingule või teistele juriidilistele isikutele või üksustele</w:t>
            </w:r>
            <w:r w:rsidRPr="00D032BE">
              <w:t>;</w:t>
            </w:r>
          </w:p>
          <w:p w:rsidR="00DB7D79" w:rsidRPr="00D032BE" w:rsidRDefault="00DB7D79" w:rsidP="00DB7D79">
            <w:pPr>
              <w:pStyle w:val="kehatekst"/>
              <w:numPr>
                <w:ilvl w:val="0"/>
                <w:numId w:val="5"/>
              </w:numPr>
              <w:spacing w:line="240" w:lineRule="auto"/>
              <w:jc w:val="left"/>
            </w:pPr>
            <w:r w:rsidRPr="00D032BE">
              <w:t xml:space="preserve">tegutsemine usaldusfondi volinikuna või võrdväärse funktsiooni täitmine muud liiki </w:t>
            </w:r>
            <w:r>
              <w:t xml:space="preserve">lepingulise </w:t>
            </w:r>
            <w:r w:rsidRPr="00D032BE">
              <w:t xml:space="preserve">õigusliku üksuse jaoks, </w:t>
            </w:r>
            <w:r w:rsidRPr="00D032BE">
              <w:rPr>
                <w:szCs w:val="24"/>
              </w:rPr>
              <w:t>samuti teise isiku kõnealustele ametikohtadele asumise korraldamine</w:t>
            </w:r>
            <w:r w:rsidRPr="00D032BE">
              <w:t>;</w:t>
            </w:r>
          </w:p>
          <w:p w:rsidR="00DB7D79" w:rsidRPr="00D032BE" w:rsidRDefault="00DB7D79" w:rsidP="00DB7D79">
            <w:pPr>
              <w:pStyle w:val="kehatekst"/>
              <w:numPr>
                <w:ilvl w:val="0"/>
                <w:numId w:val="5"/>
              </w:numPr>
              <w:spacing w:line="240" w:lineRule="auto"/>
              <w:jc w:val="left"/>
            </w:pPr>
            <w:r w:rsidRPr="00D032BE">
              <w:rPr>
                <w:szCs w:val="24"/>
              </w:rPr>
              <w:t>aktsionäri esindajana tegutsemine või teise isiku aktsionäri esindajana tegutsemise korraldamine</w:t>
            </w:r>
            <w:r w:rsidRPr="00D032BE">
              <w:t>.</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Mittetulunduslikud partnerorganisatsioonid </w:t>
            </w:r>
          </w:p>
        </w:tc>
        <w:tc>
          <w:tcPr>
            <w:tcW w:w="6377" w:type="dxa"/>
            <w:gridSpan w:val="3"/>
          </w:tcPr>
          <w:p w:rsidR="00DB7D79" w:rsidRPr="00D032BE" w:rsidRDefault="00DB7D79" w:rsidP="00DB7D79">
            <w:pPr>
              <w:pStyle w:val="kehatekst"/>
              <w:ind w:left="0"/>
              <w:jc w:val="left"/>
            </w:pPr>
          </w:p>
          <w:p w:rsidR="00DB7D79" w:rsidRPr="00D032BE" w:rsidRDefault="00DB7D79" w:rsidP="00DB7D79">
            <w:pPr>
              <w:pStyle w:val="kehatekst"/>
              <w:ind w:left="0"/>
              <w:jc w:val="left"/>
            </w:pPr>
            <w:r w:rsidRPr="00D032BE">
              <w:t>Vt soovituse</w:t>
            </w:r>
            <w:r>
              <w:t xml:space="preserve"> </w:t>
            </w:r>
            <w:r w:rsidRPr="00D032BE">
              <w:t>8 tõlgendavat märkust.</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Mittetulundusühingud</w:t>
            </w:r>
          </w:p>
        </w:tc>
        <w:tc>
          <w:tcPr>
            <w:tcW w:w="6377" w:type="dxa"/>
            <w:gridSpan w:val="3"/>
          </w:tcPr>
          <w:p w:rsidR="00DB7D79" w:rsidRPr="00D032BE" w:rsidRDefault="00DB7D79" w:rsidP="00DB7D79">
            <w:pPr>
              <w:pStyle w:val="kehatekst"/>
              <w:ind w:left="0"/>
              <w:jc w:val="left"/>
            </w:pPr>
            <w:r w:rsidRPr="00D032BE">
              <w:t>Vt soovituse</w:t>
            </w:r>
            <w:r>
              <w:t xml:space="preserve"> </w:t>
            </w:r>
            <w:r w:rsidRPr="00D032BE">
              <w:t>8 tõlgendavat märkust.</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Mõistlikud meetmed</w:t>
            </w:r>
          </w:p>
        </w:tc>
        <w:tc>
          <w:tcPr>
            <w:tcW w:w="6377" w:type="dxa"/>
            <w:gridSpan w:val="3"/>
          </w:tcPr>
          <w:p w:rsidR="00DB7D79" w:rsidRPr="00D032BE" w:rsidRDefault="00DB7D79" w:rsidP="00DB7D79">
            <w:pPr>
              <w:pStyle w:val="kehatekst"/>
              <w:ind w:left="0"/>
              <w:jc w:val="left"/>
            </w:pPr>
            <w:r w:rsidRPr="00D032BE">
              <w:t xml:space="preserve">Asjakohased meetmed, mis on </w:t>
            </w:r>
            <w:r>
              <w:t>rahapesu</w:t>
            </w:r>
            <w:r w:rsidRPr="00D032BE">
              <w:t xml:space="preserve"> ja terrorismi rahastamise riskidega samaulatuslikud.</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Määramine</w:t>
            </w:r>
          </w:p>
        </w:tc>
        <w:tc>
          <w:tcPr>
            <w:tcW w:w="6377" w:type="dxa"/>
            <w:gridSpan w:val="3"/>
          </w:tcPr>
          <w:p w:rsidR="00DB7D79" w:rsidRPr="00D032BE" w:rsidRDefault="00DB7D79" w:rsidP="00DB7D79">
            <w:pPr>
              <w:pStyle w:val="kehatekst"/>
              <w:ind w:left="34"/>
              <w:jc w:val="left"/>
            </w:pPr>
            <w:r w:rsidRPr="00D032BE">
              <w:t>Sellise isiku</w:t>
            </w:r>
            <w:r w:rsidRPr="00D032BE">
              <w:rPr>
                <w:rStyle w:val="Allmrkuseviide"/>
              </w:rPr>
              <w:footnoteReference w:id="57"/>
            </w:r>
            <w:r w:rsidRPr="00D032BE">
              <w:t xml:space="preserve"> või üksuse tuvastamine, kelle puhul tuleb </w:t>
            </w:r>
            <w:r>
              <w:t>rakendada</w:t>
            </w:r>
            <w:r w:rsidRPr="00D032BE">
              <w:t xml:space="preserve"> sihtotstarbelisi finantskaristusi vastavalt:</w:t>
            </w:r>
          </w:p>
          <w:p w:rsidR="00DB7D79" w:rsidRPr="00D032BE" w:rsidRDefault="00DB7D79" w:rsidP="00DB7D79">
            <w:pPr>
              <w:pStyle w:val="kehatekst"/>
              <w:numPr>
                <w:ilvl w:val="0"/>
                <w:numId w:val="6"/>
              </w:numPr>
              <w:spacing w:line="240" w:lineRule="auto"/>
              <w:jc w:val="left"/>
            </w:pPr>
            <w:r w:rsidRPr="00D032BE">
              <w:t>ÜRO Julgeolekunõukogu resolutsioonile 1267 (1999) ja sellele järgnevatele resolutsioonidele;</w:t>
            </w:r>
          </w:p>
          <w:p w:rsidR="00DB7D79" w:rsidRPr="00D032BE" w:rsidRDefault="00DB7D79" w:rsidP="00DB7D79">
            <w:pPr>
              <w:pStyle w:val="kehatekst"/>
              <w:numPr>
                <w:ilvl w:val="0"/>
                <w:numId w:val="6"/>
              </w:numPr>
              <w:spacing w:line="240" w:lineRule="auto"/>
              <w:jc w:val="left"/>
            </w:pPr>
            <w:r w:rsidRPr="00D032BE">
              <w:t>Julgeolekunõukogu resolutsioonile 1373 (2001), sh otsusele, et isiku või üksuse suhtes rakendatakse asjakohaseid karistusi ja otsusest teatatakse avalikult;</w:t>
            </w:r>
          </w:p>
          <w:p w:rsidR="00DB7D79" w:rsidRPr="00D032BE" w:rsidRDefault="00DB7D79" w:rsidP="00DB7D79">
            <w:pPr>
              <w:pStyle w:val="kehatekst"/>
              <w:numPr>
                <w:ilvl w:val="0"/>
                <w:numId w:val="6"/>
              </w:numPr>
              <w:spacing w:line="240" w:lineRule="auto"/>
              <w:jc w:val="left"/>
            </w:pPr>
            <w:r w:rsidRPr="00D032BE">
              <w:t>Julgeolekunõukogu resolutsioonile 1718 (2006) ja sellele järgnevatele resolutsioonidele;</w:t>
            </w:r>
          </w:p>
          <w:p w:rsidR="00DB7D79" w:rsidRPr="00D032BE" w:rsidRDefault="00DB7D79" w:rsidP="00DB7D79">
            <w:pPr>
              <w:pStyle w:val="kehatekst"/>
              <w:numPr>
                <w:ilvl w:val="0"/>
                <w:numId w:val="6"/>
              </w:numPr>
              <w:spacing w:line="240" w:lineRule="auto"/>
              <w:jc w:val="left"/>
            </w:pPr>
            <w:r w:rsidRPr="00D032BE">
              <w:t>Julgeolekunõukogu resolutsioonile 1737 (2006) ja sellele järgnevatele resolutsioonidele; ja</w:t>
            </w:r>
          </w:p>
          <w:p w:rsidR="00DB7D79" w:rsidRPr="00D032BE" w:rsidRDefault="00DB7D79" w:rsidP="00DB7D79">
            <w:pPr>
              <w:pStyle w:val="kehatekst"/>
              <w:numPr>
                <w:ilvl w:val="0"/>
                <w:numId w:val="6"/>
              </w:numPr>
              <w:spacing w:line="240" w:lineRule="auto"/>
              <w:jc w:val="left"/>
            </w:pPr>
            <w:r w:rsidRPr="00D032BE">
              <w:t>kõikidele tulevastele Julgeolekunõukogu resolutsioonidele, millega kehtestatakse sihtotstarbelised finantskaristused seoses massihävitusrelvade leviku rahastamisega.</w:t>
            </w:r>
          </w:p>
        </w:tc>
      </w:tr>
      <w:tr w:rsidR="00DB7D79" w:rsidRPr="003371E6"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Määratud isikud või üksused</w:t>
            </w:r>
          </w:p>
        </w:tc>
        <w:tc>
          <w:tcPr>
            <w:tcW w:w="6377" w:type="dxa"/>
            <w:gridSpan w:val="3"/>
          </w:tcPr>
          <w:p w:rsidR="00DB7D79" w:rsidRPr="00D032BE" w:rsidRDefault="00DB7D79" w:rsidP="00DB7D79">
            <w:pPr>
              <w:pStyle w:val="kehatekst"/>
              <w:ind w:left="34"/>
              <w:jc w:val="left"/>
            </w:pPr>
            <w:r w:rsidRPr="00D032BE">
              <w:t>„Määratud isikud või üksused</w:t>
            </w:r>
            <w:r w:rsidRPr="00D032BE">
              <w:rPr>
                <w:szCs w:val="24"/>
              </w:rPr>
              <w:t>”</w:t>
            </w:r>
            <w:r w:rsidRPr="00D032BE">
              <w:t xml:space="preserve"> on järgmised:</w:t>
            </w:r>
          </w:p>
          <w:p w:rsidR="00DB7D79" w:rsidRPr="00D032BE" w:rsidRDefault="00DB7D79" w:rsidP="00DB7D79">
            <w:pPr>
              <w:pStyle w:val="kehatekst"/>
              <w:ind w:left="34"/>
              <w:jc w:val="left"/>
            </w:pPr>
            <w:r w:rsidRPr="00D032BE">
              <w:t xml:space="preserve">i) </w:t>
            </w:r>
            <w:r w:rsidRPr="00D032BE">
              <w:tab/>
              <w:t xml:space="preserve">isikud, rühmitused, ettevõtjad ja üksused, kelle puhul resolutsiooni 1267 (1999) kohaselt moodustatud Julgeolekunõukogu komitee (1267 komitee) on kindlaks määranud, et nad on seotud </w:t>
            </w:r>
            <w:proofErr w:type="spellStart"/>
            <w:r w:rsidRPr="00D032BE">
              <w:t>Al-Qaidaga</w:t>
            </w:r>
            <w:proofErr w:type="spellEnd"/>
            <w:r w:rsidRPr="00D032BE">
              <w:t xml:space="preserve"> või muude </w:t>
            </w:r>
            <w:proofErr w:type="spellStart"/>
            <w:r w:rsidRPr="00D032BE">
              <w:t>Al-</w:t>
            </w:r>
            <w:r w:rsidRPr="00D032BE">
              <w:lastRenderedPageBreak/>
              <w:t>Qaidaga</w:t>
            </w:r>
            <w:proofErr w:type="spellEnd"/>
            <w:r w:rsidRPr="00D032BE">
              <w:t xml:space="preserve"> seotud üksuste või rühmituste või ettevõtjatega;</w:t>
            </w:r>
          </w:p>
          <w:p w:rsidR="00DB7D79" w:rsidRPr="00D032BE" w:rsidRDefault="00DB7D79" w:rsidP="00DB7D79">
            <w:pPr>
              <w:pStyle w:val="kehatekst"/>
              <w:ind w:left="34"/>
              <w:jc w:val="left"/>
            </w:pPr>
            <w:proofErr w:type="spellStart"/>
            <w:r w:rsidRPr="00D032BE">
              <w:t>ii</w:t>
            </w:r>
            <w:proofErr w:type="spellEnd"/>
            <w:r w:rsidRPr="00D032BE">
              <w:t xml:space="preserve">) </w:t>
            </w:r>
            <w:r w:rsidRPr="00D032BE">
              <w:tab/>
              <w:t xml:space="preserve">isikud, rühmitused, ettevõtjad ja üksused, kelle puhul resolutsiooni 1988 (2011) kohaselt moodustatud Julgeolekunõukogu komitee (1988 komitee) on kindlaks määranud, et nad on seotud </w:t>
            </w:r>
            <w:proofErr w:type="spellStart"/>
            <w:r w:rsidRPr="00D032BE">
              <w:t>Talibaniga</w:t>
            </w:r>
            <w:proofErr w:type="spellEnd"/>
            <w:r w:rsidRPr="00D032BE">
              <w:t xml:space="preserve">, ohustades rahu, stabiilsust ja julgeolekut Afganistanis, või muude </w:t>
            </w:r>
            <w:proofErr w:type="spellStart"/>
            <w:r w:rsidRPr="00D032BE">
              <w:t>Talibaniga</w:t>
            </w:r>
            <w:proofErr w:type="spellEnd"/>
            <w:r w:rsidRPr="00D032BE">
              <w:t xml:space="preserve"> seotud üksuste või rühmituste või ettevõtjatega;</w:t>
            </w:r>
          </w:p>
          <w:p w:rsidR="00DB7D79" w:rsidRPr="00D032BE" w:rsidRDefault="00DB7D79" w:rsidP="00DB7D79">
            <w:pPr>
              <w:pStyle w:val="kehatekst"/>
              <w:ind w:left="34"/>
              <w:jc w:val="left"/>
            </w:pPr>
            <w:proofErr w:type="spellStart"/>
            <w:r w:rsidRPr="00D032BE">
              <w:t>iii</w:t>
            </w:r>
            <w:proofErr w:type="spellEnd"/>
            <w:r w:rsidRPr="00D032BE">
              <w:t>) jurisdiktsioonide või rahvusvahelise jurisdiktsiooni poolt Julgeolekunõukogu resolutsiooni 1373 (2001) kohaselt määratud füüsilised või juriidilised isikud või üksused;</w:t>
            </w:r>
          </w:p>
          <w:p w:rsidR="00DB7D79" w:rsidRPr="00D032BE" w:rsidRDefault="00DB7D79" w:rsidP="00DB7D79">
            <w:pPr>
              <w:pStyle w:val="kehatekst"/>
              <w:ind w:left="34"/>
              <w:jc w:val="left"/>
            </w:pPr>
            <w:proofErr w:type="spellStart"/>
            <w:r w:rsidRPr="00D032BE">
              <w:t>iv</w:t>
            </w:r>
            <w:proofErr w:type="spellEnd"/>
            <w:r w:rsidRPr="00D032BE">
              <w:t xml:space="preserve">) </w:t>
            </w:r>
            <w:r w:rsidRPr="00D032BE">
              <w:tab/>
              <w:t>füüsilised või juriidilised isikud või üksused, kelle puhul Julgeolekunõukogu on asjaomaste resolutsioonide lisades või resolutsiooni 1718 (2006) kohaselt moodustatud komitee (1718 sanktsioonide komitee) on ette näinud sihtotstarbeliste finantssanktsioonide rakendamise vastavalt Julgeolekunõukogu resolutsioonile 1718 (2006) ja sellele järgnevatele resolutsioonidele; ja</w:t>
            </w:r>
          </w:p>
          <w:p w:rsidR="00DB7D79" w:rsidRPr="00D032BE" w:rsidRDefault="00DB7D79" w:rsidP="00DB7D79">
            <w:pPr>
              <w:pStyle w:val="kehatekst"/>
              <w:ind w:left="34"/>
              <w:jc w:val="left"/>
            </w:pPr>
            <w:r w:rsidRPr="00D032BE">
              <w:t xml:space="preserve">v) </w:t>
            </w:r>
            <w:r w:rsidRPr="00D032BE">
              <w:tab/>
              <w:t>füüsilised või juriidilised isikud või üksused, kelle puhul Julgeolekunõukogu on asjaomaste resolutsioonide lisades või resolutsiooni 1737 (2006) punkti 18 kohaselt moodustatud komitee (1737 sanktsioonide komitee) on ette näinud sihtotstarbeliste finantskaristuste rakendamise vastavalt Julgeolekunõukogu resolutsioonile 1737(2006) ja sellele järgnevatele resolutsioonidele.</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lastRenderedPageBreak/>
              <w:t>Nõuetele vastavad elektroonilised ülekanded</w:t>
            </w:r>
          </w:p>
        </w:tc>
        <w:tc>
          <w:tcPr>
            <w:tcW w:w="6377" w:type="dxa"/>
            <w:gridSpan w:val="3"/>
          </w:tcPr>
          <w:p w:rsidR="00DB7D79" w:rsidRPr="00D032BE" w:rsidRDefault="00DB7D79" w:rsidP="00DB7D79">
            <w:pPr>
              <w:pStyle w:val="kehatekst"/>
              <w:ind w:left="0"/>
              <w:jc w:val="left"/>
            </w:pPr>
            <w:r w:rsidRPr="00D032BE">
              <w:t>Vt soovituse</w:t>
            </w:r>
            <w:r>
              <w:t xml:space="preserve"> </w:t>
            </w:r>
            <w:r w:rsidRPr="00D032BE">
              <w:t>16 tõlgendavat märkust.</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 xml:space="preserve">Nõutav </w:t>
            </w:r>
          </w:p>
        </w:tc>
        <w:tc>
          <w:tcPr>
            <w:tcW w:w="6377" w:type="dxa"/>
            <w:gridSpan w:val="3"/>
          </w:tcPr>
          <w:p w:rsidR="00DB7D79" w:rsidRPr="00D032BE" w:rsidRDefault="00DB7D79" w:rsidP="00DB7D79">
            <w:pPr>
              <w:pStyle w:val="kehatekst"/>
              <w:ind w:left="0"/>
              <w:jc w:val="left"/>
            </w:pPr>
            <w:r w:rsidRPr="00D032BE">
              <w:t>Vt soovituse</w:t>
            </w:r>
            <w:r>
              <w:t xml:space="preserve"> </w:t>
            </w:r>
            <w:r w:rsidRPr="00D032BE">
              <w:t>16 tõlgendavat märkust.</w:t>
            </w:r>
          </w:p>
        </w:tc>
      </w:tr>
      <w:tr w:rsidR="00DB7D79" w:rsidRPr="00D032BE"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 xml:space="preserve">Peaks </w:t>
            </w:r>
          </w:p>
        </w:tc>
        <w:tc>
          <w:tcPr>
            <w:tcW w:w="6377" w:type="dxa"/>
            <w:gridSpan w:val="3"/>
          </w:tcPr>
          <w:p w:rsidR="00DB7D79" w:rsidRPr="00D032BE" w:rsidRDefault="00DB7D79" w:rsidP="00DB7D79">
            <w:pPr>
              <w:pStyle w:val="kehatekst"/>
              <w:ind w:left="0"/>
              <w:jc w:val="left"/>
            </w:pPr>
            <w:r w:rsidRPr="00D032BE">
              <w:t>FATFi soovituste järgimise hindamise kontekstis on sõnal „peaks</w:t>
            </w:r>
            <w:r w:rsidRPr="00D032BE">
              <w:rPr>
                <w:rFonts w:ascii="Calibri" w:hAnsi="Calibri" w:cstheme="minorHAnsi"/>
              </w:rPr>
              <w:t>”</w:t>
            </w:r>
            <w:r w:rsidRPr="00D032BE">
              <w:t xml:space="preserve"> sama tähendus kui sõnal „peab</w:t>
            </w:r>
            <w:r w:rsidRPr="00D032BE">
              <w:rPr>
                <w:rFonts w:ascii="Calibri" w:hAnsi="Calibri" w:cstheme="minorHAnsi"/>
              </w:rPr>
              <w:t>”</w:t>
            </w:r>
            <w:r w:rsidRPr="00D032BE">
              <w:t>.</w:t>
            </w:r>
          </w:p>
        </w:tc>
      </w:tr>
      <w:tr w:rsidR="00DB7D79" w:rsidRPr="00D032BE" w:rsidTr="00EE6033">
        <w:tc>
          <w:tcPr>
            <w:tcW w:w="2865" w:type="dxa"/>
            <w:gridSpan w:val="2"/>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Piiriülene elektrooniline ülekanne</w:t>
            </w:r>
          </w:p>
        </w:tc>
        <w:tc>
          <w:tcPr>
            <w:tcW w:w="6377" w:type="dxa"/>
            <w:gridSpan w:val="3"/>
          </w:tcPr>
          <w:p w:rsidR="00DB7D79" w:rsidRPr="00D032BE" w:rsidRDefault="00DB7D79" w:rsidP="00DB7D79">
            <w:pPr>
              <w:pStyle w:val="kehatekst"/>
              <w:ind w:left="0"/>
              <w:jc w:val="left"/>
            </w:pPr>
            <w:r w:rsidRPr="00D032BE">
              <w:t>Vt soovituse</w:t>
            </w:r>
            <w:r>
              <w:t xml:space="preserve"> </w:t>
            </w:r>
            <w:r w:rsidRPr="00D032BE">
              <w:t>16 tõlgendavat märkust.</w:t>
            </w:r>
          </w:p>
        </w:tc>
      </w:tr>
      <w:tr w:rsidR="00DB7D79" w:rsidRPr="003371E6" w:rsidTr="00EE6033">
        <w:trPr>
          <w:gridAfter w:val="1"/>
          <w:wAfter w:w="62" w:type="dxa"/>
        </w:trPr>
        <w:tc>
          <w:tcPr>
            <w:tcW w:w="2803" w:type="dxa"/>
          </w:tcPr>
          <w:p w:rsidR="00DB7D79" w:rsidRPr="00D032BE" w:rsidRDefault="00DB7D79" w:rsidP="00DB7D79">
            <w:pPr>
              <w:pStyle w:val="kehatekst"/>
              <w:ind w:left="0"/>
              <w:jc w:val="left"/>
              <w:rPr>
                <w:rFonts w:asciiTheme="minorHAnsi" w:hAnsiTheme="minorHAnsi" w:cstheme="minorHAnsi"/>
                <w:b/>
              </w:rPr>
            </w:pPr>
            <w:r w:rsidRPr="00D032BE">
              <w:rPr>
                <w:rFonts w:asciiTheme="minorHAnsi" w:hAnsiTheme="minorHAnsi" w:cstheme="minorHAnsi"/>
                <w:b/>
              </w:rPr>
              <w:t xml:space="preserve">Põhiprintsiibid </w:t>
            </w:r>
          </w:p>
        </w:tc>
        <w:tc>
          <w:tcPr>
            <w:tcW w:w="6377" w:type="dxa"/>
            <w:gridSpan w:val="3"/>
          </w:tcPr>
          <w:p w:rsidR="00DB7D79" w:rsidRPr="00D032BE" w:rsidRDefault="00DB7D79" w:rsidP="00DB7D79">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Baseli Pangajärelevalve Komitee välja antud „Tõhusa</w:t>
            </w:r>
          </w:p>
          <w:p w:rsidR="00DB7D79" w:rsidRPr="00D032BE" w:rsidRDefault="00DB7D79" w:rsidP="00DB7D79">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pangajärelevalve põhiprintsiibid”, Rahvusvahelise Väärtpaberijärelevalve Organisatsiooni välja antud „Väärtpaberiregulatsiooni eesmärgid ja põhimõtted” ning Rahvusvahelise Kindlustusjärelevalve Assotsiatsiooni välja antud „Kindlustusjärelevalve põhimõtted”.</w:t>
            </w:r>
          </w:p>
          <w:p w:rsidR="00DB7D79" w:rsidRPr="00D032BE" w:rsidRDefault="00DB7D79" w:rsidP="00DB7D79">
            <w:pPr>
              <w:autoSpaceDE w:val="0"/>
              <w:autoSpaceDN w:val="0"/>
              <w:adjustRightInd w:val="0"/>
              <w:rPr>
                <w:rFonts w:asciiTheme="majorHAnsi" w:hAnsiTheme="majorHAnsi"/>
                <w:sz w:val="24"/>
                <w:szCs w:val="24"/>
                <w:lang w:val="et-EE"/>
              </w:rPr>
            </w:pPr>
          </w:p>
        </w:tc>
      </w:tr>
    </w:tbl>
    <w:tbl>
      <w:tblPr>
        <w:tblpPr w:leftFromText="180" w:rightFromText="180" w:vertAnchor="text" w:tblpXSpec="right" w:tblpY="1"/>
        <w:tblOverlap w:val="never"/>
        <w:tblW w:w="9180" w:type="dxa"/>
        <w:tblLook w:val="04A0" w:firstRow="1" w:lastRow="0" w:firstColumn="1" w:lastColumn="0" w:noHBand="0" w:noVBand="1"/>
      </w:tblPr>
      <w:tblGrid>
        <w:gridCol w:w="2803"/>
        <w:gridCol w:w="6377"/>
      </w:tblGrid>
      <w:tr w:rsidR="00D032BE" w:rsidRPr="002A32CF">
        <w:tc>
          <w:tcPr>
            <w:tcW w:w="2803" w:type="dxa"/>
          </w:tcPr>
          <w:p w:rsidR="00D032BE" w:rsidRPr="00D032BE" w:rsidRDefault="00D032BE" w:rsidP="00D032BE">
            <w:pPr>
              <w:pStyle w:val="kehatekst"/>
              <w:ind w:left="0"/>
              <w:jc w:val="left"/>
              <w:rPr>
                <w:rFonts w:asciiTheme="minorHAnsi" w:hAnsiTheme="minorHAnsi" w:cstheme="minorHAnsi"/>
                <w:b/>
              </w:rPr>
            </w:pPr>
            <w:r w:rsidRPr="00D032BE">
              <w:rPr>
                <w:rFonts w:asciiTheme="minorHAnsi" w:hAnsiTheme="minorHAnsi" w:cstheme="minorHAnsi"/>
                <w:b/>
              </w:rPr>
              <w:lastRenderedPageBreak/>
              <w:t>Pädevad asutused</w:t>
            </w:r>
          </w:p>
        </w:tc>
        <w:tc>
          <w:tcPr>
            <w:tcW w:w="6377" w:type="dxa"/>
          </w:tcPr>
          <w:p w:rsidR="00D032BE" w:rsidRPr="00D032BE" w:rsidRDefault="00D032BE" w:rsidP="00795025">
            <w:pPr>
              <w:pStyle w:val="kehatekst"/>
              <w:ind w:left="0"/>
              <w:jc w:val="left"/>
            </w:pPr>
            <w:r w:rsidRPr="00D032BE">
              <w:t>Kõik avalikud asutused</w:t>
            </w:r>
            <w:r w:rsidRPr="00D032BE">
              <w:rPr>
                <w:rStyle w:val="Allmrkuseviide"/>
              </w:rPr>
              <w:footnoteReference w:id="58"/>
            </w:r>
            <w:r w:rsidRPr="00D032BE">
              <w:t xml:space="preserve">, millel on määratud kohustused rahapesu ja/või terrorismi rahastamise vastu võitlemisel. Eelkõige hõlmab see </w:t>
            </w:r>
            <w:r w:rsidR="00D86A5F">
              <w:t>Rahapesu andmebüroo</w:t>
            </w:r>
            <w:r w:rsidRPr="00D032BE">
              <w:t xml:space="preserve">sid; asutusi, mille ülesanne on rahapesu, eelkuritegude ja terrorismi rahastamise ja uurimine ja nende kuritegude eest vastutusele võtmine ning kuritegeliku tulu arestimine/blokeerimine ja konfiskeerimine; asutusi, mis saavad teateid valuuta ja vabalt kaubeldavate esitaja </w:t>
            </w:r>
            <w:r w:rsidR="00795025">
              <w:t>väärtpaberite</w:t>
            </w:r>
            <w:r w:rsidRPr="00D032BE">
              <w:t xml:space="preserve"> piiriülese veo kohta; ning asutusi, mis on kohustatud teostama </w:t>
            </w:r>
            <w:r w:rsidR="002A32CF">
              <w:t>rahapesu</w:t>
            </w:r>
            <w:r w:rsidRPr="00D032BE">
              <w:t xml:space="preserve"> ja terrorismi rahastamise </w:t>
            </w:r>
            <w:r w:rsidR="002A32CF">
              <w:t>tõkestamise</w:t>
            </w:r>
            <w:r w:rsidRPr="00D032BE">
              <w:t xml:space="preserve"> järelevalvet või kontrolli eesmärgiga tagada </w:t>
            </w:r>
            <w:r w:rsidR="002A32CF">
              <w:t>rahapesu</w:t>
            </w:r>
            <w:r w:rsidRPr="00D032BE">
              <w:t xml:space="preserve"> ja terrorismi rahastamise </w:t>
            </w:r>
            <w:r w:rsidR="00A35E9F">
              <w:t>tõkestamise</w:t>
            </w:r>
            <w:r w:rsidRPr="00D032BE">
              <w:t xml:space="preserve"> nõuete täitmine </w:t>
            </w:r>
            <w:r w:rsidR="006043CB">
              <w:t>finantsasutus</w:t>
            </w:r>
            <w:r w:rsidRPr="00D032BE">
              <w:t xml:space="preserve">te ja mittefinantsteenuseid pakkuvate ettevõtjate ja kutsetöötajate </w:t>
            </w:r>
            <w:r w:rsidR="006F4DF2">
              <w:t>poolt. Isereguleeruvaid organisatsioone</w:t>
            </w:r>
            <w:r w:rsidRPr="00D032BE">
              <w:t xml:space="preserve"> ei loeta pädevateks asutusteks.</w:t>
            </w:r>
          </w:p>
        </w:tc>
      </w:tr>
    </w:tbl>
    <w:tbl>
      <w:tblPr>
        <w:tblW w:w="9180" w:type="dxa"/>
        <w:tblLook w:val="04A0" w:firstRow="1" w:lastRow="0" w:firstColumn="1" w:lastColumn="0" w:noHBand="0" w:noVBand="1"/>
      </w:tblPr>
      <w:tblGrid>
        <w:gridCol w:w="2803"/>
        <w:gridCol w:w="6377"/>
      </w:tblGrid>
      <w:tr w:rsidR="00081505" w:rsidRPr="00D032BE">
        <w:tc>
          <w:tcPr>
            <w:tcW w:w="2803" w:type="dxa"/>
          </w:tcPr>
          <w:p w:rsidR="00081505" w:rsidRPr="00D032BE" w:rsidRDefault="00081505" w:rsidP="00081505">
            <w:pPr>
              <w:pStyle w:val="kehatekst"/>
              <w:ind w:left="0"/>
              <w:jc w:val="left"/>
              <w:rPr>
                <w:rFonts w:asciiTheme="minorHAnsi" w:hAnsiTheme="minorHAnsi" w:cstheme="minorHAnsi"/>
                <w:b/>
              </w:rPr>
            </w:pPr>
            <w:r w:rsidRPr="00D032BE">
              <w:rPr>
                <w:rFonts w:asciiTheme="minorHAnsi" w:hAnsiTheme="minorHAnsi" w:cstheme="minorHAnsi"/>
                <w:b/>
              </w:rPr>
              <w:t xml:space="preserve">Raha või </w:t>
            </w:r>
            <w:r w:rsidR="004F64DC" w:rsidRPr="004F64DC">
              <w:rPr>
                <w:rFonts w:asciiTheme="minorHAnsi" w:hAnsiTheme="minorHAnsi" w:cstheme="minorHAnsi"/>
                <w:b/>
              </w:rPr>
              <w:t>alternatiivse</w:t>
            </w:r>
            <w:r w:rsidR="00847867">
              <w:rPr>
                <w:rFonts w:asciiTheme="minorHAnsi" w:hAnsiTheme="minorHAnsi" w:cstheme="minorHAnsi"/>
                <w:b/>
              </w:rPr>
              <w:t xml:space="preserve"> </w:t>
            </w:r>
            <w:r w:rsidR="004F64DC" w:rsidRPr="004F64DC">
              <w:rPr>
                <w:rFonts w:asciiTheme="minorHAnsi" w:hAnsiTheme="minorHAnsi" w:cstheme="minorHAnsi"/>
                <w:b/>
              </w:rPr>
              <w:t>maksevahendi</w:t>
            </w:r>
            <w:r w:rsidRPr="00D032BE">
              <w:rPr>
                <w:rFonts w:asciiTheme="minorHAnsi" w:hAnsiTheme="minorHAnsi" w:cstheme="minorHAnsi"/>
                <w:b/>
              </w:rPr>
              <w:t xml:space="preserve"> ülekandeteenused</w:t>
            </w:r>
          </w:p>
        </w:tc>
        <w:tc>
          <w:tcPr>
            <w:tcW w:w="6377" w:type="dxa"/>
          </w:tcPr>
          <w:p w:rsidR="00081505" w:rsidRPr="00D032BE" w:rsidRDefault="00081505" w:rsidP="00081505">
            <w:pPr>
              <w:pStyle w:val="kehatekst"/>
              <w:ind w:left="0"/>
              <w:jc w:val="left"/>
            </w:pPr>
            <w:r w:rsidRPr="00D032BE">
              <w:t xml:space="preserve">Finantsteenused, mille käigus võetakse vastu sularaha, tšekke, muid rahalisi maksevahendeid või muid väärtusekandjaid ja makstakse vastav summa sularahas või muul kujul makse saajale kommunikatsiooni, sõnumi, ülekande või sellise kliiringarvestuse võrgu kaudu, kuhu raha või </w:t>
            </w:r>
            <w:r w:rsidR="004F64DC" w:rsidRPr="004F64DC">
              <w:t>alternatiivse</w:t>
            </w:r>
            <w:r w:rsidR="00847867">
              <w:t xml:space="preserve"> </w:t>
            </w:r>
            <w:r w:rsidR="004F64DC" w:rsidRPr="004F64DC">
              <w:t>maksevahendi</w:t>
            </w:r>
            <w:r w:rsidRPr="00D032BE">
              <w:t xml:space="preserve"> ülekandeteenuse osutaja kuulub. Selliste teenuste kaudu sooritatud tehingutes võib osaleda üks või mitu vahendajat ja nendega võib kaasneda lõppmakse kolmandale isikule ning uued maksemeetodid. Mõnikord on need teenused seotud konkreetsete geograafiliste piirkondadega ja nende kirjeldamiseks kasutatakse erinevaid spetsiifilisi termineid, sh </w:t>
            </w:r>
            <w:proofErr w:type="spellStart"/>
            <w:r w:rsidRPr="00D032BE">
              <w:rPr>
                <w:i/>
              </w:rPr>
              <w:t>hawala</w:t>
            </w:r>
            <w:proofErr w:type="spellEnd"/>
            <w:r w:rsidRPr="00D032BE">
              <w:t xml:space="preserve">, </w:t>
            </w:r>
            <w:r w:rsidRPr="00D032BE">
              <w:rPr>
                <w:i/>
              </w:rPr>
              <w:t>hundi</w:t>
            </w:r>
            <w:r w:rsidRPr="00D032BE">
              <w:t xml:space="preserve"> ja </w:t>
            </w:r>
            <w:proofErr w:type="spellStart"/>
            <w:r w:rsidRPr="00D032BE">
              <w:rPr>
                <w:i/>
              </w:rPr>
              <w:t>fei-chen</w:t>
            </w:r>
            <w:proofErr w:type="spellEnd"/>
            <w:r w:rsidRPr="00D032BE">
              <w:t>.</w:t>
            </w:r>
          </w:p>
        </w:tc>
      </w:tr>
      <w:tr w:rsidR="00D10F5F" w:rsidRPr="003371E6">
        <w:tc>
          <w:tcPr>
            <w:tcW w:w="2803" w:type="dxa"/>
          </w:tcPr>
          <w:p w:rsidR="00D10F5F" w:rsidRPr="00D032BE" w:rsidRDefault="00D10F5F" w:rsidP="00D10F5F">
            <w:pPr>
              <w:pStyle w:val="kehatekst"/>
              <w:ind w:left="0"/>
              <w:jc w:val="left"/>
              <w:rPr>
                <w:rFonts w:asciiTheme="minorHAnsi" w:hAnsiTheme="minorHAnsi" w:cstheme="minorHAnsi"/>
                <w:b/>
              </w:rPr>
            </w:pPr>
            <w:r w:rsidRPr="00D032BE">
              <w:rPr>
                <w:rFonts w:asciiTheme="minorHAnsi" w:hAnsiTheme="minorHAnsi" w:cstheme="minorHAnsi"/>
                <w:b/>
              </w:rPr>
              <w:t xml:space="preserve">Rahalised vahendid </w:t>
            </w:r>
          </w:p>
        </w:tc>
        <w:tc>
          <w:tcPr>
            <w:tcW w:w="6377" w:type="dxa"/>
          </w:tcPr>
          <w:p w:rsidR="00D10F5F" w:rsidRPr="00D032BE" w:rsidRDefault="00D10F5F" w:rsidP="00D10F5F">
            <w:pPr>
              <w:pStyle w:val="kehatekst"/>
              <w:ind w:left="0"/>
              <w:jc w:val="left"/>
            </w:pPr>
            <w:r w:rsidRPr="00D032BE">
              <w:t>Igasugune vara, nii füüsiline kui ka virtuaalne, nii materiaalne kui ka mittemateriaalne, nii kinnis- kui ka vallasasi, olenemata selle saamisviisist, ja sellise vara omandiõigust või muid õigusi tõendavad juriidilised mis tahes vormis, k.a elektroonilises või digitaalses vormis, dokumendid või aktid.</w:t>
            </w:r>
          </w:p>
        </w:tc>
      </w:tr>
      <w:tr w:rsidR="00D20F7A" w:rsidRPr="003371E6">
        <w:tc>
          <w:tcPr>
            <w:tcW w:w="2803" w:type="dxa"/>
          </w:tcPr>
          <w:p w:rsidR="00D20F7A" w:rsidRPr="00D032BE" w:rsidRDefault="00D20F7A" w:rsidP="00D20F7A">
            <w:pPr>
              <w:pStyle w:val="kehatekst"/>
              <w:ind w:left="0"/>
              <w:jc w:val="left"/>
              <w:rPr>
                <w:rFonts w:asciiTheme="minorHAnsi" w:hAnsiTheme="minorHAnsi" w:cstheme="minorHAnsi"/>
                <w:b/>
              </w:rPr>
            </w:pPr>
            <w:r w:rsidRPr="00D032BE">
              <w:rPr>
                <w:rFonts w:asciiTheme="minorHAnsi" w:hAnsiTheme="minorHAnsi" w:cstheme="minorHAnsi"/>
                <w:b/>
              </w:rPr>
              <w:t>Rahalised vahendid või muu vara</w:t>
            </w:r>
          </w:p>
        </w:tc>
        <w:tc>
          <w:tcPr>
            <w:tcW w:w="6377" w:type="dxa"/>
          </w:tcPr>
          <w:p w:rsidR="00D20F7A" w:rsidRPr="00D032BE" w:rsidRDefault="00D20F7A" w:rsidP="00D20F7A">
            <w:pPr>
              <w:pStyle w:val="kehatekst"/>
              <w:ind w:left="0"/>
              <w:jc w:val="left"/>
            </w:pPr>
            <w:r w:rsidRPr="00D032BE">
              <w:t xml:space="preserve">Igasugune vara, </w:t>
            </w:r>
            <w:r w:rsidR="00847867">
              <w:t>sh</w:t>
            </w:r>
            <w:r w:rsidRPr="00D032BE">
              <w:t xml:space="preserve"> (aga mitte ainult) finantsvara, majanduslikud ressursid, igat liiki vara, nii materiaalne kui ka mittemateriaalne, nii kinnis- kui ka vallasasi, olenemata selle saamisviisist, ning sellise vara omandiõigust või muid </w:t>
            </w:r>
            <w:r w:rsidRPr="00D032BE">
              <w:lastRenderedPageBreak/>
              <w:t xml:space="preserve">õigusi tõendavad mis tahes vormis, k.a elektroonilises või digitaalses vormis, juriidilised dokumendid või aktid, </w:t>
            </w:r>
            <w:r w:rsidR="00847867">
              <w:t>sh</w:t>
            </w:r>
            <w:r w:rsidRPr="00D032BE">
              <w:t xml:space="preserve"> (aga mitte ainult) pangakrediidid, reisitšekid, pangatšekid, maksekäsundid, aktsiad, väärtpaberid, võlakirjad, käskvekslid või akreditiivid ning sellisest vahenditest või muust varast saadud intressid, dividendid või muu tulu või lisaväärtus.</w:t>
            </w:r>
          </w:p>
        </w:tc>
      </w:tr>
      <w:tr w:rsidR="002A2881" w:rsidRPr="003371E6">
        <w:tc>
          <w:tcPr>
            <w:tcW w:w="2803" w:type="dxa"/>
          </w:tcPr>
          <w:p w:rsidR="002A2881" w:rsidRPr="00D032BE" w:rsidRDefault="002A2881" w:rsidP="002A2881">
            <w:pPr>
              <w:pStyle w:val="kehatekst"/>
              <w:ind w:left="0"/>
              <w:jc w:val="left"/>
              <w:rPr>
                <w:rFonts w:asciiTheme="minorHAnsi" w:hAnsiTheme="minorHAnsi" w:cstheme="minorHAnsi"/>
                <w:b/>
              </w:rPr>
            </w:pPr>
            <w:r w:rsidRPr="00D032BE">
              <w:rPr>
                <w:rFonts w:asciiTheme="minorHAnsi" w:hAnsiTheme="minorHAnsi" w:cstheme="minorHAnsi"/>
                <w:b/>
              </w:rPr>
              <w:lastRenderedPageBreak/>
              <w:t>Rahapesu kuritegu</w:t>
            </w:r>
          </w:p>
        </w:tc>
        <w:tc>
          <w:tcPr>
            <w:tcW w:w="6377" w:type="dxa"/>
          </w:tcPr>
          <w:p w:rsidR="002A2881" w:rsidRPr="00D032BE" w:rsidRDefault="002A2881" w:rsidP="002A2881">
            <w:pPr>
              <w:pStyle w:val="kehatekst"/>
              <w:ind w:left="0"/>
              <w:jc w:val="left"/>
            </w:pPr>
            <w:r w:rsidRPr="00D032BE">
              <w:t>Viited rahapesu kuritegudele hõlmavad mitte ainult põhikuritegu või -kuritegusid, vaid ka seonduvaid kuritegusid (v.a soovituses</w:t>
            </w:r>
            <w:r w:rsidR="00847867">
              <w:t xml:space="preserve"> </w:t>
            </w:r>
            <w:r w:rsidRPr="00D032BE">
              <w:t>3).</w:t>
            </w:r>
          </w:p>
        </w:tc>
      </w:tr>
      <w:tr w:rsidR="00DD7AEA" w:rsidRPr="003371E6">
        <w:tc>
          <w:tcPr>
            <w:tcW w:w="2803" w:type="dxa"/>
          </w:tcPr>
          <w:p w:rsidR="00DD7AEA" w:rsidRPr="00D032BE" w:rsidRDefault="00DD7AEA" w:rsidP="00DD7AEA">
            <w:pPr>
              <w:pStyle w:val="kehatekst"/>
              <w:ind w:left="0"/>
              <w:jc w:val="left"/>
              <w:rPr>
                <w:rFonts w:asciiTheme="minorHAnsi" w:hAnsiTheme="minorHAnsi" w:cstheme="minorHAnsi"/>
                <w:b/>
              </w:rPr>
            </w:pPr>
            <w:r w:rsidRPr="00D032BE">
              <w:rPr>
                <w:rFonts w:asciiTheme="minorHAnsi" w:hAnsiTheme="minorHAnsi" w:cstheme="minorHAnsi"/>
                <w:b/>
              </w:rPr>
              <w:t>Rahvusvahelised organisatsioonid</w:t>
            </w:r>
          </w:p>
        </w:tc>
        <w:tc>
          <w:tcPr>
            <w:tcW w:w="6377" w:type="dxa"/>
          </w:tcPr>
          <w:p w:rsidR="00DD7AEA" w:rsidRPr="00D032BE" w:rsidRDefault="00DD7AEA" w:rsidP="00DD7AEA">
            <w:pPr>
              <w:pStyle w:val="kehatekst"/>
              <w:ind w:left="0"/>
              <w:jc w:val="left"/>
            </w:pPr>
            <w:r w:rsidRPr="00D032BE">
              <w:t>Üksused, mille on asutanud nende liikmeks olevad riigid formaalsete poliitiliste kokkulepete alusel, millel on rahvusvaheliste lepingute staatus. Rahvusvaheliste organisatsioonide olemasolu tunnustatakse nende liikmeks olevates riikides seadustega ning neid ei kohelda nende asukohariigi residentidest institutsiooniliste üksustena. Rahvusvahelised organisatsioonid on näiteks Ühinenud Rahvaste Organisatsioon ja sellega seotud rahvusvahelised organisatsioonid nagu näiteks Rahvusvaheline Mereorganisatsioon; piirkondlikud rahvusvahelised organisatsioonid, nagu näiteks Euroopa Nõukogu, Euroopa Liidu institutsioonid, Euroopa Julgeoleku- ja Koostööorganisatsioon ja Ameerika Riikide Organisatsioon; sõjalised rahvusvahelised organisatsioonid nagu näiteks Põhja-Atlandi Lepingu Organisatsioon ning majanduslikud organisatsioonid, nagu näiteks Maailma Kaubandusorganisatsioon ja Kagu-Aasia Maade Assotsiatsioon jne.</w:t>
            </w:r>
          </w:p>
        </w:tc>
      </w:tr>
      <w:tr w:rsidR="00905F7E" w:rsidRPr="00D032BE">
        <w:tc>
          <w:tcPr>
            <w:tcW w:w="2803" w:type="dxa"/>
          </w:tcPr>
          <w:p w:rsidR="00905F7E" w:rsidRPr="00D032BE" w:rsidRDefault="00905F7E" w:rsidP="00905F7E">
            <w:pPr>
              <w:pStyle w:val="kehatekst"/>
              <w:ind w:left="0"/>
              <w:jc w:val="left"/>
              <w:rPr>
                <w:rFonts w:asciiTheme="minorHAnsi" w:hAnsiTheme="minorHAnsi" w:cstheme="minorHAnsi"/>
                <w:b/>
              </w:rPr>
            </w:pPr>
            <w:r w:rsidRPr="00D032BE">
              <w:rPr>
                <w:rFonts w:asciiTheme="minorHAnsi" w:hAnsiTheme="minorHAnsi" w:cstheme="minorHAnsi"/>
                <w:b/>
              </w:rPr>
              <w:t>Riigisisene elektrooniline ülekanne</w:t>
            </w:r>
          </w:p>
        </w:tc>
        <w:tc>
          <w:tcPr>
            <w:tcW w:w="6377" w:type="dxa"/>
          </w:tcPr>
          <w:p w:rsidR="00905F7E" w:rsidRPr="00D032BE" w:rsidRDefault="00905F7E" w:rsidP="00905F7E">
            <w:pPr>
              <w:pStyle w:val="kehatekst"/>
              <w:ind w:left="0"/>
              <w:jc w:val="left"/>
            </w:pPr>
            <w:r w:rsidRPr="00D032BE">
              <w:t>Vt soovituse</w:t>
            </w:r>
            <w:r w:rsidR="00847867">
              <w:t xml:space="preserve"> </w:t>
            </w:r>
            <w:r w:rsidRPr="00D032BE">
              <w:t>16 tõlgendavat märkust.</w:t>
            </w:r>
          </w:p>
        </w:tc>
      </w:tr>
    </w:tbl>
    <w:tbl>
      <w:tblPr>
        <w:tblpPr w:leftFromText="180" w:rightFromText="180" w:vertAnchor="text" w:tblpXSpec="right" w:tblpY="1"/>
        <w:tblOverlap w:val="never"/>
        <w:tblW w:w="9180" w:type="dxa"/>
        <w:tblLook w:val="04A0" w:firstRow="1" w:lastRow="0" w:firstColumn="1" w:lastColumn="0" w:noHBand="0" w:noVBand="1"/>
      </w:tblPr>
      <w:tblGrid>
        <w:gridCol w:w="2803"/>
        <w:gridCol w:w="6377"/>
      </w:tblGrid>
      <w:tr w:rsidR="00D032BE" w:rsidRPr="003371E6">
        <w:tc>
          <w:tcPr>
            <w:tcW w:w="2803" w:type="dxa"/>
          </w:tcPr>
          <w:p w:rsidR="00D032BE" w:rsidRPr="00D032BE" w:rsidRDefault="00D032BE" w:rsidP="00D032BE">
            <w:pPr>
              <w:pStyle w:val="kehatekst"/>
              <w:ind w:left="0"/>
              <w:jc w:val="left"/>
              <w:rPr>
                <w:rFonts w:asciiTheme="minorHAnsi" w:hAnsiTheme="minorHAnsi" w:cstheme="minorHAnsi"/>
                <w:b/>
              </w:rPr>
            </w:pPr>
            <w:r w:rsidRPr="00D032BE">
              <w:rPr>
                <w:rFonts w:asciiTheme="minorHAnsi" w:hAnsiTheme="minorHAnsi" w:cstheme="minorHAnsi"/>
                <w:b/>
              </w:rPr>
              <w:t xml:space="preserve">Riik </w:t>
            </w:r>
          </w:p>
        </w:tc>
        <w:tc>
          <w:tcPr>
            <w:tcW w:w="6377" w:type="dxa"/>
          </w:tcPr>
          <w:p w:rsidR="00D032BE" w:rsidRPr="00D032BE" w:rsidRDefault="00D032BE" w:rsidP="00D032BE">
            <w:pPr>
              <w:pStyle w:val="kehatekst"/>
              <w:ind w:left="0"/>
              <w:jc w:val="left"/>
            </w:pPr>
            <w:r w:rsidRPr="00D032BE">
              <w:t>Kõik FATFi soovitustes sisalduvad viited riigile või riikidele hõlmavad võrdväärselt territooriume ja jurisdiktsioone.</w:t>
            </w:r>
          </w:p>
        </w:tc>
      </w:tr>
    </w:tbl>
    <w:tbl>
      <w:tblPr>
        <w:tblW w:w="9180" w:type="dxa"/>
        <w:tblLook w:val="04A0" w:firstRow="1" w:lastRow="0" w:firstColumn="1" w:lastColumn="0" w:noHBand="0" w:noVBand="1"/>
      </w:tblPr>
      <w:tblGrid>
        <w:gridCol w:w="2803"/>
        <w:gridCol w:w="10"/>
        <w:gridCol w:w="6321"/>
        <w:gridCol w:w="46"/>
      </w:tblGrid>
      <w:tr w:rsidR="00905F7E" w:rsidRPr="00D032BE">
        <w:tc>
          <w:tcPr>
            <w:tcW w:w="2803" w:type="dxa"/>
          </w:tcPr>
          <w:p w:rsidR="00905F7E" w:rsidRPr="00D032BE" w:rsidRDefault="00905F7E" w:rsidP="00905F7E">
            <w:pPr>
              <w:pStyle w:val="kehatekst"/>
              <w:ind w:left="0"/>
              <w:jc w:val="left"/>
              <w:rPr>
                <w:rFonts w:asciiTheme="minorHAnsi" w:hAnsiTheme="minorHAnsi" w:cstheme="minorHAnsi"/>
                <w:b/>
              </w:rPr>
            </w:pPr>
            <w:r w:rsidRPr="00D032BE">
              <w:rPr>
                <w:rFonts w:asciiTheme="minorHAnsi" w:hAnsiTheme="minorHAnsi" w:cstheme="minorHAnsi"/>
                <w:b/>
              </w:rPr>
              <w:t>Riikliku taustaga isikud</w:t>
            </w:r>
          </w:p>
        </w:tc>
        <w:tc>
          <w:tcPr>
            <w:tcW w:w="6377" w:type="dxa"/>
            <w:gridSpan w:val="3"/>
          </w:tcPr>
          <w:p w:rsidR="00905F7E" w:rsidRPr="00D032BE" w:rsidRDefault="00905F7E" w:rsidP="00905F7E">
            <w:pPr>
              <w:pStyle w:val="kehatekst"/>
              <w:ind w:left="0"/>
              <w:jc w:val="left"/>
            </w:pPr>
            <w:r w:rsidRPr="00D032BE">
              <w:t xml:space="preserve">Välisriigi riikliku taustaga isikud on isikud, kes täidavad olulisi avalikke ülesandeid välisriigis, nt </w:t>
            </w:r>
            <w:r w:rsidRPr="00D032BE">
              <w:rPr>
                <w:szCs w:val="24"/>
              </w:rPr>
              <w:t>riigipead või valitsusjuhid, tipp-poliitikud, valitsuse, kohtuasutuste või relvajõudude tippametnikud, riigiettevõtete tippjuhid, poliitiliste parteide olulised ametiisikud</w:t>
            </w:r>
            <w:r w:rsidRPr="00D032BE">
              <w:t>.</w:t>
            </w:r>
          </w:p>
          <w:p w:rsidR="00905F7E" w:rsidRPr="00D032BE" w:rsidRDefault="00905F7E" w:rsidP="00905F7E">
            <w:pPr>
              <w:pStyle w:val="kehatekst"/>
              <w:ind w:left="34"/>
              <w:jc w:val="left"/>
            </w:pPr>
            <w:r w:rsidRPr="00D032BE">
              <w:t xml:space="preserve">Siseriiklikud riikliku taustaga isikud on isikud, kes täidavad olulisi avalikke ülesandeid oma koduriigis, nt </w:t>
            </w:r>
            <w:r w:rsidRPr="00D032BE">
              <w:rPr>
                <w:szCs w:val="24"/>
              </w:rPr>
              <w:t xml:space="preserve">riigipead või valitsusjuhid, tipp-poliitikud, valitsuse, kohtuasutuste või </w:t>
            </w:r>
            <w:r w:rsidRPr="00D032BE">
              <w:rPr>
                <w:szCs w:val="24"/>
              </w:rPr>
              <w:lastRenderedPageBreak/>
              <w:t>relvajõudude tippametnikud, riigiettevõtete tippjuhid, poliitiliste parteide olulised ametiisikud</w:t>
            </w:r>
            <w:r w:rsidRPr="00D032BE">
              <w:t>.</w:t>
            </w:r>
          </w:p>
          <w:p w:rsidR="00905F7E" w:rsidRPr="00D032BE" w:rsidRDefault="00905F7E" w:rsidP="009F1D5C">
            <w:pPr>
              <w:pStyle w:val="kehatekst"/>
              <w:ind w:left="34"/>
              <w:jc w:val="left"/>
            </w:pPr>
            <w:r w:rsidRPr="00D032BE">
              <w:t>„Rahvusvaheliste organisatsioonide olulisi ülesandeid täitvad</w:t>
            </w:r>
            <w:r w:rsidR="009F1D5C">
              <w:t xml:space="preserve"> või täitnud isikud” hõlmab </w:t>
            </w:r>
            <w:r w:rsidRPr="00D032BE">
              <w:t>juhtkonna liikmeid, st direktoreid, asedirektoreid ja juhatuse liikmeid või võrdväärsel ametikohal olevaid isikuid.</w:t>
            </w:r>
          </w:p>
          <w:p w:rsidR="00905F7E" w:rsidRPr="00D032BE" w:rsidRDefault="00905F7E" w:rsidP="00905F7E">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Mõiste ei hõlma samade kategooriate keskastme või nooremametnikke.</w:t>
            </w:r>
          </w:p>
          <w:p w:rsidR="00905F7E" w:rsidRPr="00D032BE" w:rsidRDefault="00905F7E" w:rsidP="00905F7E">
            <w:pPr>
              <w:autoSpaceDE w:val="0"/>
              <w:autoSpaceDN w:val="0"/>
              <w:adjustRightInd w:val="0"/>
              <w:rPr>
                <w:lang w:val="et-EE"/>
              </w:rPr>
            </w:pPr>
          </w:p>
        </w:tc>
      </w:tr>
      <w:tr w:rsidR="00DF37CC" w:rsidRPr="002A32CF">
        <w:tc>
          <w:tcPr>
            <w:tcW w:w="2803" w:type="dxa"/>
          </w:tcPr>
          <w:p w:rsidR="00DF37CC" w:rsidRPr="00D032BE" w:rsidRDefault="00DF37CC" w:rsidP="00DF37CC">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Risk </w:t>
            </w:r>
          </w:p>
        </w:tc>
        <w:tc>
          <w:tcPr>
            <w:tcW w:w="6377" w:type="dxa"/>
            <w:gridSpan w:val="3"/>
          </w:tcPr>
          <w:p w:rsidR="00DF37CC" w:rsidRPr="00D032BE" w:rsidRDefault="00DF37CC" w:rsidP="00DF37CC">
            <w:pPr>
              <w:pStyle w:val="kehatekst"/>
              <w:ind w:left="0"/>
              <w:jc w:val="left"/>
            </w:pPr>
            <w:r w:rsidRPr="00D032BE">
              <w:t xml:space="preserve">Kõik viited riskidele tähendavad </w:t>
            </w:r>
            <w:r w:rsidR="002A32CF">
              <w:t>rahapesu</w:t>
            </w:r>
            <w:r w:rsidRPr="00D032BE">
              <w:t xml:space="preserve"> ja/või terrorismi rahastamise riske. Siinjuures tuleks arvesse võtta ka soovituse</w:t>
            </w:r>
            <w:r w:rsidR="00847867">
              <w:t xml:space="preserve"> </w:t>
            </w:r>
            <w:r w:rsidRPr="00D032BE">
              <w:t>1 tõlgendavat märkust.</w:t>
            </w:r>
          </w:p>
        </w:tc>
      </w:tr>
      <w:tr w:rsidR="00B2046D" w:rsidRPr="003371E6">
        <w:tc>
          <w:tcPr>
            <w:tcW w:w="2803" w:type="dxa"/>
          </w:tcPr>
          <w:p w:rsidR="00B2046D" w:rsidRPr="00D032BE" w:rsidRDefault="00B2046D" w:rsidP="00B2046D">
            <w:pPr>
              <w:pStyle w:val="kehatekst"/>
              <w:ind w:left="0"/>
              <w:jc w:val="left"/>
              <w:rPr>
                <w:rFonts w:asciiTheme="minorHAnsi" w:hAnsiTheme="minorHAnsi" w:cstheme="minorHAnsi"/>
                <w:b/>
              </w:rPr>
            </w:pPr>
            <w:r w:rsidRPr="00D032BE">
              <w:rPr>
                <w:rFonts w:asciiTheme="minorHAnsi" w:hAnsiTheme="minorHAnsi" w:cstheme="minorHAnsi"/>
                <w:b/>
              </w:rPr>
              <w:t>Samalaadsed asutused</w:t>
            </w:r>
          </w:p>
        </w:tc>
        <w:tc>
          <w:tcPr>
            <w:tcW w:w="6377" w:type="dxa"/>
            <w:gridSpan w:val="3"/>
          </w:tcPr>
          <w:p w:rsidR="00B2046D" w:rsidRPr="00D032BE" w:rsidRDefault="00B2046D" w:rsidP="002A32CF">
            <w:pPr>
              <w:pStyle w:val="kehatekst"/>
              <w:ind w:left="0"/>
              <w:jc w:val="left"/>
            </w:pPr>
            <w:r w:rsidRPr="00D032BE">
              <w:t xml:space="preserve">Teiste riikide pädevad asutused, mille ülesanded ja funktsioonid seoses taotletava koostööga on sarnased, isegi kui nende teiste riikide pädevate asutuste olemus või staatus on erinev (nt olenevalt riigist võib teatud finantssektorite </w:t>
            </w:r>
            <w:r w:rsidR="002A32CF">
              <w:t>rahapesu</w:t>
            </w:r>
            <w:r w:rsidRPr="00D032BE">
              <w:t xml:space="preserve"> ja terrorismi rahastamise </w:t>
            </w:r>
            <w:r w:rsidR="002A32CF">
              <w:t>tõkestamise</w:t>
            </w:r>
            <w:r w:rsidRPr="00D032BE">
              <w:t xml:space="preserve"> järelevalvet teostada järelevalveasutus, millel on ka usaldatavusnõuete täitmise järelevalve kohustus või </w:t>
            </w:r>
            <w:r w:rsidR="00D86A5F">
              <w:t>Rahapesu andmebüroo</w:t>
            </w:r>
            <w:r w:rsidRPr="00D032BE">
              <w:t xml:space="preserve"> järelevalveüksus).</w:t>
            </w:r>
          </w:p>
        </w:tc>
      </w:tr>
      <w:tr w:rsidR="00A05957" w:rsidRPr="00D032BE">
        <w:tc>
          <w:tcPr>
            <w:tcW w:w="2803" w:type="dxa"/>
          </w:tcPr>
          <w:p w:rsidR="00A05957" w:rsidRPr="00D032BE" w:rsidRDefault="00A05957" w:rsidP="00A05957">
            <w:pPr>
              <w:pStyle w:val="kehatekst"/>
              <w:ind w:left="0"/>
              <w:jc w:val="left"/>
              <w:rPr>
                <w:rFonts w:asciiTheme="minorHAnsi" w:hAnsiTheme="minorHAnsi" w:cstheme="minorHAnsi"/>
                <w:b/>
              </w:rPr>
            </w:pPr>
            <w:r w:rsidRPr="00D032BE">
              <w:rPr>
                <w:rFonts w:asciiTheme="minorHAnsi" w:hAnsiTheme="minorHAnsi" w:cstheme="minorHAnsi"/>
                <w:b/>
              </w:rPr>
              <w:t xml:space="preserve">Seeriamakse </w:t>
            </w:r>
          </w:p>
        </w:tc>
        <w:tc>
          <w:tcPr>
            <w:tcW w:w="6377" w:type="dxa"/>
            <w:gridSpan w:val="3"/>
          </w:tcPr>
          <w:p w:rsidR="00A05957" w:rsidRPr="00D032BE" w:rsidRDefault="00A05957" w:rsidP="00A05957">
            <w:pPr>
              <w:pStyle w:val="kehatekst"/>
              <w:ind w:left="0"/>
              <w:jc w:val="left"/>
            </w:pPr>
            <w:r w:rsidRPr="00D032BE">
              <w:t>Vt soovituse</w:t>
            </w:r>
            <w:r w:rsidR="00847867">
              <w:t xml:space="preserve"> </w:t>
            </w:r>
            <w:r w:rsidRPr="00D032BE">
              <w:t>16 tõlgendavat märkust.</w:t>
            </w:r>
          </w:p>
        </w:tc>
      </w:tr>
      <w:tr w:rsidR="00A05957" w:rsidRPr="00D032BE">
        <w:tc>
          <w:tcPr>
            <w:tcW w:w="2803" w:type="dxa"/>
          </w:tcPr>
          <w:p w:rsidR="00A05957" w:rsidRPr="00D032BE" w:rsidRDefault="00A05957" w:rsidP="00A05957">
            <w:pPr>
              <w:pStyle w:val="kehatekst"/>
              <w:ind w:left="0"/>
              <w:jc w:val="left"/>
              <w:rPr>
                <w:rFonts w:asciiTheme="minorHAnsi" w:hAnsiTheme="minorHAnsi" w:cstheme="minorHAnsi"/>
                <w:b/>
              </w:rPr>
            </w:pPr>
            <w:r w:rsidRPr="00D032BE">
              <w:rPr>
                <w:rFonts w:asciiTheme="minorHAnsi" w:hAnsiTheme="minorHAnsi" w:cstheme="minorHAnsi"/>
                <w:b/>
                <w:color w:val="000000" w:themeColor="text1"/>
              </w:rPr>
              <w:t>Seotud terrorismi rahastamise või rahapesuga</w:t>
            </w:r>
            <w:r w:rsidRPr="00D032BE">
              <w:rPr>
                <w:rFonts w:asciiTheme="minorHAnsi" w:hAnsiTheme="minorHAnsi" w:cstheme="minorHAnsi"/>
                <w:b/>
              </w:rPr>
              <w:t xml:space="preserve"> </w:t>
            </w:r>
          </w:p>
        </w:tc>
        <w:tc>
          <w:tcPr>
            <w:tcW w:w="6377" w:type="dxa"/>
            <w:gridSpan w:val="3"/>
          </w:tcPr>
          <w:p w:rsidR="00A05957" w:rsidRPr="00D032BE" w:rsidRDefault="00A05957" w:rsidP="00A05957">
            <w:pPr>
              <w:pStyle w:val="kehatekst"/>
              <w:ind w:left="0"/>
              <w:jc w:val="left"/>
            </w:pPr>
            <w:r w:rsidRPr="00D032BE">
              <w:t>Vt soovituse</w:t>
            </w:r>
            <w:r w:rsidR="00847867">
              <w:t xml:space="preserve"> </w:t>
            </w:r>
            <w:r w:rsidRPr="00D032BE">
              <w:t>32 tõlgendavat märkust.</w:t>
            </w:r>
          </w:p>
        </w:tc>
      </w:tr>
      <w:tr w:rsidR="00B2046D" w:rsidRPr="003371E6">
        <w:tc>
          <w:tcPr>
            <w:tcW w:w="2803" w:type="dxa"/>
          </w:tcPr>
          <w:p w:rsidR="00B2046D" w:rsidRPr="00D032BE" w:rsidRDefault="00B2046D" w:rsidP="00B2046D">
            <w:pPr>
              <w:pStyle w:val="kehatekst"/>
              <w:ind w:left="0"/>
              <w:jc w:val="left"/>
              <w:rPr>
                <w:rFonts w:asciiTheme="minorHAnsi" w:hAnsiTheme="minorHAnsi" w:cstheme="minorHAnsi"/>
                <w:b/>
              </w:rPr>
            </w:pPr>
            <w:r w:rsidRPr="00D032BE">
              <w:rPr>
                <w:rFonts w:asciiTheme="minorHAnsi" w:hAnsiTheme="minorHAnsi" w:cstheme="minorHAnsi"/>
                <w:b/>
              </w:rPr>
              <w:t>Sihtotstarbelised finantskaristused</w:t>
            </w:r>
          </w:p>
        </w:tc>
        <w:tc>
          <w:tcPr>
            <w:tcW w:w="6377" w:type="dxa"/>
            <w:gridSpan w:val="3"/>
          </w:tcPr>
          <w:p w:rsidR="00B2046D" w:rsidRPr="00D032BE" w:rsidRDefault="00B2046D" w:rsidP="00B2046D">
            <w:pPr>
              <w:pStyle w:val="kehatekst"/>
              <w:ind w:left="0"/>
              <w:jc w:val="left"/>
            </w:pPr>
            <w:r w:rsidRPr="00D032BE">
              <w:t>Nii varade blokeerimine kui keeldude kehtestamine, millega takistatakse rahaliste vahendite või muu vara otseselt või kaudselt kättesaadavaks tegemist määratud isikutele või üksustele.</w:t>
            </w:r>
          </w:p>
        </w:tc>
      </w:tr>
      <w:tr w:rsidR="002714EC" w:rsidRPr="003371E6">
        <w:tc>
          <w:tcPr>
            <w:tcW w:w="2803" w:type="dxa"/>
          </w:tcPr>
          <w:p w:rsidR="002714EC" w:rsidRPr="00D032BE" w:rsidRDefault="002714EC" w:rsidP="002714EC">
            <w:pPr>
              <w:pStyle w:val="kehatekst"/>
              <w:ind w:left="0"/>
              <w:jc w:val="left"/>
              <w:rPr>
                <w:rFonts w:asciiTheme="minorHAnsi" w:hAnsiTheme="minorHAnsi" w:cstheme="minorHAnsi"/>
                <w:b/>
              </w:rPr>
            </w:pPr>
            <w:r w:rsidRPr="00D032BE">
              <w:rPr>
                <w:rFonts w:asciiTheme="minorHAnsi" w:hAnsiTheme="minorHAnsi" w:cstheme="minorHAnsi"/>
                <w:b/>
              </w:rPr>
              <w:t>Siseriikliku õiguse aluspõhimõtted</w:t>
            </w:r>
          </w:p>
        </w:tc>
        <w:tc>
          <w:tcPr>
            <w:tcW w:w="6377" w:type="dxa"/>
            <w:gridSpan w:val="3"/>
          </w:tcPr>
          <w:p w:rsidR="002714EC" w:rsidRPr="00D032BE" w:rsidRDefault="002714EC" w:rsidP="002714EC">
            <w:pPr>
              <w:pStyle w:val="kehatekst"/>
              <w:ind w:left="0"/>
              <w:jc w:val="left"/>
            </w:pPr>
            <w:r w:rsidRPr="00D032BE">
              <w:t>Peamised õiguspõhimõtted, millele riikide õigussüsteemid tuginevad ja mis moodustavad raamistiku siseriiklike seaduste vastuvõtmiseks ja õiguste teostamiseks. Need aluspõhimõtted on tavaliselt sätestatud või väljendatud riigi põhiseaduses või sarnases dokumendis või selle kõrgeima astme kohtu otsuste kaudu, kellel on võim anda siseriikliku õiguse kohta siduvad tõlgendusi või määratlusi. Kuigi see võib riigiti varieeruda, hõlmavad mõned näited sellistest aluspõhimõtetest õigust protseduurireegleid järgivale kohtumõistmisele, süütuse presumptsiooni ja õigust kohtupoolsele tõhusale kaitsele.</w:t>
            </w:r>
          </w:p>
        </w:tc>
      </w:tr>
      <w:tr w:rsidR="000B3C4C" w:rsidRPr="003371E6" w:rsidTr="000B3C4C">
        <w:trPr>
          <w:gridAfter w:val="1"/>
          <w:wAfter w:w="46" w:type="dxa"/>
        </w:trPr>
        <w:tc>
          <w:tcPr>
            <w:tcW w:w="2803" w:type="dxa"/>
          </w:tcPr>
          <w:p w:rsidR="000B3C4C" w:rsidRPr="00D032BE" w:rsidRDefault="000B3C4C" w:rsidP="000B3C4C">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Tegelik kasusaaja </w:t>
            </w:r>
          </w:p>
        </w:tc>
        <w:tc>
          <w:tcPr>
            <w:tcW w:w="6331" w:type="dxa"/>
            <w:gridSpan w:val="2"/>
          </w:tcPr>
          <w:p w:rsidR="000B3C4C" w:rsidRPr="00D032BE" w:rsidRDefault="000B3C4C" w:rsidP="000B3C4C">
            <w:pPr>
              <w:autoSpaceDE w:val="0"/>
              <w:autoSpaceDN w:val="0"/>
              <w:adjustRightInd w:val="0"/>
              <w:rPr>
                <w:lang w:val="et-EE"/>
              </w:rPr>
            </w:pPr>
            <w:r w:rsidRPr="00D032BE">
              <w:rPr>
                <w:rFonts w:asciiTheme="majorHAnsi" w:hAnsiTheme="majorHAnsi"/>
                <w:sz w:val="24"/>
                <w:szCs w:val="24"/>
                <w:lang w:val="et-EE"/>
              </w:rPr>
              <w:t>Füüsiline isik (füüsilised isikud), kes on kliendi</w:t>
            </w:r>
            <w:r w:rsidRPr="00D032BE">
              <w:rPr>
                <w:rStyle w:val="Allmrkuseviide"/>
                <w:rFonts w:asciiTheme="majorHAnsi" w:hAnsiTheme="majorHAnsi"/>
                <w:sz w:val="24"/>
                <w:szCs w:val="24"/>
              </w:rPr>
              <w:footnoteReference w:id="59"/>
            </w:r>
            <w:r w:rsidRPr="00D032BE">
              <w:rPr>
                <w:rFonts w:asciiTheme="majorHAnsi" w:hAnsiTheme="majorHAnsi"/>
                <w:sz w:val="24"/>
                <w:szCs w:val="24"/>
                <w:lang w:val="et-EE"/>
              </w:rPr>
              <w:t xml:space="preserve"> lõplik omanik või teda lõplikult</w:t>
            </w:r>
            <w:r w:rsidRPr="00D032BE">
              <w:rPr>
                <w:rStyle w:val="Allmrkuseviide"/>
                <w:rFonts w:asciiTheme="majorHAnsi" w:hAnsiTheme="majorHAnsi"/>
                <w:sz w:val="24"/>
                <w:szCs w:val="24"/>
              </w:rPr>
              <w:footnoteReference w:id="60"/>
            </w:r>
            <w:r w:rsidRPr="00D032BE">
              <w:rPr>
                <w:rFonts w:asciiTheme="majorHAnsi" w:hAnsiTheme="majorHAnsi"/>
                <w:sz w:val="24"/>
                <w:szCs w:val="24"/>
                <w:lang w:val="et-EE"/>
              </w:rPr>
              <w:t xml:space="preserve"> kontrolliv isik, ja/või füüsiline isik, kelle nimel tehing sooritatakse. See mõiste hõlmab ka isikuid, kes teostavad lõplikku kontrolli juriidilise isiku või üksuse üle.</w:t>
            </w:r>
          </w:p>
        </w:tc>
      </w:tr>
      <w:tr w:rsidR="006C6945" w:rsidRPr="003371E6">
        <w:tc>
          <w:tcPr>
            <w:tcW w:w="2813" w:type="dxa"/>
            <w:gridSpan w:val="2"/>
          </w:tcPr>
          <w:p w:rsidR="006C6945" w:rsidRPr="00D032BE" w:rsidRDefault="006C6945" w:rsidP="006C6945">
            <w:pPr>
              <w:pStyle w:val="kehatekst"/>
              <w:ind w:left="0"/>
              <w:jc w:val="left"/>
              <w:rPr>
                <w:rFonts w:asciiTheme="minorHAnsi" w:hAnsiTheme="minorHAnsi" w:cstheme="minorHAnsi"/>
                <w:b/>
              </w:rPr>
            </w:pPr>
            <w:r w:rsidRPr="00D032BE">
              <w:rPr>
                <w:rFonts w:asciiTheme="minorHAnsi" w:hAnsiTheme="minorHAnsi" w:cstheme="minorHAnsi"/>
                <w:b/>
              </w:rPr>
              <w:t xml:space="preserve">Terrorikuritegu </w:t>
            </w:r>
          </w:p>
        </w:tc>
        <w:tc>
          <w:tcPr>
            <w:tcW w:w="6367" w:type="dxa"/>
            <w:gridSpan w:val="2"/>
          </w:tcPr>
          <w:p w:rsidR="006C6945" w:rsidRPr="00D032BE" w:rsidRDefault="006C6945" w:rsidP="006C6945">
            <w:pPr>
              <w:pStyle w:val="kehatekst"/>
              <w:ind w:left="0"/>
              <w:jc w:val="left"/>
            </w:pPr>
            <w:r w:rsidRPr="00D032BE">
              <w:t>Terrorikuritegu hõlmab</w:t>
            </w:r>
          </w:p>
          <w:p w:rsidR="006C6945" w:rsidRPr="00D032BE" w:rsidRDefault="006C6945" w:rsidP="006C6945">
            <w:pPr>
              <w:pStyle w:val="kehatekst"/>
              <w:ind w:left="317" w:hanging="283"/>
              <w:jc w:val="left"/>
            </w:pPr>
            <w:r w:rsidRPr="00D032BE">
              <w:t xml:space="preserve">a) järgmiste lepingute kohaldamisalasse kuuluvaid või neis õigusrikkumisena määratletud tegusid: i) õhusõiduki ebaseadusliku hõivamise vastu võitlemise konventsioon (1970); </w:t>
            </w:r>
            <w:proofErr w:type="spellStart"/>
            <w:r w:rsidRPr="00D032BE">
              <w:t>ii</w:t>
            </w:r>
            <w:proofErr w:type="spellEnd"/>
            <w:r w:rsidRPr="00D032BE">
              <w:t xml:space="preserve">) tsiviillennunduse ohutuse vastu suunatud ebaseaduslike tegude tõkestamise konventsioon (1971); </w:t>
            </w:r>
            <w:proofErr w:type="spellStart"/>
            <w:r w:rsidRPr="00D032BE">
              <w:t>iii</w:t>
            </w:r>
            <w:proofErr w:type="spellEnd"/>
            <w:r w:rsidRPr="00D032BE">
              <w:t xml:space="preserve">) rahvusvaheliselt kaitstud isikute, kaasa arvatud diplomaatiliste agentide vastu suunatud kuritegude tõkestamise ja karistamise konventsioon (1973); </w:t>
            </w:r>
            <w:proofErr w:type="spellStart"/>
            <w:r w:rsidRPr="00D032BE">
              <w:t>iv</w:t>
            </w:r>
            <w:proofErr w:type="spellEnd"/>
            <w:r w:rsidRPr="00D032BE">
              <w:t xml:space="preserve">) pantvangivõtmise vastane rahvusvaheline konventsioon (1979); v) tuumamaterjali füüsilise kaitsmise konventsioon (1980); </w:t>
            </w:r>
            <w:proofErr w:type="spellStart"/>
            <w:r w:rsidRPr="00D032BE">
              <w:t>vi</w:t>
            </w:r>
            <w:proofErr w:type="spellEnd"/>
            <w:r w:rsidRPr="00D032BE">
              <w:t xml:space="preserve">) tsiviillennunduse ohutuse vastu suunatud ebaseaduslike tegude tõkestamise konventsiooni lisaprotokoll ebaseaduslike vägivallaaktide vastu võitlemise kohta rahvusvahelist lennuliiklust teenindavates lennujaamades (1988); vii) meresõitu ohustava ebaseadusliku tegevuse tõkestamise konventsioon (2005); </w:t>
            </w:r>
            <w:proofErr w:type="spellStart"/>
            <w:r w:rsidRPr="00D032BE">
              <w:t>viii</w:t>
            </w:r>
            <w:proofErr w:type="spellEnd"/>
            <w:r w:rsidRPr="00D032BE">
              <w:t xml:space="preserve">) mandrilavale kinnitatud platvorme ohustava ebaseadusliku tegevuse tõkestamise protokoll (2005); </w:t>
            </w:r>
            <w:proofErr w:type="spellStart"/>
            <w:r w:rsidRPr="00D032BE">
              <w:t>ix</w:t>
            </w:r>
            <w:proofErr w:type="spellEnd"/>
            <w:r w:rsidRPr="00D032BE">
              <w:t>) terroristlike pommirünnakute tõkestamise rahvusvaheline konventsioon (1997) ja x) terrorismi rahastamise tõkestamise rahvusvaheline konventsioon (1999).</w:t>
            </w:r>
          </w:p>
          <w:p w:rsidR="006C6945" w:rsidRPr="00D032BE" w:rsidRDefault="006C6945" w:rsidP="006C6945">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b) iga muu tegu, mille eesmärk on põhjustada tsiviilisiku või muu isiku, kes ei osale aktiivselt vaenutegevuses relvastatud konflikti olukorras, surma või tekitada talle raske kehavigastus, kui selline tegu on kas oma laadilt või sisult kavandatud selleks, et hirmutada rahvast või sundida valitsust või rahvusvahelist organisatsiooni teat</w:t>
            </w:r>
            <w:r>
              <w:rPr>
                <w:rFonts w:asciiTheme="majorHAnsi" w:hAnsiTheme="majorHAnsi"/>
                <w:sz w:val="24"/>
                <w:szCs w:val="24"/>
                <w:lang w:val="et-EE"/>
              </w:rPr>
              <w:t>avaks</w:t>
            </w:r>
            <w:r w:rsidRPr="00D032BE">
              <w:rPr>
                <w:rFonts w:asciiTheme="majorHAnsi" w:hAnsiTheme="majorHAnsi"/>
                <w:sz w:val="24"/>
                <w:szCs w:val="24"/>
                <w:lang w:val="et-EE"/>
              </w:rPr>
              <w:t xml:space="preserve"> tegevuseks või hoiduma teat</w:t>
            </w:r>
            <w:r>
              <w:rPr>
                <w:rFonts w:asciiTheme="majorHAnsi" w:hAnsiTheme="majorHAnsi"/>
                <w:sz w:val="24"/>
                <w:szCs w:val="24"/>
                <w:lang w:val="et-EE"/>
              </w:rPr>
              <w:t xml:space="preserve">avast </w:t>
            </w:r>
            <w:r w:rsidRPr="00D032BE">
              <w:rPr>
                <w:rFonts w:asciiTheme="majorHAnsi" w:hAnsiTheme="majorHAnsi"/>
                <w:sz w:val="24"/>
                <w:szCs w:val="24"/>
                <w:lang w:val="et-EE"/>
              </w:rPr>
              <w:t>tegevusest.</w:t>
            </w:r>
          </w:p>
          <w:p w:rsidR="006C6945" w:rsidRPr="00D032BE" w:rsidRDefault="006C6945" w:rsidP="006C6945">
            <w:pPr>
              <w:autoSpaceDE w:val="0"/>
              <w:autoSpaceDN w:val="0"/>
              <w:adjustRightInd w:val="0"/>
              <w:rPr>
                <w:lang w:val="et-EE"/>
              </w:rPr>
            </w:pPr>
          </w:p>
        </w:tc>
      </w:tr>
      <w:tr w:rsidR="006C6945" w:rsidRPr="00D032BE">
        <w:tc>
          <w:tcPr>
            <w:tcW w:w="2813" w:type="dxa"/>
            <w:gridSpan w:val="2"/>
          </w:tcPr>
          <w:p w:rsidR="006C6945" w:rsidRPr="00D032BE" w:rsidRDefault="006C6945" w:rsidP="006C6945">
            <w:pPr>
              <w:pStyle w:val="kehatekst"/>
              <w:ind w:left="0"/>
              <w:jc w:val="left"/>
              <w:rPr>
                <w:rFonts w:asciiTheme="minorHAnsi" w:hAnsiTheme="minorHAnsi" w:cstheme="minorHAnsi"/>
                <w:b/>
              </w:rPr>
            </w:pPr>
            <w:r w:rsidRPr="00D032BE">
              <w:rPr>
                <w:rFonts w:asciiTheme="minorHAnsi" w:hAnsiTheme="minorHAnsi" w:cstheme="minorHAnsi"/>
                <w:b/>
              </w:rPr>
              <w:lastRenderedPageBreak/>
              <w:t>Terrorismi rahastamine</w:t>
            </w:r>
          </w:p>
        </w:tc>
        <w:tc>
          <w:tcPr>
            <w:tcW w:w="6367" w:type="dxa"/>
            <w:gridSpan w:val="2"/>
          </w:tcPr>
          <w:p w:rsidR="006C6945" w:rsidRPr="00D032BE" w:rsidRDefault="006C6945" w:rsidP="006C6945">
            <w:pPr>
              <w:pStyle w:val="kehatekst"/>
              <w:ind w:left="0"/>
              <w:jc w:val="left"/>
            </w:pPr>
            <w:r w:rsidRPr="00D032BE">
              <w:rPr>
                <w:szCs w:val="24"/>
              </w:rPr>
              <w:t>Terrorikuritegude ning terroristide ja terroristlike ühenduste rahastamine</w:t>
            </w:r>
            <w:r w:rsidRPr="00D032BE">
              <w:t>.</w:t>
            </w:r>
          </w:p>
        </w:tc>
      </w:tr>
      <w:tr w:rsidR="00C265C1" w:rsidRPr="003371E6">
        <w:tc>
          <w:tcPr>
            <w:tcW w:w="2813" w:type="dxa"/>
            <w:gridSpan w:val="2"/>
          </w:tcPr>
          <w:p w:rsidR="00C265C1" w:rsidRPr="00D032BE" w:rsidRDefault="00C265C1" w:rsidP="00C265C1">
            <w:pPr>
              <w:pStyle w:val="kehatekst"/>
              <w:ind w:left="0"/>
              <w:jc w:val="left"/>
              <w:rPr>
                <w:rFonts w:asciiTheme="minorHAnsi" w:hAnsiTheme="minorHAnsi" w:cstheme="minorHAnsi"/>
                <w:b/>
              </w:rPr>
            </w:pPr>
            <w:r w:rsidRPr="00D032BE">
              <w:rPr>
                <w:rFonts w:asciiTheme="minorHAnsi" w:hAnsiTheme="minorHAnsi" w:cstheme="minorHAnsi"/>
                <w:b/>
              </w:rPr>
              <w:t>Terrorismi rahastamise kuritegu</w:t>
            </w:r>
          </w:p>
        </w:tc>
        <w:tc>
          <w:tcPr>
            <w:tcW w:w="6367" w:type="dxa"/>
            <w:gridSpan w:val="2"/>
          </w:tcPr>
          <w:p w:rsidR="00C265C1" w:rsidRPr="00D032BE" w:rsidRDefault="00C265C1" w:rsidP="00C265C1">
            <w:pPr>
              <w:pStyle w:val="kehatekst"/>
              <w:ind w:left="0"/>
              <w:jc w:val="left"/>
            </w:pPr>
            <w:r w:rsidRPr="00D032BE">
              <w:t>Viited terrorismi rahastamise kuriteole hõlmavad mitte ainult põhikuritegu või -kuritegusid, vaid ka seonduvaid õigusrikkumisi (v.a soovituses</w:t>
            </w:r>
            <w:r w:rsidR="00847867">
              <w:t xml:space="preserve"> </w:t>
            </w:r>
            <w:r w:rsidRPr="00D032BE">
              <w:t>4).</w:t>
            </w:r>
          </w:p>
        </w:tc>
      </w:tr>
      <w:tr w:rsidR="00707BA1" w:rsidRPr="003371E6">
        <w:tc>
          <w:tcPr>
            <w:tcW w:w="2813" w:type="dxa"/>
            <w:gridSpan w:val="2"/>
          </w:tcPr>
          <w:p w:rsidR="00707BA1" w:rsidRPr="00D032BE" w:rsidRDefault="00707BA1" w:rsidP="00707BA1">
            <w:pPr>
              <w:pStyle w:val="kehatekst"/>
              <w:ind w:left="0"/>
              <w:jc w:val="left"/>
              <w:rPr>
                <w:rFonts w:asciiTheme="minorHAnsi" w:hAnsiTheme="minorHAnsi" w:cstheme="minorHAnsi"/>
                <w:b/>
              </w:rPr>
            </w:pPr>
            <w:r w:rsidRPr="00D032BE">
              <w:rPr>
                <w:rFonts w:asciiTheme="minorHAnsi" w:hAnsiTheme="minorHAnsi" w:cstheme="minorHAnsi"/>
                <w:b/>
              </w:rPr>
              <w:t xml:space="preserve">Terrorist </w:t>
            </w:r>
          </w:p>
        </w:tc>
        <w:tc>
          <w:tcPr>
            <w:tcW w:w="6367" w:type="dxa"/>
            <w:gridSpan w:val="2"/>
          </w:tcPr>
          <w:p w:rsidR="00707BA1" w:rsidRPr="00D032BE" w:rsidRDefault="00707BA1" w:rsidP="00707BA1">
            <w:pPr>
              <w:autoSpaceDE w:val="0"/>
              <w:autoSpaceDN w:val="0"/>
              <w:adjustRightInd w:val="0"/>
              <w:rPr>
                <w:rFonts w:asciiTheme="majorHAnsi" w:hAnsiTheme="majorHAnsi"/>
                <w:sz w:val="24"/>
                <w:szCs w:val="24"/>
                <w:lang w:val="et-EE"/>
              </w:rPr>
            </w:pPr>
            <w:r w:rsidRPr="00D032BE">
              <w:rPr>
                <w:rFonts w:asciiTheme="majorHAnsi" w:hAnsiTheme="majorHAnsi"/>
                <w:sz w:val="24"/>
                <w:szCs w:val="24"/>
                <w:lang w:val="et-EE"/>
              </w:rPr>
              <w:t xml:space="preserve">Iga füüsiline isik, kes: i) mis tahes vahenditega ja otseselt või kaudselt, ebaseaduslikult ja tahtlikult paneb toime või üritab toime panna terrorikuritegusid; </w:t>
            </w:r>
            <w:proofErr w:type="spellStart"/>
            <w:r w:rsidRPr="00D032BE">
              <w:rPr>
                <w:rFonts w:asciiTheme="majorHAnsi" w:hAnsiTheme="majorHAnsi"/>
                <w:sz w:val="24"/>
                <w:szCs w:val="24"/>
                <w:lang w:val="et-EE"/>
              </w:rPr>
              <w:t>ii</w:t>
            </w:r>
            <w:proofErr w:type="spellEnd"/>
            <w:r w:rsidRPr="00D032BE">
              <w:rPr>
                <w:rFonts w:asciiTheme="majorHAnsi" w:hAnsiTheme="majorHAnsi"/>
                <w:sz w:val="24"/>
                <w:szCs w:val="24"/>
                <w:lang w:val="et-EE"/>
              </w:rPr>
              <w:t xml:space="preserve">) osaleb terrorikuriteo toimepanekus; </w:t>
            </w:r>
            <w:proofErr w:type="spellStart"/>
            <w:r w:rsidRPr="00D032BE">
              <w:rPr>
                <w:rFonts w:asciiTheme="majorHAnsi" w:hAnsiTheme="majorHAnsi"/>
                <w:sz w:val="24"/>
                <w:szCs w:val="24"/>
                <w:lang w:val="et-EE"/>
              </w:rPr>
              <w:t>iii</w:t>
            </w:r>
            <w:proofErr w:type="spellEnd"/>
            <w:r w:rsidRPr="00D032BE">
              <w:rPr>
                <w:rFonts w:asciiTheme="majorHAnsi" w:hAnsiTheme="majorHAnsi"/>
                <w:sz w:val="24"/>
                <w:szCs w:val="24"/>
                <w:lang w:val="et-EE"/>
              </w:rPr>
              <w:t xml:space="preserve">) korraldab terrorikuritegude toimepaneku või annab teistele vastavaid korraldusi või </w:t>
            </w:r>
            <w:proofErr w:type="spellStart"/>
            <w:r w:rsidRPr="00D032BE">
              <w:rPr>
                <w:rFonts w:asciiTheme="majorHAnsi" w:hAnsiTheme="majorHAnsi"/>
                <w:sz w:val="24"/>
                <w:szCs w:val="24"/>
                <w:lang w:val="et-EE"/>
              </w:rPr>
              <w:t>iv</w:t>
            </w:r>
            <w:proofErr w:type="spellEnd"/>
            <w:r w:rsidRPr="00D032BE">
              <w:rPr>
                <w:rFonts w:asciiTheme="majorHAnsi" w:hAnsiTheme="majorHAnsi"/>
                <w:sz w:val="24"/>
                <w:szCs w:val="24"/>
                <w:lang w:val="et-EE"/>
              </w:rPr>
              <w:t>) aitab kaasa ühisel eesmärgil tegutseva inimrühma toimepandud terrorikuriteole, kui terrorikuriteole aidatakse kaasa tahtlikult ja eesmärgiga soodustada terrorikuriteo toimepanekut või teades, et asjaomane rühm kavatseb toime panna terrorikuritegu.</w:t>
            </w:r>
          </w:p>
          <w:p w:rsidR="00707BA1" w:rsidRPr="00D032BE" w:rsidRDefault="00707BA1" w:rsidP="00707BA1">
            <w:pPr>
              <w:autoSpaceDE w:val="0"/>
              <w:autoSpaceDN w:val="0"/>
              <w:adjustRightInd w:val="0"/>
              <w:rPr>
                <w:lang w:val="et-EE"/>
              </w:rPr>
            </w:pPr>
          </w:p>
        </w:tc>
      </w:tr>
      <w:tr w:rsidR="00D91F83" w:rsidRPr="003371E6">
        <w:tc>
          <w:tcPr>
            <w:tcW w:w="2813" w:type="dxa"/>
            <w:gridSpan w:val="2"/>
          </w:tcPr>
          <w:p w:rsidR="00D91F83" w:rsidRPr="00D032BE" w:rsidRDefault="00D91F83" w:rsidP="00D91F83">
            <w:pPr>
              <w:pStyle w:val="kehatekst"/>
              <w:ind w:left="0"/>
              <w:jc w:val="left"/>
              <w:rPr>
                <w:rFonts w:asciiTheme="minorHAnsi" w:hAnsiTheme="minorHAnsi" w:cstheme="minorHAnsi"/>
                <w:b/>
              </w:rPr>
            </w:pPr>
            <w:r w:rsidRPr="00D032BE">
              <w:rPr>
                <w:rFonts w:asciiTheme="minorHAnsi" w:hAnsiTheme="minorHAnsi" w:cstheme="minorHAnsi"/>
                <w:b/>
              </w:rPr>
              <w:t>Terroristlik ühendus</w:t>
            </w:r>
          </w:p>
        </w:tc>
        <w:tc>
          <w:tcPr>
            <w:tcW w:w="6367" w:type="dxa"/>
            <w:gridSpan w:val="2"/>
          </w:tcPr>
          <w:p w:rsidR="00D91F83" w:rsidRPr="00D032BE" w:rsidRDefault="00D91F83" w:rsidP="00D91F83">
            <w:pPr>
              <w:pStyle w:val="kehatekst"/>
              <w:ind w:left="0"/>
              <w:jc w:val="left"/>
            </w:pPr>
            <w:r w:rsidRPr="00D032BE">
              <w:rPr>
                <w:szCs w:val="24"/>
              </w:rPr>
              <w:t>Iga terroristide rühm, mis</w:t>
            </w:r>
            <w:r w:rsidRPr="00D032BE">
              <w:t xml:space="preserve"> i) </w:t>
            </w:r>
            <w:r w:rsidRPr="00D032BE">
              <w:rPr>
                <w:szCs w:val="24"/>
              </w:rPr>
              <w:t>mis tahes vahenditega ja otseselt või kaudselt, ebaseaduslikult ja tahtlikult paneb toime või üritab toime panna terrorikuritegusid</w:t>
            </w:r>
            <w:r w:rsidRPr="00D032BE">
              <w:t xml:space="preserve">; </w:t>
            </w:r>
            <w:proofErr w:type="spellStart"/>
            <w:r w:rsidRPr="00D032BE">
              <w:t>ii</w:t>
            </w:r>
            <w:proofErr w:type="spellEnd"/>
            <w:r w:rsidRPr="00D032BE">
              <w:t xml:space="preserve">) </w:t>
            </w:r>
            <w:r w:rsidRPr="00D032BE">
              <w:rPr>
                <w:szCs w:val="24"/>
              </w:rPr>
              <w:t>osaleb terrorikuriteo toimepanekus</w:t>
            </w:r>
            <w:r w:rsidRPr="00D032BE">
              <w:t xml:space="preserve">; </w:t>
            </w:r>
            <w:proofErr w:type="spellStart"/>
            <w:r w:rsidRPr="00D032BE">
              <w:t>iii</w:t>
            </w:r>
            <w:proofErr w:type="spellEnd"/>
            <w:r w:rsidRPr="00D032BE">
              <w:t xml:space="preserve">) </w:t>
            </w:r>
            <w:r w:rsidRPr="00D032BE">
              <w:rPr>
                <w:szCs w:val="24"/>
              </w:rPr>
              <w:t>korraldab terrorikuritegude toimepaneku või annab teistele vastavaid korraldusi</w:t>
            </w:r>
            <w:r w:rsidRPr="00D032BE">
              <w:t xml:space="preserve"> või </w:t>
            </w:r>
            <w:proofErr w:type="spellStart"/>
            <w:r w:rsidRPr="00D032BE">
              <w:t>iv</w:t>
            </w:r>
            <w:proofErr w:type="spellEnd"/>
            <w:r w:rsidRPr="00D032BE">
              <w:t xml:space="preserve">) </w:t>
            </w:r>
            <w:r w:rsidRPr="00D032BE">
              <w:rPr>
                <w:szCs w:val="24"/>
              </w:rPr>
              <w:t>aitab kaasa ühisel eesmärgil tegutseva inimrühma toimepandud terrorikuritegudele, kui terrorikuriteole aidatakse kaasa tahtlikult ja eesmärgiga soodustada terrorikuriteo toimepanekut või teades, et asjaomane rühm kavatseb toime panna terrorikuritegu</w:t>
            </w:r>
            <w:r w:rsidRPr="00D032BE">
              <w:t>.</w:t>
            </w:r>
          </w:p>
        </w:tc>
      </w:tr>
      <w:tr w:rsidR="001513F8" w:rsidRPr="00D032BE">
        <w:tc>
          <w:tcPr>
            <w:tcW w:w="2813" w:type="dxa"/>
            <w:gridSpan w:val="2"/>
          </w:tcPr>
          <w:p w:rsidR="001513F8" w:rsidRPr="00D032BE" w:rsidRDefault="001513F8" w:rsidP="001513F8">
            <w:pPr>
              <w:pStyle w:val="kehatekst"/>
              <w:ind w:left="0"/>
              <w:jc w:val="left"/>
              <w:rPr>
                <w:rFonts w:asciiTheme="minorHAnsi" w:hAnsiTheme="minorHAnsi" w:cstheme="minorHAnsi"/>
                <w:b/>
              </w:rPr>
            </w:pPr>
            <w:r w:rsidRPr="00D032BE">
              <w:rPr>
                <w:rFonts w:asciiTheme="minorHAnsi" w:hAnsiTheme="minorHAnsi" w:cstheme="minorHAnsi"/>
                <w:b/>
              </w:rPr>
              <w:t xml:space="preserve">Tulu </w:t>
            </w:r>
          </w:p>
        </w:tc>
        <w:tc>
          <w:tcPr>
            <w:tcW w:w="6367" w:type="dxa"/>
            <w:gridSpan w:val="2"/>
          </w:tcPr>
          <w:p w:rsidR="001513F8" w:rsidRPr="00D032BE" w:rsidRDefault="001513F8" w:rsidP="001513F8">
            <w:pPr>
              <w:pStyle w:val="kehatekst"/>
              <w:ind w:left="0"/>
              <w:jc w:val="left"/>
            </w:pPr>
            <w:r w:rsidRPr="00D032BE">
              <w:t>Õigusrikkumise toimepanemisest otseselt või kaudselt tulenev või saadav mis tahes vara.</w:t>
            </w:r>
          </w:p>
        </w:tc>
      </w:tr>
      <w:tr w:rsidR="00BB1570" w:rsidRPr="00D032BE">
        <w:tc>
          <w:tcPr>
            <w:tcW w:w="2813" w:type="dxa"/>
            <w:gridSpan w:val="2"/>
          </w:tcPr>
          <w:p w:rsidR="00BB1570" w:rsidRPr="00D032BE" w:rsidRDefault="00BB1570" w:rsidP="00BB1570">
            <w:pPr>
              <w:pStyle w:val="kehatekst"/>
              <w:ind w:left="0"/>
              <w:jc w:val="left"/>
              <w:rPr>
                <w:rFonts w:asciiTheme="minorHAnsi" w:hAnsiTheme="minorHAnsi" w:cstheme="minorHAnsi"/>
                <w:b/>
              </w:rPr>
            </w:pPr>
            <w:r w:rsidRPr="00D032BE">
              <w:rPr>
                <w:rFonts w:asciiTheme="minorHAnsi" w:hAnsiTheme="minorHAnsi" w:cstheme="minorHAnsi"/>
                <w:b/>
              </w:rPr>
              <w:t>Tuvastamisandmed</w:t>
            </w:r>
          </w:p>
        </w:tc>
        <w:tc>
          <w:tcPr>
            <w:tcW w:w="6367" w:type="dxa"/>
            <w:gridSpan w:val="2"/>
          </w:tcPr>
          <w:p w:rsidR="00BB1570" w:rsidRPr="00D032BE" w:rsidRDefault="00BB1570" w:rsidP="00BB1570">
            <w:pPr>
              <w:pStyle w:val="kehatekst"/>
              <w:ind w:left="0"/>
              <w:jc w:val="left"/>
            </w:pPr>
            <w:r w:rsidRPr="00D032BE">
              <w:t>Usaldusväärsed ja sõltumatud algdokumendid, andmed või teave.</w:t>
            </w:r>
          </w:p>
        </w:tc>
      </w:tr>
      <w:tr w:rsidR="00B9111B" w:rsidRPr="00D032BE">
        <w:tc>
          <w:tcPr>
            <w:tcW w:w="2813" w:type="dxa"/>
            <w:gridSpan w:val="2"/>
          </w:tcPr>
          <w:p w:rsidR="00B9111B" w:rsidRPr="00D032BE" w:rsidRDefault="00B9111B" w:rsidP="00B9111B">
            <w:pPr>
              <w:pStyle w:val="kehatekst"/>
              <w:ind w:left="0"/>
              <w:jc w:val="left"/>
              <w:rPr>
                <w:rFonts w:asciiTheme="minorHAnsi" w:hAnsiTheme="minorHAnsi" w:cstheme="minorHAnsi"/>
                <w:b/>
              </w:rPr>
            </w:pPr>
            <w:r w:rsidRPr="00D032BE">
              <w:rPr>
                <w:rFonts w:asciiTheme="minorHAnsi" w:hAnsiTheme="minorHAnsi" w:cstheme="minorHAnsi"/>
                <w:b/>
              </w:rPr>
              <w:t>Täisautomaatne töötlus</w:t>
            </w:r>
          </w:p>
        </w:tc>
        <w:tc>
          <w:tcPr>
            <w:tcW w:w="6367" w:type="dxa"/>
            <w:gridSpan w:val="2"/>
          </w:tcPr>
          <w:p w:rsidR="00B9111B" w:rsidRPr="00D032BE" w:rsidRDefault="00B9111B" w:rsidP="00B9111B">
            <w:pPr>
              <w:pStyle w:val="kehatekst"/>
              <w:ind w:left="0"/>
              <w:jc w:val="left"/>
            </w:pPr>
            <w:r w:rsidRPr="00D032BE">
              <w:t>Vt soovituse</w:t>
            </w:r>
            <w:r w:rsidR="00847867">
              <w:t xml:space="preserve"> </w:t>
            </w:r>
            <w:r w:rsidRPr="00D032BE">
              <w:t>16 tõlgendavat märkust.</w:t>
            </w:r>
          </w:p>
        </w:tc>
      </w:tr>
    </w:tbl>
    <w:tbl>
      <w:tblPr>
        <w:tblpPr w:leftFromText="180" w:rightFromText="180" w:vertAnchor="text" w:tblpXSpec="right" w:tblpY="1"/>
        <w:tblOverlap w:val="never"/>
        <w:tblW w:w="9242" w:type="dxa"/>
        <w:tblLook w:val="04A0" w:firstRow="1" w:lastRow="0" w:firstColumn="1" w:lastColumn="0" w:noHBand="0" w:noVBand="1"/>
      </w:tblPr>
      <w:tblGrid>
        <w:gridCol w:w="2865"/>
        <w:gridCol w:w="6377"/>
      </w:tblGrid>
      <w:tr w:rsidR="00D032BE" w:rsidRPr="003371E6">
        <w:tc>
          <w:tcPr>
            <w:tcW w:w="2865" w:type="dxa"/>
          </w:tcPr>
          <w:p w:rsidR="00D032BE" w:rsidRPr="00D032BE" w:rsidRDefault="00D032BE" w:rsidP="00D032BE">
            <w:pPr>
              <w:pStyle w:val="kehatekst"/>
              <w:ind w:left="0"/>
              <w:jc w:val="left"/>
              <w:rPr>
                <w:rFonts w:asciiTheme="minorHAnsi" w:hAnsiTheme="minorHAnsi" w:cstheme="minorHAnsi"/>
                <w:b/>
              </w:rPr>
            </w:pPr>
            <w:r w:rsidRPr="00D032BE">
              <w:rPr>
                <w:rFonts w:asciiTheme="minorHAnsi" w:hAnsiTheme="minorHAnsi" w:cstheme="minorHAnsi"/>
                <w:b/>
              </w:rPr>
              <w:t>Täitmisele pööratavad vahendid</w:t>
            </w:r>
          </w:p>
        </w:tc>
        <w:tc>
          <w:tcPr>
            <w:tcW w:w="6377" w:type="dxa"/>
          </w:tcPr>
          <w:p w:rsidR="00D032BE" w:rsidRPr="00D032BE" w:rsidRDefault="00D032BE" w:rsidP="00D032BE">
            <w:pPr>
              <w:pStyle w:val="kehatekst"/>
              <w:ind w:left="0"/>
              <w:jc w:val="left"/>
            </w:pPr>
            <w:r w:rsidRPr="00D032BE">
              <w:t>Vt märkust „</w:t>
            </w:r>
            <w:r w:rsidR="006043CB">
              <w:t>Finantsasutus</w:t>
            </w:r>
            <w:r w:rsidRPr="00D032BE">
              <w:t>tele ja mittefinantsteenuseid pakkuvatele määratud ettevõtjatele ja kutsetöötajatele kehtestatud nõuete õiguslikud alused”.</w:t>
            </w:r>
          </w:p>
        </w:tc>
      </w:tr>
    </w:tbl>
    <w:tbl>
      <w:tblPr>
        <w:tblW w:w="9180" w:type="dxa"/>
        <w:tblLook w:val="04A0" w:firstRow="1" w:lastRow="0" w:firstColumn="1" w:lastColumn="0" w:noHBand="0" w:noVBand="1"/>
      </w:tblPr>
      <w:tblGrid>
        <w:gridCol w:w="2803"/>
        <w:gridCol w:w="6377"/>
      </w:tblGrid>
      <w:tr w:rsidR="00A05957" w:rsidRPr="00D032BE">
        <w:tc>
          <w:tcPr>
            <w:tcW w:w="2803" w:type="dxa"/>
          </w:tcPr>
          <w:p w:rsidR="00A05957" w:rsidRPr="00D032BE" w:rsidRDefault="00A05957" w:rsidP="00166E1E">
            <w:pPr>
              <w:pStyle w:val="kehatekst"/>
              <w:ind w:left="0"/>
              <w:jc w:val="left"/>
              <w:rPr>
                <w:rFonts w:asciiTheme="minorHAnsi" w:hAnsiTheme="minorHAnsi" w:cstheme="minorHAnsi"/>
                <w:b/>
              </w:rPr>
            </w:pPr>
            <w:r w:rsidRPr="00D032BE">
              <w:rPr>
                <w:rFonts w:asciiTheme="minorHAnsi" w:hAnsiTheme="minorHAnsi" w:cstheme="minorHAnsi"/>
                <w:b/>
              </w:rPr>
              <w:t xml:space="preserve">Täpne </w:t>
            </w:r>
          </w:p>
        </w:tc>
        <w:tc>
          <w:tcPr>
            <w:tcW w:w="6377" w:type="dxa"/>
          </w:tcPr>
          <w:p w:rsidR="00A05957" w:rsidRPr="00D032BE" w:rsidRDefault="00A05957" w:rsidP="00166E1E">
            <w:pPr>
              <w:pStyle w:val="kehatekst"/>
              <w:ind w:left="0"/>
              <w:jc w:val="left"/>
            </w:pPr>
            <w:r w:rsidRPr="00D032BE">
              <w:t>Vt soovituse</w:t>
            </w:r>
            <w:r w:rsidR="00847867">
              <w:t xml:space="preserve"> </w:t>
            </w:r>
            <w:r w:rsidRPr="00D032BE">
              <w:t>16 tõlgendavat märkust.</w:t>
            </w:r>
          </w:p>
        </w:tc>
      </w:tr>
    </w:tbl>
    <w:tbl>
      <w:tblPr>
        <w:tblpPr w:leftFromText="180" w:rightFromText="180" w:vertAnchor="text" w:tblpXSpec="right" w:tblpY="1"/>
        <w:tblOverlap w:val="never"/>
        <w:tblW w:w="9180" w:type="dxa"/>
        <w:tblLook w:val="04A0" w:firstRow="1" w:lastRow="0" w:firstColumn="1" w:lastColumn="0" w:noHBand="0" w:noVBand="1"/>
      </w:tblPr>
      <w:tblGrid>
        <w:gridCol w:w="2813"/>
        <w:gridCol w:w="6367"/>
      </w:tblGrid>
      <w:tr w:rsidR="00F63991" w:rsidRPr="00D032BE" w:rsidTr="0048200A">
        <w:tc>
          <w:tcPr>
            <w:tcW w:w="2813" w:type="dxa"/>
          </w:tcPr>
          <w:p w:rsidR="00F63991" w:rsidRPr="00D032BE" w:rsidRDefault="00F63991" w:rsidP="00D032BE">
            <w:pPr>
              <w:pStyle w:val="kehatekst"/>
              <w:ind w:left="0"/>
              <w:jc w:val="left"/>
              <w:rPr>
                <w:rFonts w:asciiTheme="minorHAnsi" w:hAnsiTheme="minorHAnsi" w:cstheme="minorHAnsi"/>
                <w:b/>
              </w:rPr>
            </w:pPr>
            <w:r w:rsidRPr="00D032BE">
              <w:rPr>
                <w:rFonts w:asciiTheme="minorHAnsi" w:hAnsiTheme="minorHAnsi" w:cstheme="minorHAnsi"/>
                <w:b/>
              </w:rPr>
              <w:t xml:space="preserve">Usaldusfond </w:t>
            </w:r>
          </w:p>
        </w:tc>
        <w:tc>
          <w:tcPr>
            <w:tcW w:w="6367" w:type="dxa"/>
          </w:tcPr>
          <w:p w:rsidR="00F63991" w:rsidRPr="00D032BE" w:rsidRDefault="00F63991" w:rsidP="00D032BE">
            <w:pPr>
              <w:pStyle w:val="kehatekst"/>
              <w:ind w:left="0"/>
              <w:jc w:val="left"/>
            </w:pPr>
            <w:r w:rsidRPr="00D032BE">
              <w:t xml:space="preserve">Selgelt usaldusvara haldaja loodud fond, tavaliselt dokumendi, nt kirjaliku usalduslepingu alusel. Sellised fondid erinevad fondidest, mis on asutatud seaduse alusel ja ei põhine usaldusvara haldaja selgel soovil luua fond või </w:t>
            </w:r>
            <w:r w:rsidRPr="00D032BE">
              <w:lastRenderedPageBreak/>
              <w:t xml:space="preserve">sarnane õiguslik üksus (nt </w:t>
            </w:r>
            <w:proofErr w:type="spellStart"/>
            <w:r w:rsidRPr="00795025">
              <w:rPr>
                <w:i/>
              </w:rPr>
              <w:t>constructive</w:t>
            </w:r>
            <w:proofErr w:type="spellEnd"/>
            <w:r w:rsidRPr="00795025">
              <w:rPr>
                <w:i/>
              </w:rPr>
              <w:t xml:space="preserve"> trust</w:t>
            </w:r>
            <w:r w:rsidRPr="00D032BE">
              <w:t>).</w:t>
            </w:r>
          </w:p>
        </w:tc>
      </w:tr>
    </w:tbl>
    <w:tbl>
      <w:tblPr>
        <w:tblW w:w="9180" w:type="dxa"/>
        <w:tblLook w:val="04A0" w:firstRow="1" w:lastRow="0" w:firstColumn="1" w:lastColumn="0" w:noHBand="0" w:noVBand="1"/>
      </w:tblPr>
      <w:tblGrid>
        <w:gridCol w:w="2803"/>
        <w:gridCol w:w="10"/>
        <w:gridCol w:w="6367"/>
      </w:tblGrid>
      <w:tr w:rsidR="0003453B" w:rsidRPr="003371E6">
        <w:tc>
          <w:tcPr>
            <w:tcW w:w="2803" w:type="dxa"/>
          </w:tcPr>
          <w:p w:rsidR="0003453B" w:rsidRPr="00D032BE" w:rsidRDefault="0003453B" w:rsidP="00795025">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Vabalt kaubeldavad esitaja </w:t>
            </w:r>
            <w:r w:rsidR="00795025">
              <w:rPr>
                <w:rFonts w:asciiTheme="minorHAnsi" w:hAnsiTheme="minorHAnsi" w:cstheme="minorHAnsi"/>
                <w:b/>
              </w:rPr>
              <w:t>väärtpaberid</w:t>
            </w:r>
          </w:p>
        </w:tc>
        <w:tc>
          <w:tcPr>
            <w:tcW w:w="6377" w:type="dxa"/>
            <w:gridSpan w:val="2"/>
          </w:tcPr>
          <w:p w:rsidR="0003453B" w:rsidRPr="00D032BE" w:rsidRDefault="0003453B" w:rsidP="005924A1">
            <w:pPr>
              <w:autoSpaceDE w:val="0"/>
              <w:autoSpaceDN w:val="0"/>
              <w:adjustRightInd w:val="0"/>
              <w:rPr>
                <w:lang w:val="et-EE"/>
              </w:rPr>
            </w:pPr>
            <w:r w:rsidRPr="00D032BE">
              <w:rPr>
                <w:rFonts w:asciiTheme="majorHAnsi" w:hAnsiTheme="majorHAnsi"/>
                <w:sz w:val="24"/>
                <w:szCs w:val="24"/>
                <w:lang w:val="et-EE"/>
              </w:rPr>
              <w:t xml:space="preserve">Esitaja </w:t>
            </w:r>
            <w:r w:rsidR="00795025">
              <w:rPr>
                <w:rFonts w:asciiTheme="majorHAnsi" w:hAnsiTheme="majorHAnsi"/>
                <w:sz w:val="24"/>
                <w:szCs w:val="24"/>
                <w:lang w:val="et-EE"/>
              </w:rPr>
              <w:t>väärtpaberid</w:t>
            </w:r>
            <w:r w:rsidRPr="00D032BE">
              <w:rPr>
                <w:rFonts w:asciiTheme="majorHAnsi" w:hAnsiTheme="majorHAnsi"/>
                <w:sz w:val="24"/>
                <w:szCs w:val="24"/>
                <w:lang w:val="et-EE"/>
              </w:rPr>
              <w:t xml:space="preserve">, </w:t>
            </w:r>
            <w:r w:rsidR="00847867">
              <w:rPr>
                <w:rFonts w:asciiTheme="majorHAnsi" w:hAnsiTheme="majorHAnsi"/>
                <w:sz w:val="24"/>
                <w:szCs w:val="24"/>
                <w:lang w:val="et-EE"/>
              </w:rPr>
              <w:t>sh</w:t>
            </w:r>
            <w:r w:rsidRPr="00D032BE">
              <w:rPr>
                <w:rFonts w:asciiTheme="majorHAnsi" w:hAnsiTheme="majorHAnsi"/>
                <w:sz w:val="24"/>
                <w:szCs w:val="24"/>
                <w:lang w:val="et-EE"/>
              </w:rPr>
              <w:t xml:space="preserve"> esitaja </w:t>
            </w:r>
            <w:r w:rsidR="00795025">
              <w:rPr>
                <w:rFonts w:asciiTheme="majorHAnsi" w:hAnsiTheme="majorHAnsi"/>
                <w:sz w:val="24"/>
                <w:szCs w:val="24"/>
                <w:lang w:val="et-EE"/>
              </w:rPr>
              <w:t>makseinstrumendina</w:t>
            </w:r>
            <w:r w:rsidRPr="00D032BE">
              <w:rPr>
                <w:rFonts w:asciiTheme="majorHAnsi" w:hAnsiTheme="majorHAnsi"/>
                <w:sz w:val="24"/>
                <w:szCs w:val="24"/>
                <w:lang w:val="et-EE"/>
              </w:rPr>
              <w:t xml:space="preserve"> toimivad rahalised instrumendid nagu reisitšekid; vabalt kaubeldavad maksevahendid (</w:t>
            </w:r>
            <w:r w:rsidR="00847867">
              <w:rPr>
                <w:rFonts w:asciiTheme="majorHAnsi" w:hAnsiTheme="majorHAnsi"/>
                <w:sz w:val="24"/>
                <w:szCs w:val="24"/>
                <w:lang w:val="et-EE"/>
              </w:rPr>
              <w:t>sh</w:t>
            </w:r>
            <w:r w:rsidRPr="00D032BE">
              <w:rPr>
                <w:rFonts w:asciiTheme="majorHAnsi" w:hAnsiTheme="majorHAnsi"/>
                <w:sz w:val="24"/>
                <w:szCs w:val="24"/>
                <w:lang w:val="et-EE"/>
              </w:rPr>
              <w:t xml:space="preserve"> tšekid, </w:t>
            </w:r>
            <w:r w:rsidR="00795025">
              <w:rPr>
                <w:rFonts w:asciiTheme="majorHAnsi" w:hAnsiTheme="majorHAnsi"/>
                <w:sz w:val="24"/>
                <w:szCs w:val="24"/>
                <w:lang w:val="et-EE"/>
              </w:rPr>
              <w:t>vekslid</w:t>
            </w:r>
            <w:r w:rsidRPr="00D032BE">
              <w:rPr>
                <w:rFonts w:asciiTheme="majorHAnsi" w:hAnsiTheme="majorHAnsi"/>
                <w:sz w:val="24"/>
                <w:szCs w:val="24"/>
                <w:lang w:val="et-EE"/>
              </w:rPr>
              <w:t xml:space="preserve"> ja </w:t>
            </w:r>
            <w:r w:rsidR="00795025">
              <w:rPr>
                <w:rFonts w:asciiTheme="majorHAnsi" w:hAnsiTheme="majorHAnsi"/>
                <w:sz w:val="24"/>
                <w:szCs w:val="24"/>
                <w:lang w:val="et-EE"/>
              </w:rPr>
              <w:t>kaubeldavad nõuded</w:t>
            </w:r>
            <w:r w:rsidRPr="00D032BE">
              <w:rPr>
                <w:rFonts w:asciiTheme="majorHAnsi" w:hAnsiTheme="majorHAnsi"/>
                <w:sz w:val="24"/>
                <w:szCs w:val="24"/>
                <w:lang w:val="et-EE"/>
              </w:rPr>
              <w:t xml:space="preserve">), mis on kas piiranguteta </w:t>
            </w:r>
            <w:r w:rsidR="00795025">
              <w:rPr>
                <w:rFonts w:asciiTheme="majorHAnsi" w:hAnsiTheme="majorHAnsi"/>
                <w:sz w:val="24"/>
                <w:szCs w:val="24"/>
                <w:lang w:val="et-EE"/>
              </w:rPr>
              <w:t>edasiandmisõigusega</w:t>
            </w:r>
            <w:r w:rsidRPr="00D032BE">
              <w:rPr>
                <w:rFonts w:asciiTheme="majorHAnsi" w:hAnsiTheme="majorHAnsi"/>
                <w:sz w:val="24"/>
                <w:szCs w:val="24"/>
                <w:lang w:val="et-EE"/>
              </w:rPr>
              <w:t xml:space="preserve"> ja makse saajat määratlemata vormistatud esitajadokumendid või mingis teises vormis dokumendid, mis tagavad </w:t>
            </w:r>
            <w:r w:rsidR="00795025">
              <w:rPr>
                <w:rFonts w:asciiTheme="majorHAnsi" w:hAnsiTheme="majorHAnsi"/>
                <w:sz w:val="24"/>
                <w:szCs w:val="24"/>
                <w:lang w:val="et-EE"/>
              </w:rPr>
              <w:t>nõudeõiguse</w:t>
            </w:r>
            <w:r w:rsidRPr="00D032BE">
              <w:rPr>
                <w:rFonts w:asciiTheme="majorHAnsi" w:hAnsiTheme="majorHAnsi"/>
                <w:sz w:val="24"/>
                <w:szCs w:val="24"/>
                <w:lang w:val="et-EE"/>
              </w:rPr>
              <w:t xml:space="preserve"> ülemineku üleandmisel (nt esitajaaktsiad), ning mittetäielikud makse</w:t>
            </w:r>
            <w:r w:rsidR="00847867">
              <w:rPr>
                <w:rFonts w:asciiTheme="majorHAnsi" w:hAnsiTheme="majorHAnsi"/>
                <w:sz w:val="24"/>
                <w:szCs w:val="24"/>
                <w:lang w:val="et-EE"/>
              </w:rPr>
              <w:t>instrumendid</w:t>
            </w:r>
            <w:r w:rsidRPr="00D032BE">
              <w:rPr>
                <w:rFonts w:asciiTheme="majorHAnsi" w:hAnsiTheme="majorHAnsi"/>
                <w:sz w:val="24"/>
                <w:szCs w:val="24"/>
                <w:lang w:val="et-EE"/>
              </w:rPr>
              <w:t xml:space="preserve"> (</w:t>
            </w:r>
            <w:r w:rsidR="00847867">
              <w:rPr>
                <w:rFonts w:asciiTheme="majorHAnsi" w:hAnsiTheme="majorHAnsi"/>
                <w:sz w:val="24"/>
                <w:szCs w:val="24"/>
                <w:lang w:val="et-EE"/>
              </w:rPr>
              <w:t>sh</w:t>
            </w:r>
            <w:r w:rsidRPr="00D032BE">
              <w:rPr>
                <w:rFonts w:asciiTheme="majorHAnsi" w:hAnsiTheme="majorHAnsi"/>
                <w:sz w:val="24"/>
                <w:szCs w:val="24"/>
                <w:lang w:val="et-EE"/>
              </w:rPr>
              <w:t xml:space="preserve"> tšekid, </w:t>
            </w:r>
            <w:r w:rsidR="00795025">
              <w:rPr>
                <w:rFonts w:asciiTheme="majorHAnsi" w:hAnsiTheme="majorHAnsi"/>
                <w:sz w:val="24"/>
                <w:szCs w:val="24"/>
                <w:lang w:val="et-EE"/>
              </w:rPr>
              <w:t>vekslid</w:t>
            </w:r>
            <w:r w:rsidRPr="00D032BE">
              <w:rPr>
                <w:rFonts w:asciiTheme="majorHAnsi" w:hAnsiTheme="majorHAnsi"/>
                <w:sz w:val="24"/>
                <w:szCs w:val="24"/>
                <w:lang w:val="et-EE"/>
              </w:rPr>
              <w:t xml:space="preserve"> ja </w:t>
            </w:r>
            <w:r w:rsidR="00795025">
              <w:rPr>
                <w:rFonts w:asciiTheme="majorHAnsi" w:hAnsiTheme="majorHAnsi"/>
                <w:sz w:val="24"/>
                <w:szCs w:val="24"/>
                <w:lang w:val="et-EE"/>
              </w:rPr>
              <w:t>kaubeldavad nõuded</w:t>
            </w:r>
            <w:r w:rsidRPr="00D032BE">
              <w:rPr>
                <w:rFonts w:asciiTheme="majorHAnsi" w:hAnsiTheme="majorHAnsi"/>
                <w:sz w:val="24"/>
                <w:szCs w:val="24"/>
                <w:lang w:val="et-EE"/>
              </w:rPr>
              <w:t>), mis on allkirjastatud, kuid makse saaja nimi on märkimata.</w:t>
            </w:r>
          </w:p>
          <w:p w:rsidR="0003453B" w:rsidRPr="00D032BE" w:rsidRDefault="0003453B" w:rsidP="005924A1">
            <w:pPr>
              <w:autoSpaceDE w:val="0"/>
              <w:autoSpaceDN w:val="0"/>
              <w:adjustRightInd w:val="0"/>
              <w:rPr>
                <w:lang w:val="et-EE"/>
              </w:rPr>
            </w:pPr>
          </w:p>
        </w:tc>
      </w:tr>
      <w:tr w:rsidR="00AA01C1" w:rsidRPr="00D032BE">
        <w:tc>
          <w:tcPr>
            <w:tcW w:w="2813" w:type="dxa"/>
            <w:gridSpan w:val="2"/>
          </w:tcPr>
          <w:p w:rsidR="00AA01C1" w:rsidRPr="00D032BE" w:rsidRDefault="00AA01C1" w:rsidP="00AA01C1">
            <w:pPr>
              <w:pStyle w:val="kehatekst"/>
              <w:ind w:left="0"/>
              <w:jc w:val="left"/>
              <w:rPr>
                <w:rFonts w:asciiTheme="minorHAnsi" w:hAnsiTheme="minorHAnsi" w:cstheme="minorHAnsi"/>
                <w:b/>
              </w:rPr>
            </w:pPr>
            <w:r w:rsidRPr="00D032BE">
              <w:rPr>
                <w:rFonts w:asciiTheme="minorHAnsi" w:hAnsiTheme="minorHAnsi" w:cstheme="minorHAnsi"/>
                <w:b/>
              </w:rPr>
              <w:t>Vahendav finantsasutus</w:t>
            </w:r>
          </w:p>
        </w:tc>
        <w:tc>
          <w:tcPr>
            <w:tcW w:w="6367" w:type="dxa"/>
          </w:tcPr>
          <w:p w:rsidR="00AA01C1" w:rsidRPr="00D032BE" w:rsidRDefault="00AA01C1" w:rsidP="00AA01C1">
            <w:pPr>
              <w:pStyle w:val="kehatekst"/>
              <w:ind w:left="0"/>
              <w:jc w:val="left"/>
            </w:pPr>
            <w:r w:rsidRPr="00D032BE">
              <w:t>Vt soovituse</w:t>
            </w:r>
            <w:r w:rsidR="00847867">
              <w:t xml:space="preserve"> </w:t>
            </w:r>
            <w:r w:rsidRPr="00D032BE">
              <w:t>16 tõlgendavat märkust.</w:t>
            </w:r>
          </w:p>
        </w:tc>
      </w:tr>
    </w:tbl>
    <w:tbl>
      <w:tblPr>
        <w:tblpPr w:leftFromText="180" w:rightFromText="180" w:vertAnchor="text" w:tblpXSpec="right" w:tblpY="1"/>
        <w:tblOverlap w:val="never"/>
        <w:tblW w:w="9180" w:type="dxa"/>
        <w:tblLook w:val="04A0" w:firstRow="1" w:lastRow="0" w:firstColumn="1" w:lastColumn="0" w:noHBand="0" w:noVBand="1"/>
      </w:tblPr>
      <w:tblGrid>
        <w:gridCol w:w="2813"/>
        <w:gridCol w:w="6367"/>
      </w:tblGrid>
      <w:tr w:rsidR="00F63991" w:rsidRPr="00D032BE">
        <w:tc>
          <w:tcPr>
            <w:tcW w:w="2794" w:type="dxa"/>
          </w:tcPr>
          <w:p w:rsidR="00F63991" w:rsidRPr="00D032BE" w:rsidRDefault="00F63991" w:rsidP="00D032BE">
            <w:pPr>
              <w:pStyle w:val="kehatekst"/>
              <w:ind w:left="0"/>
              <w:jc w:val="left"/>
              <w:rPr>
                <w:rFonts w:asciiTheme="minorHAnsi" w:hAnsiTheme="minorHAnsi" w:cstheme="minorHAnsi"/>
                <w:b/>
              </w:rPr>
            </w:pPr>
            <w:r w:rsidRPr="00D032BE">
              <w:rPr>
                <w:rFonts w:asciiTheme="minorHAnsi" w:hAnsiTheme="minorHAnsi" w:cstheme="minorHAnsi"/>
                <w:b/>
              </w:rPr>
              <w:t xml:space="preserve">Valesti deklareerimine </w:t>
            </w:r>
          </w:p>
        </w:tc>
        <w:tc>
          <w:tcPr>
            <w:tcW w:w="6325" w:type="dxa"/>
          </w:tcPr>
          <w:p w:rsidR="00F63991" w:rsidRPr="00D032BE" w:rsidRDefault="00F63991" w:rsidP="00D032BE">
            <w:pPr>
              <w:pStyle w:val="kehatekst"/>
              <w:ind w:left="0"/>
              <w:jc w:val="left"/>
            </w:pPr>
            <w:r w:rsidRPr="00D032BE">
              <w:t>Vt soovituse</w:t>
            </w:r>
            <w:r w:rsidR="00847867">
              <w:t xml:space="preserve"> </w:t>
            </w:r>
            <w:r w:rsidRPr="00D032BE">
              <w:t>32 tõlgendavat märkust.</w:t>
            </w:r>
          </w:p>
        </w:tc>
      </w:tr>
    </w:tbl>
    <w:tbl>
      <w:tblPr>
        <w:tblW w:w="9242" w:type="dxa"/>
        <w:tblLook w:val="04A0" w:firstRow="1" w:lastRow="0" w:firstColumn="1" w:lastColumn="0" w:noHBand="0" w:noVBand="1"/>
      </w:tblPr>
      <w:tblGrid>
        <w:gridCol w:w="2803"/>
        <w:gridCol w:w="10"/>
        <w:gridCol w:w="6367"/>
        <w:gridCol w:w="62"/>
      </w:tblGrid>
      <w:tr w:rsidR="00AA01C1" w:rsidRPr="00D032BE">
        <w:trPr>
          <w:gridAfter w:val="1"/>
          <w:wAfter w:w="62" w:type="dxa"/>
        </w:trPr>
        <w:tc>
          <w:tcPr>
            <w:tcW w:w="2803" w:type="dxa"/>
          </w:tcPr>
          <w:p w:rsidR="00AA01C1" w:rsidRPr="00D032BE" w:rsidRDefault="00AA01C1" w:rsidP="00A228A0">
            <w:pPr>
              <w:pStyle w:val="kehatekst"/>
              <w:ind w:left="0"/>
              <w:jc w:val="left"/>
              <w:rPr>
                <w:rFonts w:asciiTheme="minorHAnsi" w:hAnsiTheme="minorHAnsi" w:cstheme="minorHAnsi"/>
                <w:b/>
              </w:rPr>
            </w:pPr>
            <w:r w:rsidRPr="00D032BE">
              <w:rPr>
                <w:rFonts w:asciiTheme="minorHAnsi" w:hAnsiTheme="minorHAnsi" w:cstheme="minorHAnsi"/>
                <w:b/>
              </w:rPr>
              <w:t xml:space="preserve">Valuuta </w:t>
            </w:r>
          </w:p>
        </w:tc>
        <w:tc>
          <w:tcPr>
            <w:tcW w:w="6377" w:type="dxa"/>
            <w:gridSpan w:val="2"/>
          </w:tcPr>
          <w:p w:rsidR="00AA01C1" w:rsidRPr="00D032BE" w:rsidRDefault="00AA01C1" w:rsidP="00A228A0">
            <w:pPr>
              <w:pStyle w:val="kehatekst"/>
              <w:ind w:left="0"/>
              <w:jc w:val="left"/>
            </w:pPr>
            <w:r w:rsidRPr="00D032BE">
              <w:rPr>
                <w:szCs w:val="24"/>
              </w:rPr>
              <w:t>Pangatähed ja mündid, mis on maksevahenditena ringluses</w:t>
            </w:r>
            <w:r w:rsidRPr="00D032BE">
              <w:t>.</w:t>
            </w:r>
          </w:p>
        </w:tc>
      </w:tr>
      <w:tr w:rsidR="00F63991" w:rsidRPr="003371E6">
        <w:trPr>
          <w:gridAfter w:val="1"/>
          <w:wAfter w:w="62" w:type="dxa"/>
        </w:trPr>
        <w:tc>
          <w:tcPr>
            <w:tcW w:w="2813" w:type="dxa"/>
            <w:gridSpan w:val="2"/>
          </w:tcPr>
          <w:p w:rsidR="00F63991" w:rsidRPr="00D032BE" w:rsidRDefault="00F63991" w:rsidP="00F63991">
            <w:pPr>
              <w:pStyle w:val="kehatekst"/>
              <w:ind w:left="0"/>
              <w:jc w:val="left"/>
              <w:rPr>
                <w:rFonts w:asciiTheme="minorHAnsi" w:hAnsiTheme="minorHAnsi" w:cstheme="minorHAnsi"/>
                <w:b/>
              </w:rPr>
            </w:pPr>
            <w:r w:rsidRPr="00D032BE">
              <w:rPr>
                <w:rFonts w:asciiTheme="minorHAnsi" w:hAnsiTheme="minorHAnsi" w:cstheme="minorHAnsi"/>
                <w:b/>
              </w:rPr>
              <w:t xml:space="preserve">Vara </w:t>
            </w:r>
          </w:p>
        </w:tc>
        <w:tc>
          <w:tcPr>
            <w:tcW w:w="6367" w:type="dxa"/>
          </w:tcPr>
          <w:p w:rsidR="00F63991" w:rsidRPr="00D032BE" w:rsidRDefault="00F63991" w:rsidP="00F63991">
            <w:pPr>
              <w:pStyle w:val="kehatekst"/>
              <w:ind w:left="0"/>
              <w:jc w:val="left"/>
            </w:pPr>
            <w:r w:rsidRPr="00D032BE">
              <w:t>Igasugune vara, nii füüsiline kui ka virtuaalne, nii materiaalne kui ka mittemateriaalne, nii kinnis- kui ka vallasasi, olenemata selle saamisviisist, ja sellise vara omandiõigust või muid õigusi tõendavad juriidilised mis tahes vormis, k.a elektroonilises või digitaalses vormis, dokumendid või aktid.</w:t>
            </w:r>
          </w:p>
        </w:tc>
      </w:tr>
      <w:tr w:rsidR="00E36A78" w:rsidRPr="003371E6">
        <w:trPr>
          <w:gridAfter w:val="1"/>
          <w:wAfter w:w="62" w:type="dxa"/>
        </w:trPr>
        <w:tc>
          <w:tcPr>
            <w:tcW w:w="2813" w:type="dxa"/>
            <w:gridSpan w:val="2"/>
          </w:tcPr>
          <w:p w:rsidR="00E36A78" w:rsidRPr="00D032BE" w:rsidRDefault="00E36A78" w:rsidP="00E36A78">
            <w:pPr>
              <w:pStyle w:val="kehatekst"/>
              <w:ind w:left="0"/>
              <w:jc w:val="left"/>
              <w:rPr>
                <w:rFonts w:asciiTheme="minorHAnsi" w:hAnsiTheme="minorHAnsi" w:cstheme="minorHAnsi"/>
                <w:b/>
              </w:rPr>
            </w:pPr>
            <w:r w:rsidRPr="00D032BE">
              <w:rPr>
                <w:rFonts w:asciiTheme="minorHAnsi" w:hAnsiTheme="minorHAnsi" w:cstheme="minorHAnsi"/>
                <w:b/>
              </w:rPr>
              <w:t xml:space="preserve">Varipank </w:t>
            </w:r>
          </w:p>
        </w:tc>
        <w:tc>
          <w:tcPr>
            <w:tcW w:w="6367" w:type="dxa"/>
          </w:tcPr>
          <w:p w:rsidR="00E36A78" w:rsidRPr="00D032BE" w:rsidRDefault="00E36A78" w:rsidP="00E36A78">
            <w:pPr>
              <w:pStyle w:val="kehatekst"/>
              <w:ind w:left="0"/>
              <w:jc w:val="left"/>
            </w:pPr>
            <w:r w:rsidRPr="00D032BE">
              <w:t>Pank, mis on asutatud ja litsentseeritud riigis, kus tal puudub füüsiline asukoht, ja mis ei ole seotud ühegi reguleeritud finantsgrupiga, mille üle teostatakse tõhusat konsolideeritud järelevalvet.</w:t>
            </w:r>
          </w:p>
        </w:tc>
      </w:tr>
      <w:tr w:rsidR="00E36A78" w:rsidRPr="00D032BE">
        <w:trPr>
          <w:gridAfter w:val="1"/>
          <w:wAfter w:w="62" w:type="dxa"/>
        </w:trPr>
        <w:tc>
          <w:tcPr>
            <w:tcW w:w="2813" w:type="dxa"/>
            <w:gridSpan w:val="2"/>
          </w:tcPr>
          <w:p w:rsidR="00E36A78" w:rsidRPr="00D032BE" w:rsidRDefault="00E36A78" w:rsidP="00E36A78">
            <w:pPr>
              <w:pStyle w:val="kehatekst"/>
              <w:ind w:left="0"/>
              <w:jc w:val="left"/>
              <w:rPr>
                <w:rFonts w:asciiTheme="minorHAnsi" w:hAnsiTheme="minorHAnsi" w:cstheme="minorHAnsi"/>
                <w:b/>
              </w:rPr>
            </w:pPr>
          </w:p>
        </w:tc>
        <w:tc>
          <w:tcPr>
            <w:tcW w:w="6367" w:type="dxa"/>
          </w:tcPr>
          <w:p w:rsidR="00E36A78" w:rsidRPr="00D032BE" w:rsidRDefault="00E36A78" w:rsidP="00E36A78">
            <w:pPr>
              <w:pStyle w:val="kehatekst"/>
              <w:ind w:left="0"/>
              <w:jc w:val="left"/>
            </w:pPr>
            <w:r w:rsidRPr="00D032BE">
              <w:rPr>
                <w:rFonts w:ascii="Calibri" w:hAnsi="Calibri" w:cstheme="minorHAnsi"/>
              </w:rPr>
              <w:t>„</w:t>
            </w:r>
            <w:r w:rsidRPr="00B86CDE">
              <w:rPr>
                <w:rFonts w:asciiTheme="minorHAnsi" w:hAnsiTheme="minorHAnsi" w:cstheme="minorHAnsi"/>
              </w:rPr>
              <w:t>Füüsiline asukoht</w:t>
            </w:r>
            <w:r w:rsidRPr="00D032BE">
              <w:rPr>
                <w:rFonts w:ascii="Calibri" w:hAnsi="Calibri" w:cstheme="minorHAnsi"/>
              </w:rPr>
              <w:t>”</w:t>
            </w:r>
            <w:r w:rsidRPr="00B86CDE">
              <w:rPr>
                <w:rFonts w:asciiTheme="minorHAnsi" w:hAnsiTheme="minorHAnsi" w:cstheme="minorHAnsi"/>
              </w:rPr>
              <w:t xml:space="preserve"> on </w:t>
            </w:r>
            <w:r w:rsidRPr="00D032BE">
              <w:t>sihipärase kontseptsiooni ja juhtimisega asukoht asjaomases riigis. Lihtsalt kohaliku esindaja või madala astme personali olemasolu ei kujuta endast füüsilist asukohta.</w:t>
            </w:r>
          </w:p>
        </w:tc>
      </w:tr>
      <w:tr w:rsidR="00AD20A5" w:rsidRPr="003371E6">
        <w:tc>
          <w:tcPr>
            <w:tcW w:w="2803" w:type="dxa"/>
          </w:tcPr>
          <w:p w:rsidR="00AD20A5" w:rsidRPr="00D032BE" w:rsidRDefault="00AD20A5" w:rsidP="005924A1">
            <w:pPr>
              <w:pStyle w:val="kehatekst"/>
              <w:ind w:left="0"/>
              <w:jc w:val="left"/>
              <w:rPr>
                <w:rFonts w:asciiTheme="minorHAnsi" w:hAnsiTheme="minorHAnsi" w:cstheme="minorHAnsi"/>
                <w:b/>
              </w:rPr>
            </w:pPr>
            <w:r w:rsidRPr="00D032BE">
              <w:rPr>
                <w:rFonts w:asciiTheme="minorHAnsi" w:hAnsiTheme="minorHAnsi" w:cstheme="minorHAnsi"/>
                <w:b/>
              </w:rPr>
              <w:t>Viivitamatult</w:t>
            </w:r>
          </w:p>
        </w:tc>
        <w:tc>
          <w:tcPr>
            <w:tcW w:w="6439" w:type="dxa"/>
            <w:gridSpan w:val="3"/>
          </w:tcPr>
          <w:p w:rsidR="00AD20A5" w:rsidRPr="00D032BE" w:rsidRDefault="00AD20A5" w:rsidP="005924A1">
            <w:pPr>
              <w:pStyle w:val="kehatekst"/>
              <w:ind w:left="0"/>
              <w:jc w:val="left"/>
            </w:pPr>
            <w:r w:rsidRPr="00D032BE">
              <w:t>Ideaalsel juhul mõne</w:t>
            </w:r>
            <w:r>
              <w:t xml:space="preserve"> </w:t>
            </w:r>
            <w:r w:rsidRPr="00D032BE">
              <w:t xml:space="preserve">tunni jooksul pärast isiku või üksuse määramist ÜRO Julgeolekunõukogu või selle asjaomase sanktsioonide komitee (nt 1267 komitee, 1988, komitee, 1718 sanktsioonide komitee või 1737 sanktsioonide komitee) poolt. Resolutsiooni S/RES/1373(2001) kohaldamisel tähendab viivitamatult hetke, kui on põhjust kahtlustada või uskuda, et isik või üksus on terrorist või terrorismi või terroristlikku ühendust rahastav isik. Mõlemal juhul tuleks seda väljendit tõlgendada vastavalt </w:t>
            </w:r>
            <w:r w:rsidRPr="00D032BE">
              <w:rPr>
                <w:szCs w:val="24"/>
              </w:rPr>
              <w:t xml:space="preserve">vajadusele takistada terroristide, terroristlike ühenduste, </w:t>
            </w:r>
            <w:r w:rsidRPr="00D032BE">
              <w:rPr>
                <w:szCs w:val="24"/>
              </w:rPr>
              <w:lastRenderedPageBreak/>
              <w:t>terrorismi rahastajate ja massihävitusrelvade leviku rahastamisega seotud rahaliste vahendite või muu vara äravoolu ning vastavalt vajadusele võtta ülemaailmsed kooskõlastatud meetmed selliste vahendite või muu vara äravoolu kiireks keelamiseks ja takistamiseks</w:t>
            </w:r>
            <w:r w:rsidRPr="00D032BE">
              <w:t>.</w:t>
            </w:r>
          </w:p>
          <w:p w:rsidR="00AD20A5" w:rsidRPr="00D032BE" w:rsidRDefault="00AD20A5" w:rsidP="005924A1">
            <w:pPr>
              <w:pStyle w:val="kehatekst"/>
              <w:ind w:left="0"/>
              <w:jc w:val="left"/>
            </w:pPr>
          </w:p>
        </w:tc>
      </w:tr>
      <w:tr w:rsidR="00F86AA1" w:rsidRPr="003371E6">
        <w:trPr>
          <w:gridAfter w:val="1"/>
          <w:wAfter w:w="62" w:type="dxa"/>
        </w:trPr>
        <w:tc>
          <w:tcPr>
            <w:tcW w:w="2803" w:type="dxa"/>
          </w:tcPr>
          <w:p w:rsidR="00F86AA1" w:rsidRPr="00D032BE" w:rsidRDefault="00F86AA1" w:rsidP="00F86AA1">
            <w:pPr>
              <w:pStyle w:val="kehatekst"/>
              <w:ind w:left="0"/>
              <w:jc w:val="left"/>
              <w:rPr>
                <w:rFonts w:asciiTheme="minorHAnsi" w:hAnsiTheme="minorHAnsi" w:cstheme="minorHAnsi"/>
                <w:b/>
              </w:rPr>
            </w:pPr>
            <w:r w:rsidRPr="00D032BE">
              <w:rPr>
                <w:rFonts w:asciiTheme="minorHAnsi" w:hAnsiTheme="minorHAnsi" w:cstheme="minorHAnsi"/>
                <w:b/>
              </w:rPr>
              <w:lastRenderedPageBreak/>
              <w:t>Volinik</w:t>
            </w:r>
          </w:p>
        </w:tc>
        <w:tc>
          <w:tcPr>
            <w:tcW w:w="6377" w:type="dxa"/>
            <w:gridSpan w:val="2"/>
          </w:tcPr>
          <w:p w:rsidR="00F86AA1" w:rsidRPr="00D032BE" w:rsidRDefault="00F86AA1" w:rsidP="00F86AA1">
            <w:pPr>
              <w:pStyle w:val="kehatekst"/>
              <w:ind w:left="0"/>
              <w:jc w:val="left"/>
            </w:pPr>
            <w:r w:rsidRPr="00D032BE">
              <w:t>Termineid „usaldusfond</w:t>
            </w:r>
            <w:r>
              <w:t>”</w:t>
            </w:r>
            <w:r w:rsidRPr="00D032BE">
              <w:t xml:space="preserve"> ja „volinik</w:t>
            </w:r>
            <w:r>
              <w:t>”</w:t>
            </w:r>
            <w:r w:rsidRPr="00D032BE">
              <w:t xml:space="preserve"> tuleks mõista kooskõlas Haagi konventsiooni </w:t>
            </w:r>
            <w:r>
              <w:t>(</w:t>
            </w:r>
            <w:r w:rsidRPr="00D032BE">
              <w:t>trustide suhtes kohaldatava õiguse ja nende tunnustamise kohta</w:t>
            </w:r>
            <w:r>
              <w:t xml:space="preserve">) </w:t>
            </w:r>
            <w:r w:rsidRPr="00D032BE">
              <w:t>artikliga 2</w:t>
            </w:r>
            <w:r w:rsidRPr="00D032BE">
              <w:rPr>
                <w:rStyle w:val="Allmrkuseviide"/>
              </w:rPr>
              <w:footnoteReference w:id="61"/>
            </w:r>
            <w:r w:rsidRPr="00D032BE">
              <w:t>.</w:t>
            </w:r>
          </w:p>
          <w:p w:rsidR="00F86AA1" w:rsidRPr="00D032BE" w:rsidRDefault="00F86AA1" w:rsidP="00F86AA1">
            <w:pPr>
              <w:pStyle w:val="kehatekst"/>
              <w:ind w:left="0"/>
              <w:jc w:val="left"/>
            </w:pPr>
            <w:r w:rsidRPr="00D032BE">
              <w:t>Volinikud võivad olla kutselised (nt olenevalt jurisdiktsioonist – jurist või usaldusühing), kui neile makstakse tasu volinikuna tegutsemise eest nende äritegevuse käigus, või mittekutselised (nt isikud, kes tegutsevad perekonna nimel ilma tasu saamata).</w:t>
            </w:r>
          </w:p>
        </w:tc>
      </w:tr>
    </w:tbl>
    <w:tbl>
      <w:tblPr>
        <w:tblpPr w:leftFromText="180" w:rightFromText="180" w:vertAnchor="text" w:tblpXSpec="right" w:tblpY="1"/>
        <w:tblOverlap w:val="never"/>
        <w:tblW w:w="9180" w:type="dxa"/>
        <w:tblLook w:val="04A0" w:firstRow="1" w:lastRow="0" w:firstColumn="1" w:lastColumn="0" w:noHBand="0" w:noVBand="1"/>
      </w:tblPr>
      <w:tblGrid>
        <w:gridCol w:w="2813"/>
        <w:gridCol w:w="6367"/>
      </w:tblGrid>
      <w:tr w:rsidR="00F63991" w:rsidRPr="003371E6">
        <w:tc>
          <w:tcPr>
            <w:tcW w:w="2813" w:type="dxa"/>
          </w:tcPr>
          <w:p w:rsidR="00F63991" w:rsidRPr="00D032BE" w:rsidRDefault="00F63991" w:rsidP="00D032BE">
            <w:pPr>
              <w:pStyle w:val="kehatekst"/>
              <w:ind w:left="0"/>
              <w:jc w:val="left"/>
              <w:rPr>
                <w:rFonts w:asciiTheme="minorHAnsi" w:hAnsiTheme="minorHAnsi" w:cstheme="minorHAnsi"/>
                <w:b/>
              </w:rPr>
            </w:pPr>
            <w:r w:rsidRPr="00D032BE">
              <w:rPr>
                <w:rFonts w:asciiTheme="minorHAnsi" w:hAnsiTheme="minorHAnsi" w:cstheme="minorHAnsi"/>
                <w:b/>
              </w:rPr>
              <w:t xml:space="preserve">Õigus </w:t>
            </w:r>
          </w:p>
        </w:tc>
        <w:tc>
          <w:tcPr>
            <w:tcW w:w="6367" w:type="dxa"/>
          </w:tcPr>
          <w:p w:rsidR="00F63991" w:rsidRPr="00D032BE" w:rsidRDefault="00F63991" w:rsidP="00D032BE">
            <w:pPr>
              <w:pStyle w:val="kehatekst"/>
              <w:ind w:left="0"/>
              <w:jc w:val="left"/>
            </w:pPr>
            <w:r w:rsidRPr="00D032BE">
              <w:t>Vt märkust „</w:t>
            </w:r>
            <w:r>
              <w:t>Finantsasutus</w:t>
            </w:r>
            <w:r w:rsidRPr="00D032BE">
              <w:t>tele ja mittefinantsteenuseid pakkuvatele määratud ettevõtjatele ja kutsetöötajatele kehtestatud nõuete õiguslikud alused”.</w:t>
            </w:r>
          </w:p>
        </w:tc>
      </w:tr>
    </w:tbl>
    <w:tbl>
      <w:tblPr>
        <w:tblW w:w="9180" w:type="dxa"/>
        <w:tblLook w:val="04A0" w:firstRow="1" w:lastRow="0" w:firstColumn="1" w:lastColumn="0" w:noHBand="0" w:noVBand="1"/>
      </w:tblPr>
      <w:tblGrid>
        <w:gridCol w:w="2803"/>
        <w:gridCol w:w="6377"/>
      </w:tblGrid>
      <w:tr w:rsidR="00CD2665" w:rsidRPr="00D032BE">
        <w:tc>
          <w:tcPr>
            <w:tcW w:w="2803" w:type="dxa"/>
          </w:tcPr>
          <w:p w:rsidR="00CD2665" w:rsidRPr="00D032BE" w:rsidRDefault="00CD2665" w:rsidP="005924A1">
            <w:pPr>
              <w:pStyle w:val="kehatekst"/>
              <w:ind w:left="0"/>
              <w:jc w:val="left"/>
              <w:rPr>
                <w:rFonts w:asciiTheme="minorHAnsi" w:hAnsiTheme="minorHAnsi" w:cstheme="minorHAnsi"/>
                <w:b/>
              </w:rPr>
            </w:pPr>
            <w:r w:rsidRPr="00D032BE">
              <w:rPr>
                <w:rFonts w:asciiTheme="minorHAnsi" w:hAnsiTheme="minorHAnsi" w:cstheme="minorHAnsi"/>
                <w:b/>
              </w:rPr>
              <w:t xml:space="preserve">Ülekannete kogum </w:t>
            </w:r>
          </w:p>
        </w:tc>
        <w:tc>
          <w:tcPr>
            <w:tcW w:w="6377" w:type="dxa"/>
          </w:tcPr>
          <w:p w:rsidR="00CD2665" w:rsidRPr="00D032BE" w:rsidRDefault="00CD2665" w:rsidP="005924A1">
            <w:pPr>
              <w:pStyle w:val="kehatekst"/>
              <w:ind w:left="0"/>
              <w:jc w:val="left"/>
            </w:pPr>
            <w:r w:rsidRPr="00D032BE">
              <w:t>Vt soovituse</w:t>
            </w:r>
            <w:r w:rsidR="00847867">
              <w:t xml:space="preserve"> </w:t>
            </w:r>
            <w:r w:rsidRPr="00D032BE">
              <w:t>16 tõlgendavat märkust.</w:t>
            </w:r>
          </w:p>
        </w:tc>
      </w:tr>
    </w:tbl>
    <w:tbl>
      <w:tblPr>
        <w:tblpPr w:leftFromText="180" w:rightFromText="180" w:vertAnchor="text" w:tblpXSpec="right" w:tblpY="1"/>
        <w:tblOverlap w:val="never"/>
        <w:tblW w:w="9180" w:type="dxa"/>
        <w:tblLook w:val="04A0" w:firstRow="1" w:lastRow="0" w:firstColumn="1" w:lastColumn="0" w:noHBand="0" w:noVBand="1"/>
      </w:tblPr>
      <w:tblGrid>
        <w:gridCol w:w="2813"/>
        <w:gridCol w:w="6367"/>
      </w:tblGrid>
      <w:tr w:rsidR="00F63991" w:rsidRPr="00D032BE">
        <w:tc>
          <w:tcPr>
            <w:tcW w:w="2813" w:type="dxa"/>
          </w:tcPr>
          <w:p w:rsidR="00F63991" w:rsidRPr="00D032BE" w:rsidRDefault="00F63991" w:rsidP="00D032BE">
            <w:pPr>
              <w:pStyle w:val="kehatekst"/>
              <w:ind w:left="0"/>
              <w:jc w:val="left"/>
              <w:rPr>
                <w:rFonts w:asciiTheme="minorHAnsi" w:hAnsiTheme="minorHAnsi" w:cstheme="minorHAnsi"/>
                <w:b/>
              </w:rPr>
            </w:pPr>
            <w:r w:rsidRPr="00D032BE">
              <w:rPr>
                <w:rFonts w:asciiTheme="minorHAnsi" w:hAnsiTheme="minorHAnsi" w:cstheme="minorHAnsi"/>
                <w:b/>
              </w:rPr>
              <w:t>Ülekannet teostav finantsasutus</w:t>
            </w:r>
          </w:p>
        </w:tc>
        <w:tc>
          <w:tcPr>
            <w:tcW w:w="6367" w:type="dxa"/>
          </w:tcPr>
          <w:p w:rsidR="00F63991" w:rsidRPr="00D032BE" w:rsidRDefault="00F63991" w:rsidP="00D032BE">
            <w:pPr>
              <w:pStyle w:val="kehatekst"/>
              <w:ind w:left="0"/>
              <w:jc w:val="left"/>
            </w:pPr>
            <w:r w:rsidRPr="00D032BE">
              <w:t>Vt soovituse</w:t>
            </w:r>
            <w:r w:rsidR="00847867">
              <w:t xml:space="preserve"> </w:t>
            </w:r>
            <w:r w:rsidRPr="00D032BE">
              <w:t>16 tõlgendavat märkust.</w:t>
            </w:r>
          </w:p>
        </w:tc>
      </w:tr>
    </w:tbl>
    <w:p w:rsidR="00D032BE" w:rsidRPr="00D032BE" w:rsidRDefault="00D032BE" w:rsidP="00D032BE">
      <w:pPr>
        <w:pStyle w:val="kehatekst"/>
      </w:pPr>
      <w:r>
        <w:br w:type="textWrapping" w:clear="all"/>
      </w: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1"/>
        <w:jc w:val="center"/>
      </w:pPr>
      <w:bookmarkStart w:id="14" w:name="_Toc338857797"/>
      <w:bookmarkStart w:id="15" w:name="_Ref338858008"/>
      <w:r w:rsidRPr="00D032BE">
        <w:lastRenderedPageBreak/>
        <w:t>LÜHENDID</w:t>
      </w:r>
      <w:bookmarkEnd w:id="14"/>
      <w:bookmarkEnd w:id="15"/>
    </w:p>
    <w:tbl>
      <w:tblPr>
        <w:tblW w:w="0" w:type="auto"/>
        <w:tblInd w:w="108" w:type="dxa"/>
        <w:tblLook w:val="04A0" w:firstRow="1" w:lastRow="0" w:firstColumn="1" w:lastColumn="0" w:noHBand="0" w:noVBand="1"/>
      </w:tblPr>
      <w:tblGrid>
        <w:gridCol w:w="1901"/>
        <w:gridCol w:w="4096"/>
        <w:gridCol w:w="3137"/>
      </w:tblGrid>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AML/CFT </w:t>
            </w:r>
          </w:p>
        </w:tc>
        <w:tc>
          <w:tcPr>
            <w:tcW w:w="4096" w:type="dxa"/>
            <w:tcBorders>
              <w:right w:val="single" w:sz="4" w:space="0" w:color="auto"/>
            </w:tcBorders>
          </w:tcPr>
          <w:p w:rsidR="00D032BE" w:rsidRPr="00D032BE" w:rsidRDefault="00D032BE" w:rsidP="00C255C5">
            <w:pPr>
              <w:pStyle w:val="kehatekst"/>
              <w:ind w:left="0"/>
              <w:jc w:val="left"/>
            </w:pPr>
            <w:r w:rsidRPr="00D032BE">
              <w:t xml:space="preserve">Anti-Money </w:t>
            </w:r>
            <w:proofErr w:type="spellStart"/>
            <w:r w:rsidRPr="00D032BE">
              <w:t>Laundering</w:t>
            </w:r>
            <w:proofErr w:type="spellEnd"/>
            <w:r w:rsidRPr="00D032BE">
              <w:t xml:space="preserve"> / </w:t>
            </w:r>
            <w:proofErr w:type="spellStart"/>
            <w:r w:rsidRPr="00D032BE">
              <w:t>Countering</w:t>
            </w:r>
            <w:proofErr w:type="spellEnd"/>
            <w:r w:rsidRPr="00D032BE">
              <w:t xml:space="preserve"> </w:t>
            </w:r>
            <w:proofErr w:type="spellStart"/>
            <w:r w:rsidRPr="00D032BE">
              <w:t>the</w:t>
            </w:r>
            <w:proofErr w:type="spellEnd"/>
            <w:r w:rsidRPr="00D032BE">
              <w:t xml:space="preserve"> </w:t>
            </w:r>
            <w:proofErr w:type="spellStart"/>
            <w:r w:rsidRPr="00D032BE">
              <w:t>Financing</w:t>
            </w:r>
            <w:proofErr w:type="spellEnd"/>
            <w:r w:rsidRPr="00D032BE">
              <w:t xml:space="preserve"> of Terrorism</w:t>
            </w:r>
          </w:p>
          <w:p w:rsidR="00D032BE" w:rsidRPr="00D032BE" w:rsidRDefault="00D032BE" w:rsidP="00C255C5">
            <w:pPr>
              <w:pStyle w:val="kehatekst"/>
              <w:ind w:left="0"/>
              <w:jc w:val="left"/>
            </w:pPr>
            <w:r w:rsidRPr="00D032BE">
              <w:t>(</w:t>
            </w:r>
            <w:proofErr w:type="spellStart"/>
            <w:r w:rsidRPr="00D032BE">
              <w:t>also</w:t>
            </w:r>
            <w:proofErr w:type="spellEnd"/>
            <w:r w:rsidRPr="00D032BE">
              <w:t xml:space="preserve"> </w:t>
            </w:r>
            <w:proofErr w:type="spellStart"/>
            <w:r w:rsidRPr="00D032BE">
              <w:t>used</w:t>
            </w:r>
            <w:proofErr w:type="spellEnd"/>
            <w:r w:rsidRPr="00D032BE">
              <w:t xml:space="preserve"> </w:t>
            </w:r>
            <w:proofErr w:type="spellStart"/>
            <w:r w:rsidRPr="00D032BE">
              <w:t>for</w:t>
            </w:r>
            <w:proofErr w:type="spellEnd"/>
            <w:r w:rsidRPr="00D032BE">
              <w:t xml:space="preserve"> </w:t>
            </w:r>
            <w:proofErr w:type="spellStart"/>
            <w:r w:rsidRPr="00D032BE">
              <w:t>Combating</w:t>
            </w:r>
            <w:proofErr w:type="spellEnd"/>
            <w:r w:rsidRPr="00D032BE">
              <w:t xml:space="preserve"> </w:t>
            </w:r>
            <w:proofErr w:type="spellStart"/>
            <w:r w:rsidRPr="00D032BE">
              <w:t>the</w:t>
            </w:r>
            <w:proofErr w:type="spellEnd"/>
            <w:r w:rsidRPr="00D032BE">
              <w:t xml:space="preserve"> </w:t>
            </w:r>
            <w:proofErr w:type="spellStart"/>
            <w:r w:rsidRPr="00D032BE">
              <w:t>financing</w:t>
            </w:r>
            <w:proofErr w:type="spellEnd"/>
            <w:r w:rsidRPr="00D032BE">
              <w:t xml:space="preserve"> of terrorism)</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2A32CF" w:rsidP="00C255C5">
            <w:pPr>
              <w:pStyle w:val="kehatekst"/>
              <w:ind w:left="0"/>
              <w:jc w:val="left"/>
            </w:pPr>
            <w:r>
              <w:t>Rahapesu</w:t>
            </w:r>
            <w:r w:rsidR="00D032BE" w:rsidRPr="00D032BE">
              <w:t xml:space="preserve"> ja terrorismi rahastamise vastane</w:t>
            </w:r>
          </w:p>
          <w:p w:rsidR="00D032BE" w:rsidRPr="00D032BE" w:rsidRDefault="00D032BE" w:rsidP="006468D3">
            <w:pPr>
              <w:pStyle w:val="kehatekst"/>
              <w:ind w:left="0"/>
              <w:jc w:val="left"/>
            </w:pPr>
            <w:r w:rsidRPr="00D032BE">
              <w:t>(kasutatakse ka „</w:t>
            </w:r>
            <w:r w:rsidR="002A32CF">
              <w:t>rahapesu</w:t>
            </w:r>
            <w:r w:rsidRPr="00D032BE">
              <w:t xml:space="preserve"> ja terrorismi rahastamise tõkestamine</w:t>
            </w:r>
            <w:r w:rsidR="006468D3">
              <w:t>”</w:t>
            </w:r>
            <w:r w:rsidRPr="00D032BE">
              <w:t>)</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BNI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Bearer-Negotiable</w:t>
            </w:r>
            <w:proofErr w:type="spellEnd"/>
            <w:r w:rsidRPr="00D032BE">
              <w:t xml:space="preserve"> Instrument</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847867" w:rsidP="00847867">
            <w:pPr>
              <w:pStyle w:val="kehatekst"/>
              <w:ind w:left="0"/>
              <w:jc w:val="left"/>
            </w:pPr>
            <w:r>
              <w:t>Vabalt kaugendav esitaja väärtpaber</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CDD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Customer</w:t>
            </w:r>
            <w:proofErr w:type="spellEnd"/>
            <w:r w:rsidRPr="00D032BE">
              <w:t xml:space="preserve"> </w:t>
            </w:r>
            <w:proofErr w:type="spellStart"/>
            <w:r w:rsidRPr="00D032BE">
              <w:t>Due</w:t>
            </w:r>
            <w:proofErr w:type="spellEnd"/>
            <w:r w:rsidRPr="00D032BE">
              <w:t xml:space="preserve"> </w:t>
            </w:r>
            <w:proofErr w:type="spellStart"/>
            <w:r w:rsidRPr="00D032BE">
              <w:t>Diligence</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7319E4">
            <w:pPr>
              <w:pStyle w:val="kehatekst"/>
              <w:ind w:left="0"/>
              <w:jc w:val="left"/>
            </w:pPr>
            <w:r w:rsidRPr="00D032BE">
              <w:t>Klien</w:t>
            </w:r>
            <w:r w:rsidR="007319E4">
              <w:t>tidele</w:t>
            </w:r>
            <w:r w:rsidRPr="00D032BE">
              <w:t xml:space="preserve"> </w:t>
            </w:r>
            <w:r w:rsidR="002222DE">
              <w:t>rakendatavad</w:t>
            </w:r>
            <w:r w:rsidR="002222DE" w:rsidRPr="00D032BE">
              <w:t xml:space="preserve"> </w:t>
            </w:r>
            <w:r w:rsidRPr="00D032BE">
              <w:t>hoolsusmeetmed</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DNFBP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Designated</w:t>
            </w:r>
            <w:proofErr w:type="spellEnd"/>
            <w:r w:rsidRPr="00D032BE">
              <w:t xml:space="preserve"> </w:t>
            </w:r>
            <w:proofErr w:type="spellStart"/>
            <w:r w:rsidRPr="00D032BE">
              <w:t>Non-Financial</w:t>
            </w:r>
            <w:proofErr w:type="spellEnd"/>
            <w:r w:rsidRPr="00D032BE">
              <w:t xml:space="preserve"> </w:t>
            </w:r>
            <w:proofErr w:type="spellStart"/>
            <w:r w:rsidRPr="00D032BE">
              <w:t>Business</w:t>
            </w:r>
            <w:proofErr w:type="spellEnd"/>
            <w:r w:rsidRPr="00D032BE">
              <w:t xml:space="preserve"> </w:t>
            </w:r>
            <w:proofErr w:type="spellStart"/>
            <w:r w:rsidRPr="00D032BE">
              <w:t>or</w:t>
            </w:r>
            <w:proofErr w:type="spellEnd"/>
            <w:r w:rsidRPr="00D032BE">
              <w:t xml:space="preserve"> </w:t>
            </w:r>
            <w:proofErr w:type="spellStart"/>
            <w:r w:rsidRPr="00D032BE">
              <w:t>Profession</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Mittefinantsteenuseid pakkuv määratud ettevõtja või kutsetöötaja</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FATF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Financial</w:t>
            </w:r>
            <w:proofErr w:type="spellEnd"/>
            <w:r w:rsidRPr="00D032BE">
              <w:t xml:space="preserve"> </w:t>
            </w:r>
            <w:proofErr w:type="spellStart"/>
            <w:r w:rsidRPr="00D032BE">
              <w:t>Action</w:t>
            </w:r>
            <w:proofErr w:type="spellEnd"/>
            <w:r w:rsidRPr="00D032BE">
              <w:t xml:space="preserve"> </w:t>
            </w:r>
            <w:proofErr w:type="spellStart"/>
            <w:r w:rsidRPr="00D032BE">
              <w:t>Task</w:t>
            </w:r>
            <w:proofErr w:type="spellEnd"/>
            <w:r w:rsidRPr="00D032BE">
              <w:t xml:space="preserve"> </w:t>
            </w:r>
            <w:proofErr w:type="spellStart"/>
            <w:r w:rsidRPr="00D032BE">
              <w:t>Force</w:t>
            </w:r>
            <w:proofErr w:type="spellEnd"/>
            <w:r w:rsidRPr="00D032BE">
              <w:t xml:space="preserve"> </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 xml:space="preserve">Rahapesuvastane </w:t>
            </w:r>
            <w:proofErr w:type="spellStart"/>
            <w:r w:rsidRPr="00D032BE">
              <w:t>töökond</w:t>
            </w:r>
            <w:proofErr w:type="spellEnd"/>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FIU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Financial</w:t>
            </w:r>
            <w:proofErr w:type="spellEnd"/>
            <w:r w:rsidRPr="00D032BE">
              <w:t xml:space="preserve"> </w:t>
            </w:r>
            <w:proofErr w:type="spellStart"/>
            <w:r w:rsidRPr="00D032BE">
              <w:t>Intelligence</w:t>
            </w:r>
            <w:proofErr w:type="spellEnd"/>
            <w:r w:rsidRPr="00D032BE">
              <w:t xml:space="preserve"> </w:t>
            </w:r>
            <w:proofErr w:type="spellStart"/>
            <w:r w:rsidRPr="00D032BE">
              <w:t>Unit</w:t>
            </w:r>
            <w:proofErr w:type="spellEnd"/>
            <w:r w:rsidRPr="00D032BE">
              <w:t xml:space="preserve"> </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86A5F" w:rsidP="00C255C5">
            <w:pPr>
              <w:pStyle w:val="kehatekst"/>
              <w:ind w:left="0"/>
              <w:jc w:val="left"/>
            </w:pPr>
            <w:r>
              <w:t>Rahapesu andmebüroo</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IN</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Interpretive</w:t>
            </w:r>
            <w:proofErr w:type="spellEnd"/>
            <w:r w:rsidRPr="00D032BE">
              <w:t xml:space="preserve"> </w:t>
            </w:r>
            <w:proofErr w:type="spellStart"/>
            <w:r w:rsidRPr="00D032BE">
              <w:t>Note</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Tõlgendav märkus</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ML </w:t>
            </w:r>
          </w:p>
        </w:tc>
        <w:tc>
          <w:tcPr>
            <w:tcW w:w="4096" w:type="dxa"/>
            <w:tcBorders>
              <w:right w:val="single" w:sz="4" w:space="0" w:color="auto"/>
            </w:tcBorders>
          </w:tcPr>
          <w:p w:rsidR="00D032BE" w:rsidRPr="00D032BE" w:rsidRDefault="00D032BE" w:rsidP="00C255C5">
            <w:pPr>
              <w:pStyle w:val="kehatekst"/>
              <w:ind w:left="0"/>
              <w:jc w:val="left"/>
            </w:pPr>
            <w:r w:rsidRPr="00D032BE">
              <w:t xml:space="preserve">Money </w:t>
            </w:r>
            <w:proofErr w:type="spellStart"/>
            <w:r w:rsidRPr="00D032BE">
              <w:t>Laundering</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Rahapesu</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MVTS </w:t>
            </w:r>
          </w:p>
        </w:tc>
        <w:tc>
          <w:tcPr>
            <w:tcW w:w="4096" w:type="dxa"/>
            <w:tcBorders>
              <w:right w:val="single" w:sz="4" w:space="0" w:color="auto"/>
            </w:tcBorders>
          </w:tcPr>
          <w:p w:rsidR="00D032BE" w:rsidRPr="00D032BE" w:rsidRDefault="00D032BE" w:rsidP="00C255C5">
            <w:pPr>
              <w:pStyle w:val="kehatekst"/>
              <w:ind w:left="0"/>
              <w:jc w:val="left"/>
            </w:pPr>
            <w:r w:rsidRPr="00D032BE">
              <w:t xml:space="preserve">Money </w:t>
            </w:r>
            <w:proofErr w:type="spellStart"/>
            <w:r w:rsidRPr="00D032BE">
              <w:t>or</w:t>
            </w:r>
            <w:proofErr w:type="spellEnd"/>
            <w:r w:rsidRPr="00D032BE">
              <w:t xml:space="preserve"> </w:t>
            </w:r>
            <w:proofErr w:type="spellStart"/>
            <w:r w:rsidRPr="00D032BE">
              <w:t>Value</w:t>
            </w:r>
            <w:proofErr w:type="spellEnd"/>
            <w:r w:rsidRPr="00D032BE">
              <w:t xml:space="preserve"> </w:t>
            </w:r>
            <w:proofErr w:type="spellStart"/>
            <w:r w:rsidRPr="00D032BE">
              <w:t>Transfer</w:t>
            </w:r>
            <w:proofErr w:type="spellEnd"/>
            <w:r w:rsidRPr="00D032BE">
              <w:t xml:space="preserve"> </w:t>
            </w:r>
            <w:proofErr w:type="spellStart"/>
            <w:r w:rsidRPr="00D032BE">
              <w:t>Service(s</w:t>
            </w:r>
            <w:proofErr w:type="spellEnd"/>
            <w:r w:rsidRPr="00D032BE">
              <w:t>)</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 xml:space="preserve">Raha või </w:t>
            </w:r>
            <w:r w:rsidR="004F64DC" w:rsidRPr="004F64DC">
              <w:t>alternatiivse</w:t>
            </w:r>
            <w:r w:rsidR="00847867">
              <w:t xml:space="preserve"> </w:t>
            </w:r>
            <w:r w:rsidR="004F64DC" w:rsidRPr="004F64DC">
              <w:t xml:space="preserve">maksevahendi </w:t>
            </w:r>
            <w:r w:rsidR="004F64DC" w:rsidRPr="00D032BE">
              <w:t>ülekandeteenused</w:t>
            </w:r>
            <w:r w:rsidRPr="00D032BE">
              <w:t>)</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MTÜ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Non-Profit</w:t>
            </w:r>
            <w:proofErr w:type="spellEnd"/>
            <w:r w:rsidRPr="00D032BE">
              <w:t xml:space="preserve"> </w:t>
            </w:r>
            <w:proofErr w:type="spellStart"/>
            <w:r w:rsidRPr="00D032BE">
              <w:t>Organisation</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Mittetulundusühing</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proofErr w:type="spellStart"/>
            <w:r w:rsidRPr="00D032BE">
              <w:rPr>
                <w:rFonts w:asciiTheme="minorHAnsi" w:hAnsiTheme="minorHAnsi" w:cstheme="minorHAnsi"/>
                <w:b/>
              </w:rPr>
              <w:t>Palermo</w:t>
            </w:r>
            <w:proofErr w:type="spellEnd"/>
            <w:r w:rsidRPr="00D032BE">
              <w:rPr>
                <w:rFonts w:asciiTheme="minorHAnsi" w:hAnsiTheme="minorHAnsi" w:cstheme="minorHAnsi"/>
                <w:b/>
              </w:rPr>
              <w:t xml:space="preserve"> konventsioon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The</w:t>
            </w:r>
            <w:proofErr w:type="spellEnd"/>
            <w:r w:rsidRPr="00D032BE">
              <w:t xml:space="preserve"> </w:t>
            </w:r>
            <w:proofErr w:type="spellStart"/>
            <w:r w:rsidRPr="00D032BE">
              <w:t>United</w:t>
            </w:r>
            <w:proofErr w:type="spellEnd"/>
            <w:r w:rsidRPr="00D032BE">
              <w:t xml:space="preserve"> </w:t>
            </w:r>
            <w:proofErr w:type="spellStart"/>
            <w:r w:rsidRPr="00D032BE">
              <w:t>Nations</w:t>
            </w:r>
            <w:proofErr w:type="spellEnd"/>
            <w:r w:rsidRPr="00D032BE">
              <w:t xml:space="preserve"> </w:t>
            </w:r>
            <w:proofErr w:type="spellStart"/>
            <w:r w:rsidRPr="00D032BE">
              <w:t>Convention</w:t>
            </w:r>
            <w:proofErr w:type="spellEnd"/>
            <w:r w:rsidRPr="00D032BE">
              <w:t xml:space="preserve"> </w:t>
            </w:r>
            <w:proofErr w:type="spellStart"/>
            <w:r w:rsidRPr="00D032BE">
              <w:t>against</w:t>
            </w:r>
            <w:proofErr w:type="spellEnd"/>
            <w:r w:rsidRPr="00D032BE">
              <w:t xml:space="preserve"> </w:t>
            </w:r>
            <w:proofErr w:type="spellStart"/>
            <w:r w:rsidRPr="00D032BE">
              <w:t>Transnational</w:t>
            </w:r>
            <w:proofErr w:type="spellEnd"/>
            <w:r w:rsidRPr="00D032BE">
              <w:t xml:space="preserve"> </w:t>
            </w:r>
            <w:proofErr w:type="spellStart"/>
            <w:r w:rsidRPr="00D032BE">
              <w:t>Organized</w:t>
            </w:r>
            <w:proofErr w:type="spellEnd"/>
            <w:r w:rsidRPr="00D032BE">
              <w:t xml:space="preserve"> </w:t>
            </w:r>
            <w:proofErr w:type="spellStart"/>
            <w:r w:rsidRPr="00D032BE">
              <w:t>Crime</w:t>
            </w:r>
            <w:proofErr w:type="spellEnd"/>
            <w:r w:rsidRPr="00D032BE">
              <w:t xml:space="preserve"> 2000</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rPr>
                <w:highlight w:val="yellow"/>
              </w:rPr>
            </w:pPr>
            <w:r w:rsidRPr="00D032BE">
              <w:rPr>
                <w:szCs w:val="24"/>
              </w:rPr>
              <w:t>Rahvusvahelise organiseeritud kuritegevuse vasta</w:t>
            </w:r>
            <w:r w:rsidR="006468D3">
              <w:rPr>
                <w:szCs w:val="24"/>
              </w:rPr>
              <w:t>s</w:t>
            </w:r>
            <w:r w:rsidRPr="00D032BE">
              <w:rPr>
                <w:szCs w:val="24"/>
              </w:rPr>
              <w:t>e</w:t>
            </w:r>
            <w:r w:rsidR="006468D3">
              <w:rPr>
                <w:szCs w:val="24"/>
              </w:rPr>
              <w:t xml:space="preserve"> võitlemise</w:t>
            </w:r>
            <w:r w:rsidRPr="00D032BE">
              <w:rPr>
                <w:szCs w:val="24"/>
              </w:rPr>
              <w:t xml:space="preserve"> Ühinenud Rahvaste Organisatsiooni konventsioon (2000)</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PEP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Politically</w:t>
            </w:r>
            <w:proofErr w:type="spellEnd"/>
            <w:r w:rsidRPr="00D032BE">
              <w:t xml:space="preserve"> </w:t>
            </w:r>
            <w:proofErr w:type="spellStart"/>
            <w:r w:rsidRPr="00D032BE">
              <w:t>Exposed</w:t>
            </w:r>
            <w:proofErr w:type="spellEnd"/>
            <w:r w:rsidRPr="00D032BE">
              <w:t xml:space="preserve"> </w:t>
            </w:r>
            <w:proofErr w:type="spellStart"/>
            <w:r w:rsidRPr="00D032BE">
              <w:t>Person</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Riikliku taustaga isik</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R.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Recommendation</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Soovitus</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RBA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Risk-Based</w:t>
            </w:r>
            <w:proofErr w:type="spellEnd"/>
            <w:r w:rsidRPr="00D032BE">
              <w:t xml:space="preserve"> </w:t>
            </w:r>
            <w:proofErr w:type="spellStart"/>
            <w:r w:rsidRPr="00D032BE">
              <w:t>Approach</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Riskipõhine lähenemine</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SR.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Special</w:t>
            </w:r>
            <w:proofErr w:type="spellEnd"/>
            <w:r w:rsidRPr="00D032BE">
              <w:t xml:space="preserve"> </w:t>
            </w:r>
            <w:proofErr w:type="spellStart"/>
            <w:r w:rsidRPr="00D032BE">
              <w:t>Recommendation</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Erisoovitus</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SRO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Self-Regulatory</w:t>
            </w:r>
            <w:proofErr w:type="spellEnd"/>
            <w:r w:rsidRPr="00D032BE">
              <w:t xml:space="preserve"> </w:t>
            </w:r>
            <w:proofErr w:type="spellStart"/>
            <w:r w:rsidRPr="00D032BE">
              <w:t>Organisation</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Isereguleeruv organ</w:t>
            </w:r>
            <w:r w:rsidR="006F4DF2">
              <w:t>isatsioon</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lastRenderedPageBreak/>
              <w:t xml:space="preserve">STR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Suspicious</w:t>
            </w:r>
            <w:proofErr w:type="spellEnd"/>
            <w:r w:rsidRPr="00D032BE">
              <w:t xml:space="preserve"> </w:t>
            </w:r>
            <w:proofErr w:type="spellStart"/>
            <w:r w:rsidRPr="00D032BE">
              <w:t>Transaction</w:t>
            </w:r>
            <w:proofErr w:type="spellEnd"/>
            <w:r w:rsidRPr="00D032BE">
              <w:t xml:space="preserve"> </w:t>
            </w:r>
            <w:proofErr w:type="spellStart"/>
            <w:r w:rsidRPr="00D032BE">
              <w:t>Report</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Teatamine kahtlastest tehingutest</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TCSP </w:t>
            </w:r>
          </w:p>
        </w:tc>
        <w:tc>
          <w:tcPr>
            <w:tcW w:w="4096" w:type="dxa"/>
            <w:tcBorders>
              <w:right w:val="single" w:sz="4" w:space="0" w:color="auto"/>
            </w:tcBorders>
          </w:tcPr>
          <w:p w:rsidR="00D032BE" w:rsidRPr="00D032BE" w:rsidRDefault="00D032BE" w:rsidP="00C255C5">
            <w:pPr>
              <w:pStyle w:val="kehatekst"/>
              <w:ind w:left="0"/>
              <w:jc w:val="left"/>
            </w:pPr>
            <w:r w:rsidRPr="00D032BE">
              <w:t xml:space="preserve">Trust and </w:t>
            </w:r>
            <w:proofErr w:type="spellStart"/>
            <w:r w:rsidRPr="00D032BE">
              <w:t>Company</w:t>
            </w:r>
            <w:proofErr w:type="spellEnd"/>
            <w:r w:rsidRPr="00D032BE">
              <w:t xml:space="preserve"> Service </w:t>
            </w:r>
            <w:proofErr w:type="spellStart"/>
            <w:r w:rsidRPr="00D032BE">
              <w:t>Provider</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Usaldusfondide ja äriühingute teenuste osutaja</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Terrorismi rahastamise tõkestamise konventsioon</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The</w:t>
            </w:r>
            <w:proofErr w:type="spellEnd"/>
            <w:r w:rsidRPr="00D032BE">
              <w:t xml:space="preserve"> International </w:t>
            </w:r>
            <w:proofErr w:type="spellStart"/>
            <w:r w:rsidRPr="00D032BE">
              <w:t>Convention</w:t>
            </w:r>
            <w:proofErr w:type="spellEnd"/>
            <w:r w:rsidRPr="00D032BE">
              <w:t xml:space="preserve"> </w:t>
            </w:r>
            <w:proofErr w:type="spellStart"/>
            <w:r w:rsidRPr="00D032BE">
              <w:t>for</w:t>
            </w:r>
            <w:proofErr w:type="spellEnd"/>
            <w:r w:rsidRPr="00D032BE">
              <w:t xml:space="preserve"> </w:t>
            </w:r>
            <w:proofErr w:type="spellStart"/>
            <w:r w:rsidRPr="00D032BE">
              <w:t>the</w:t>
            </w:r>
            <w:proofErr w:type="spellEnd"/>
            <w:r w:rsidRPr="00D032BE">
              <w:t xml:space="preserve"> </w:t>
            </w:r>
            <w:proofErr w:type="spellStart"/>
            <w:r w:rsidRPr="00D032BE">
              <w:t>Suppression</w:t>
            </w:r>
            <w:proofErr w:type="spellEnd"/>
            <w:r w:rsidRPr="00D032BE">
              <w:t xml:space="preserve"> of </w:t>
            </w:r>
            <w:proofErr w:type="spellStart"/>
            <w:r w:rsidRPr="00D032BE">
              <w:t>the</w:t>
            </w:r>
            <w:proofErr w:type="spellEnd"/>
            <w:r w:rsidRPr="00D032BE">
              <w:t xml:space="preserve"> </w:t>
            </w:r>
            <w:proofErr w:type="spellStart"/>
            <w:r w:rsidRPr="00D032BE">
              <w:t>Financing</w:t>
            </w:r>
            <w:proofErr w:type="spellEnd"/>
            <w:r w:rsidRPr="00D032BE">
              <w:t xml:space="preserve"> of Terrorism 1999</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rPr>
                <w:highlight w:val="yellow"/>
              </w:rPr>
            </w:pPr>
            <w:r w:rsidRPr="00D032BE">
              <w:rPr>
                <w:szCs w:val="24"/>
              </w:rPr>
              <w:t>Rahvusvaheline konventsioon terrorismi rahastamise tõkestamiseks (1999)</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ÜRO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United</w:t>
            </w:r>
            <w:proofErr w:type="spellEnd"/>
            <w:r w:rsidRPr="00D032BE">
              <w:t xml:space="preserve"> </w:t>
            </w:r>
            <w:proofErr w:type="spellStart"/>
            <w:r w:rsidRPr="00D032BE">
              <w:t>Nations</w:t>
            </w:r>
            <w:proofErr w:type="spellEnd"/>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pPr>
            <w:r w:rsidRPr="00D032BE">
              <w:t xml:space="preserve">Ühendatud Rahvaste Organisatsioon </w:t>
            </w:r>
          </w:p>
        </w:tc>
      </w:tr>
      <w:tr w:rsidR="00D032BE" w:rsidRPr="00D032BE" w:rsidTr="00847867">
        <w:tc>
          <w:tcPr>
            <w:tcW w:w="1901" w:type="dxa"/>
          </w:tcPr>
          <w:p w:rsidR="00D032BE" w:rsidRPr="00D032BE" w:rsidRDefault="00D032BE" w:rsidP="00C255C5">
            <w:pPr>
              <w:pStyle w:val="kehatekst"/>
              <w:ind w:left="0"/>
              <w:jc w:val="left"/>
              <w:rPr>
                <w:rFonts w:asciiTheme="minorHAnsi" w:hAnsiTheme="minorHAnsi" w:cstheme="minorHAnsi"/>
                <w:b/>
              </w:rPr>
            </w:pPr>
            <w:r w:rsidRPr="00D032BE">
              <w:rPr>
                <w:rFonts w:asciiTheme="minorHAnsi" w:hAnsiTheme="minorHAnsi" w:cstheme="minorHAnsi"/>
                <w:b/>
              </w:rPr>
              <w:t xml:space="preserve">Viini konventsioon </w:t>
            </w:r>
          </w:p>
        </w:tc>
        <w:tc>
          <w:tcPr>
            <w:tcW w:w="4096" w:type="dxa"/>
            <w:tcBorders>
              <w:right w:val="single" w:sz="4" w:space="0" w:color="auto"/>
            </w:tcBorders>
          </w:tcPr>
          <w:p w:rsidR="00D032BE" w:rsidRPr="00D032BE" w:rsidRDefault="00D032BE" w:rsidP="00C255C5">
            <w:pPr>
              <w:pStyle w:val="kehatekst"/>
              <w:ind w:left="0"/>
              <w:jc w:val="left"/>
            </w:pPr>
            <w:proofErr w:type="spellStart"/>
            <w:r w:rsidRPr="00D032BE">
              <w:t>The</w:t>
            </w:r>
            <w:proofErr w:type="spellEnd"/>
            <w:r w:rsidRPr="00D032BE">
              <w:t xml:space="preserve"> </w:t>
            </w:r>
            <w:proofErr w:type="spellStart"/>
            <w:r w:rsidRPr="00D032BE">
              <w:t>United</w:t>
            </w:r>
            <w:proofErr w:type="spellEnd"/>
            <w:r w:rsidRPr="00D032BE">
              <w:t xml:space="preserve"> </w:t>
            </w:r>
            <w:proofErr w:type="spellStart"/>
            <w:r w:rsidRPr="00D032BE">
              <w:t>Nations</w:t>
            </w:r>
            <w:proofErr w:type="spellEnd"/>
            <w:r w:rsidRPr="00D032BE">
              <w:t xml:space="preserve"> </w:t>
            </w:r>
            <w:proofErr w:type="spellStart"/>
            <w:r w:rsidRPr="00D032BE">
              <w:t>Convention</w:t>
            </w:r>
            <w:proofErr w:type="spellEnd"/>
            <w:r w:rsidRPr="00D032BE">
              <w:t xml:space="preserve"> </w:t>
            </w:r>
            <w:proofErr w:type="spellStart"/>
            <w:r w:rsidRPr="00D032BE">
              <w:t>against</w:t>
            </w:r>
            <w:proofErr w:type="spellEnd"/>
            <w:r w:rsidRPr="00D032BE">
              <w:t xml:space="preserve"> </w:t>
            </w:r>
            <w:proofErr w:type="spellStart"/>
            <w:r w:rsidRPr="00D032BE">
              <w:t>Illicit</w:t>
            </w:r>
            <w:proofErr w:type="spellEnd"/>
            <w:r w:rsidRPr="00D032BE">
              <w:t xml:space="preserve"> </w:t>
            </w:r>
            <w:proofErr w:type="spellStart"/>
            <w:r w:rsidRPr="00D032BE">
              <w:t>Traffic</w:t>
            </w:r>
            <w:proofErr w:type="spellEnd"/>
            <w:r w:rsidRPr="00D032BE">
              <w:t xml:space="preserve"> </w:t>
            </w:r>
            <w:proofErr w:type="spellStart"/>
            <w:r w:rsidRPr="00D032BE">
              <w:t>in</w:t>
            </w:r>
            <w:proofErr w:type="spellEnd"/>
            <w:r w:rsidRPr="00D032BE">
              <w:t xml:space="preserve"> </w:t>
            </w:r>
            <w:proofErr w:type="spellStart"/>
            <w:r w:rsidRPr="00D032BE">
              <w:t>Narcotic</w:t>
            </w:r>
            <w:proofErr w:type="spellEnd"/>
            <w:r w:rsidRPr="00D032BE">
              <w:t xml:space="preserve"> </w:t>
            </w:r>
            <w:proofErr w:type="spellStart"/>
            <w:r w:rsidRPr="00D032BE">
              <w:t>Drugs</w:t>
            </w:r>
            <w:proofErr w:type="spellEnd"/>
            <w:r w:rsidRPr="00D032BE">
              <w:t xml:space="preserve"> and </w:t>
            </w:r>
            <w:proofErr w:type="spellStart"/>
            <w:r w:rsidRPr="00D032BE">
              <w:t>Psychotropic</w:t>
            </w:r>
            <w:proofErr w:type="spellEnd"/>
            <w:r w:rsidRPr="00D032BE">
              <w:t xml:space="preserve"> </w:t>
            </w:r>
            <w:proofErr w:type="spellStart"/>
            <w:r w:rsidRPr="00D032BE">
              <w:t>Substances</w:t>
            </w:r>
            <w:proofErr w:type="spellEnd"/>
            <w:r w:rsidRPr="00D032BE">
              <w:t xml:space="preserve"> 1988</w:t>
            </w:r>
          </w:p>
        </w:tc>
        <w:tc>
          <w:tcPr>
            <w:tcW w:w="3137" w:type="dxa"/>
            <w:tcBorders>
              <w:top w:val="single" w:sz="4" w:space="0" w:color="auto"/>
              <w:left w:val="single" w:sz="4" w:space="0" w:color="auto"/>
              <w:bottom w:val="single" w:sz="4" w:space="0" w:color="auto"/>
              <w:right w:val="single" w:sz="4" w:space="0" w:color="auto"/>
            </w:tcBorders>
          </w:tcPr>
          <w:p w:rsidR="00D032BE" w:rsidRPr="00D032BE" w:rsidRDefault="00D032BE" w:rsidP="00C255C5">
            <w:pPr>
              <w:pStyle w:val="kehatekst"/>
              <w:ind w:left="0"/>
              <w:jc w:val="left"/>
              <w:rPr>
                <w:highlight w:val="yellow"/>
              </w:rPr>
            </w:pPr>
            <w:r w:rsidRPr="00D032BE">
              <w:rPr>
                <w:szCs w:val="24"/>
              </w:rPr>
              <w:t>Narkootiliste ja psühhotroopsete ainete ebaseadusliku ringluse vasta</w:t>
            </w:r>
            <w:r w:rsidR="00FA264D">
              <w:rPr>
                <w:szCs w:val="24"/>
              </w:rPr>
              <w:t>n</w:t>
            </w:r>
            <w:r w:rsidRPr="00D032BE">
              <w:rPr>
                <w:szCs w:val="24"/>
              </w:rPr>
              <w:t>e Ühinenud Rahvaste Organisatsiooni konventsioon (1988)</w:t>
            </w:r>
          </w:p>
        </w:tc>
      </w:tr>
    </w:tbl>
    <w:p w:rsidR="00D032BE" w:rsidRPr="00D032BE" w:rsidRDefault="00D032BE" w:rsidP="00D032BE">
      <w:pPr>
        <w:pStyle w:val="kehatekst"/>
      </w:pPr>
    </w:p>
    <w:p w:rsidR="00D032BE" w:rsidRPr="00D032BE" w:rsidRDefault="00D032BE" w:rsidP="00D032BE">
      <w:pPr>
        <w:rPr>
          <w:rFonts w:asciiTheme="majorHAnsi" w:hAnsiTheme="majorHAnsi"/>
          <w:sz w:val="21"/>
          <w:szCs w:val="21"/>
          <w:lang w:val="et-EE"/>
        </w:rPr>
      </w:pPr>
      <w:r w:rsidRPr="00D032BE">
        <w:rPr>
          <w:lang w:val="et-EE"/>
        </w:rPr>
        <w:br w:type="page"/>
      </w:r>
    </w:p>
    <w:p w:rsidR="00D032BE" w:rsidRPr="00D032BE" w:rsidRDefault="00D032BE" w:rsidP="00D032BE">
      <w:pPr>
        <w:pStyle w:val="Pealkiri1"/>
        <w:jc w:val="center"/>
      </w:pPr>
      <w:bookmarkStart w:id="16" w:name="_Toc338857798"/>
      <w:bookmarkStart w:id="17" w:name="_Ref338858012"/>
      <w:r w:rsidRPr="00D032BE">
        <w:lastRenderedPageBreak/>
        <w:t>LISA</w:t>
      </w:r>
      <w:r w:rsidR="00961786">
        <w:t>.</w:t>
      </w:r>
      <w:r w:rsidRPr="00D032BE">
        <w:t xml:space="preserve"> FATFi JUHENDDOKUMENDID</w:t>
      </w:r>
      <w:bookmarkEnd w:id="16"/>
      <w:bookmarkEnd w:id="17"/>
    </w:p>
    <w:p w:rsidR="00D032BE" w:rsidRPr="00D032BE" w:rsidRDefault="00D032BE" w:rsidP="00D032BE">
      <w:pPr>
        <w:autoSpaceDE w:val="0"/>
        <w:autoSpaceDN w:val="0"/>
        <w:adjustRightInd w:val="0"/>
        <w:spacing w:after="120" w:line="240" w:lineRule="auto"/>
        <w:rPr>
          <w:rFonts w:asciiTheme="majorHAnsi" w:hAnsiTheme="majorHAnsi"/>
          <w:sz w:val="24"/>
          <w:szCs w:val="24"/>
          <w:lang w:val="et-EE"/>
        </w:rPr>
      </w:pPr>
      <w:r w:rsidRPr="00D032BE">
        <w:rPr>
          <w:rFonts w:asciiTheme="majorHAnsi" w:hAnsiTheme="majorHAnsi"/>
          <w:sz w:val="24"/>
          <w:szCs w:val="24"/>
          <w:lang w:val="et-EE"/>
        </w:rPr>
        <w:t>Aruandekohustuslikele finantsasutustele ja teistele isikutele tagasiside andmise tegevusjuhend (juuni 1998)</w:t>
      </w:r>
    </w:p>
    <w:p w:rsidR="00D032BE" w:rsidRPr="00D032BE" w:rsidRDefault="00D032BE" w:rsidP="00D032BE">
      <w:pPr>
        <w:pStyle w:val="kehatekst"/>
        <w:ind w:left="0"/>
      </w:pPr>
      <w:r w:rsidRPr="00D032BE">
        <w:t>Suunised finantsasutustele terrorismi rahastamise avastamisel (aprill 2002). Rahvusvaheline parim tava: mittetulundusühingute kuritarvitamise vastu võitlemine (oktoober 2002).</w:t>
      </w:r>
    </w:p>
    <w:p w:rsidR="00D032BE" w:rsidRPr="00D032BE" w:rsidRDefault="00D032BE" w:rsidP="00D032BE">
      <w:pPr>
        <w:pStyle w:val="kehatekst"/>
        <w:ind w:left="0"/>
      </w:pPr>
      <w:r w:rsidRPr="00D032BE">
        <w:t>Rahvusvaheline parim tava: alternatiivsete ülekandesüsteemide kuritarvitamise vastu võitlemine (juuni 2003)</w:t>
      </w:r>
    </w:p>
    <w:p w:rsidR="00D032BE" w:rsidRPr="00D032BE" w:rsidRDefault="00D032BE" w:rsidP="00D032BE">
      <w:pPr>
        <w:pStyle w:val="kehatekst"/>
        <w:ind w:left="0"/>
      </w:pPr>
      <w:r w:rsidRPr="00D032BE">
        <w:t xml:space="preserve">Massihävitusrelvade leviku tõkestamist käsitlevate ÜRO Julgeolekunõukogu resolutsioonide finantssätete rakendamine (juuni 2007). </w:t>
      </w:r>
    </w:p>
    <w:p w:rsidR="00D032BE" w:rsidRPr="00D032BE" w:rsidRDefault="00D032BE" w:rsidP="00D032BE">
      <w:pPr>
        <w:pStyle w:val="kehatekst"/>
        <w:ind w:left="0"/>
      </w:pPr>
      <w:r w:rsidRPr="00D032BE">
        <w:t xml:space="preserve">Riskipõhise lähenemise </w:t>
      </w:r>
      <w:r w:rsidR="00961786">
        <w:t>suunised</w:t>
      </w:r>
      <w:r w:rsidR="00961786" w:rsidRPr="00D032BE">
        <w:t xml:space="preserve"> </w:t>
      </w:r>
      <w:r w:rsidRPr="00D032BE">
        <w:t>(juuni 2007 – oktoober 2009)</w:t>
      </w:r>
    </w:p>
    <w:p w:rsidR="00D032BE" w:rsidRPr="00D032BE" w:rsidRDefault="00D032BE" w:rsidP="00D032BE">
      <w:pPr>
        <w:pStyle w:val="kehatekst"/>
        <w:ind w:left="0"/>
      </w:pPr>
      <w:r w:rsidRPr="00D032BE">
        <w:t xml:space="preserve">Üheksa dokumenti, mis sisaldavad riskipõhise lähenemise </w:t>
      </w:r>
      <w:r w:rsidR="00961786">
        <w:t>suuniseid</w:t>
      </w:r>
      <w:r w:rsidRPr="00D032BE">
        <w:t>:</w:t>
      </w:r>
    </w:p>
    <w:p w:rsidR="00D032BE" w:rsidRPr="00D032BE" w:rsidRDefault="00D032BE" w:rsidP="00D032BE">
      <w:pPr>
        <w:pStyle w:val="kehatekst"/>
        <w:numPr>
          <w:ilvl w:val="1"/>
          <w:numId w:val="11"/>
        </w:numPr>
        <w:ind w:left="851" w:hanging="357"/>
        <w:contextualSpacing/>
      </w:pPr>
      <w:r w:rsidRPr="00D032BE">
        <w:t>finantssektorile;</w:t>
      </w:r>
    </w:p>
    <w:p w:rsidR="00D032BE" w:rsidRPr="00D032BE" w:rsidRDefault="00D032BE" w:rsidP="00D032BE">
      <w:pPr>
        <w:pStyle w:val="kehatekst"/>
        <w:numPr>
          <w:ilvl w:val="1"/>
          <w:numId w:val="11"/>
        </w:numPr>
        <w:ind w:left="851" w:hanging="357"/>
        <w:contextualSpacing/>
      </w:pPr>
      <w:r w:rsidRPr="00D032BE">
        <w:t>kinnisvaravahendajatele;</w:t>
      </w:r>
    </w:p>
    <w:p w:rsidR="00D032BE" w:rsidRPr="00D032BE" w:rsidRDefault="00D032BE" w:rsidP="00D032BE">
      <w:pPr>
        <w:pStyle w:val="kehatekst"/>
        <w:numPr>
          <w:ilvl w:val="1"/>
          <w:numId w:val="11"/>
        </w:numPr>
        <w:ind w:left="851" w:hanging="357"/>
        <w:contextualSpacing/>
      </w:pPr>
      <w:r w:rsidRPr="00D032BE">
        <w:t>raamatupidajatele;</w:t>
      </w:r>
    </w:p>
    <w:p w:rsidR="00D032BE" w:rsidRPr="00D032BE" w:rsidRDefault="00D032BE" w:rsidP="00D032BE">
      <w:pPr>
        <w:pStyle w:val="kehatekst"/>
        <w:numPr>
          <w:ilvl w:val="1"/>
          <w:numId w:val="11"/>
        </w:numPr>
        <w:ind w:left="851" w:hanging="357"/>
        <w:contextualSpacing/>
      </w:pPr>
      <w:r w:rsidRPr="00D032BE">
        <w:t>usaldusfondide ja äriühingute teenuste osutajatele;</w:t>
      </w:r>
    </w:p>
    <w:p w:rsidR="00D032BE" w:rsidRPr="00D032BE" w:rsidRDefault="00D032BE" w:rsidP="00D032BE">
      <w:pPr>
        <w:pStyle w:val="kehatekst"/>
        <w:numPr>
          <w:ilvl w:val="1"/>
          <w:numId w:val="11"/>
        </w:numPr>
        <w:ind w:left="851" w:hanging="357"/>
        <w:contextualSpacing/>
      </w:pPr>
      <w:r w:rsidRPr="00D032BE">
        <w:t>väärismetallide ja vääriskividega kauplejatele;</w:t>
      </w:r>
    </w:p>
    <w:p w:rsidR="00D032BE" w:rsidRPr="00D032BE" w:rsidRDefault="00D032BE" w:rsidP="00D032BE">
      <w:pPr>
        <w:pStyle w:val="kehatekst"/>
        <w:numPr>
          <w:ilvl w:val="1"/>
          <w:numId w:val="11"/>
        </w:numPr>
        <w:ind w:left="851" w:hanging="357"/>
        <w:contextualSpacing/>
      </w:pPr>
      <w:r w:rsidRPr="00D032BE">
        <w:t>kasiinodele;</w:t>
      </w:r>
    </w:p>
    <w:p w:rsidR="00D032BE" w:rsidRPr="00D032BE" w:rsidRDefault="00D032BE" w:rsidP="00D032BE">
      <w:pPr>
        <w:pStyle w:val="kehatekst"/>
        <w:numPr>
          <w:ilvl w:val="1"/>
          <w:numId w:val="11"/>
        </w:numPr>
        <w:ind w:left="851" w:hanging="357"/>
        <w:contextualSpacing/>
      </w:pPr>
      <w:r w:rsidRPr="00D032BE">
        <w:t>õigusteenuste osutajatele;</w:t>
      </w:r>
    </w:p>
    <w:p w:rsidR="00D032BE" w:rsidRPr="00D032BE" w:rsidRDefault="00D032BE" w:rsidP="00D032BE">
      <w:pPr>
        <w:pStyle w:val="kehatekst"/>
        <w:numPr>
          <w:ilvl w:val="1"/>
          <w:numId w:val="11"/>
        </w:numPr>
        <w:ind w:left="851" w:hanging="357"/>
        <w:contextualSpacing/>
      </w:pPr>
      <w:r w:rsidRPr="00D032BE">
        <w:t>rahaedastusteenuste pakkujatele; ja</w:t>
      </w:r>
    </w:p>
    <w:p w:rsidR="00D032BE" w:rsidRPr="00D032BE" w:rsidRDefault="00D032BE" w:rsidP="00D032BE">
      <w:pPr>
        <w:pStyle w:val="kehatekst"/>
        <w:numPr>
          <w:ilvl w:val="1"/>
          <w:numId w:val="11"/>
        </w:numPr>
        <w:ind w:left="850" w:hanging="357"/>
        <w:contextualSpacing/>
      </w:pPr>
      <w:r w:rsidRPr="00D032BE">
        <w:t>elukindlustussektorile.</w:t>
      </w:r>
    </w:p>
    <w:p w:rsidR="00D032BE" w:rsidRPr="00D032BE" w:rsidRDefault="00D032BE" w:rsidP="00D032BE">
      <w:pPr>
        <w:pStyle w:val="kehatekst"/>
        <w:ind w:left="0"/>
      </w:pPr>
      <w:r w:rsidRPr="00D032BE">
        <w:t>ÜRO Julgeolekunõukogu resolutsiooni 1737 tegevuspõhiste finantskeeldude rakendamine (oktoober 2007).</w:t>
      </w:r>
    </w:p>
    <w:p w:rsidR="00D032BE" w:rsidRPr="00D032BE" w:rsidRDefault="00D032BE" w:rsidP="00D032BE">
      <w:pPr>
        <w:pStyle w:val="kehatekst"/>
        <w:ind w:left="0"/>
      </w:pPr>
      <w:r w:rsidRPr="00D032BE">
        <w:t xml:space="preserve">Vastastikuse hindamise ja FATFi standardite rakendamise </w:t>
      </w:r>
      <w:r w:rsidR="00961786">
        <w:t>suutlikkuse</w:t>
      </w:r>
      <w:r w:rsidR="00961786" w:rsidRPr="00D032BE">
        <w:t xml:space="preserve"> </w:t>
      </w:r>
      <w:r w:rsidRPr="00D032BE">
        <w:t xml:space="preserve">suurendamine </w:t>
      </w:r>
      <w:r w:rsidR="00961786">
        <w:t>vähese</w:t>
      </w:r>
      <w:r w:rsidR="00961786" w:rsidRPr="00D032BE">
        <w:t xml:space="preserve"> </w:t>
      </w:r>
      <w:r w:rsidR="00961786">
        <w:t>suutlikkusega</w:t>
      </w:r>
      <w:r w:rsidR="00961786" w:rsidRPr="00D032BE">
        <w:t xml:space="preserve"> </w:t>
      </w:r>
      <w:r w:rsidRPr="00D032BE">
        <w:t>riikides (veebruar 2008).</w:t>
      </w:r>
    </w:p>
    <w:p w:rsidR="00D032BE" w:rsidRPr="00D032BE" w:rsidRDefault="00D032BE" w:rsidP="00D032BE">
      <w:pPr>
        <w:pStyle w:val="kehatekst"/>
        <w:ind w:left="0"/>
      </w:pPr>
      <w:r w:rsidRPr="00D032BE">
        <w:t>Parima tava raamat kauplemispõhise rahapesu kohta (juuni 2008).</w:t>
      </w:r>
    </w:p>
    <w:p w:rsidR="00D032BE" w:rsidRPr="00D032BE" w:rsidRDefault="00D032BE" w:rsidP="00D032BE">
      <w:pPr>
        <w:pStyle w:val="kehatekst"/>
        <w:ind w:left="0"/>
      </w:pPr>
      <w:r w:rsidRPr="00D032BE">
        <w:t>ÜRO Julgeolekunõukogu resolutsiooni 1803 finantssätete rakendamine (oktoober 2008).</w:t>
      </w:r>
    </w:p>
    <w:p w:rsidR="00D032BE" w:rsidRPr="00D032BE" w:rsidRDefault="00D032BE" w:rsidP="00D032BE">
      <w:pPr>
        <w:pStyle w:val="kehatekst"/>
        <w:ind w:left="0"/>
      </w:pPr>
      <w:r w:rsidRPr="00D032BE">
        <w:t>Rahvusvaheline parim tava: terroristide varade blokeerimine (juuni 2009) Parima tava raamat: konfiskeerimine (soovitused</w:t>
      </w:r>
      <w:r w:rsidR="00847867">
        <w:t xml:space="preserve"> </w:t>
      </w:r>
      <w:r w:rsidRPr="00D032BE">
        <w:t>3 ja 38) (veebruar 2010).</w:t>
      </w:r>
    </w:p>
    <w:p w:rsidR="00D032BE" w:rsidRPr="00D032BE" w:rsidRDefault="00D032BE" w:rsidP="00D032BE">
      <w:pPr>
        <w:pStyle w:val="kehatekst"/>
        <w:ind w:left="0"/>
      </w:pPr>
      <w:r w:rsidRPr="00D032BE">
        <w:t xml:space="preserve">Rahvusvaheline parim tava: sularaha ja vabalt kaubeldavate esitaja </w:t>
      </w:r>
      <w:r w:rsidR="00847867">
        <w:t>väärtpaberite</w:t>
      </w:r>
      <w:r w:rsidRPr="00D032BE">
        <w:t xml:space="preserve"> ebaseadusliku piiriülese veo avastamine ja tõkestamine (veebruar 2010).</w:t>
      </w:r>
    </w:p>
    <w:p w:rsidR="00D032BE" w:rsidRPr="00D032BE" w:rsidRDefault="00D032BE" w:rsidP="00D032BE">
      <w:pPr>
        <w:pStyle w:val="kehatekst"/>
        <w:ind w:left="0"/>
      </w:pPr>
      <w:r w:rsidRPr="00D032BE">
        <w:t xml:space="preserve">Rahvusvaheline parim tava: vabatahtliku maksueeskirjade järgimise programmide mõju </w:t>
      </w:r>
      <w:r w:rsidR="002A32CF">
        <w:t>rahapesu</w:t>
      </w:r>
      <w:r w:rsidRPr="00D032BE">
        <w:t xml:space="preserve"> ja terrorismi rahastamise </w:t>
      </w:r>
      <w:r w:rsidR="002A32CF">
        <w:t>tõkestamise</w:t>
      </w:r>
      <w:r w:rsidRPr="00D032BE">
        <w:t xml:space="preserve"> poliitikale (oktoober 2010). </w:t>
      </w:r>
    </w:p>
    <w:p w:rsidR="00D032BE" w:rsidRDefault="00D032BE" w:rsidP="005E721E">
      <w:pPr>
        <w:pStyle w:val="kehatekst"/>
        <w:ind w:left="0"/>
      </w:pPr>
      <w:r w:rsidRPr="00D032BE">
        <w:t xml:space="preserve">FATFi juhised </w:t>
      </w:r>
      <w:r w:rsidR="002A32CF">
        <w:t>rahapesu</w:t>
      </w:r>
      <w:r w:rsidRPr="00D032BE">
        <w:t xml:space="preserve"> ja terrorismi rahastamise </w:t>
      </w:r>
      <w:r w:rsidR="00A35E9F">
        <w:t>tõkestamise</w:t>
      </w:r>
      <w:r w:rsidRPr="00D032BE">
        <w:t xml:space="preserve"> meetmete ja finantsalase kaasatuse kohta (juuni 2011)</w:t>
      </w:r>
      <w:r w:rsidR="00287065">
        <w:t>.</w:t>
      </w:r>
    </w:p>
    <w:sectPr w:rsidR="00D032BE" w:rsidSect="00F01773">
      <w:headerReference w:type="even"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B0" w:rsidRDefault="007E66B0" w:rsidP="00103F5A">
      <w:pPr>
        <w:spacing w:line="240" w:lineRule="auto"/>
      </w:pPr>
      <w:r>
        <w:separator/>
      </w:r>
    </w:p>
  </w:endnote>
  <w:endnote w:type="continuationSeparator" w:id="0">
    <w:p w:rsidR="007E66B0" w:rsidRDefault="007E66B0" w:rsidP="00103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8" w:rsidRPr="00103094" w:rsidRDefault="008F0DB8" w:rsidP="00103094">
    <w:pPr>
      <w:pStyle w:val="Pis"/>
      <w:tabs>
        <w:tab w:val="clear" w:pos="4536"/>
      </w:tabs>
      <w:jc w:val="right"/>
      <w:rPr>
        <w:sz w:val="17"/>
        <w:szCs w:val="17"/>
      </w:rPr>
    </w:pPr>
    <w:r>
      <w:fldChar w:fldCharType="begin"/>
    </w:r>
    <w:r>
      <w:instrText xml:space="preserve"> PAGE   \* MERGEFORMAT </w:instrText>
    </w:r>
    <w:r>
      <w:fldChar w:fldCharType="separate"/>
    </w:r>
    <w:r>
      <w:rPr>
        <w:noProof/>
        <w:sz w:val="17"/>
        <w:szCs w:val="17"/>
      </w:rPr>
      <w:t>2</w:t>
    </w:r>
    <w:r>
      <w:rPr>
        <w:noProof/>
        <w:sz w:val="17"/>
        <w:szCs w:val="17"/>
      </w:rPr>
      <w:fldChar w:fldCharType="end"/>
    </w:r>
    <w:r>
      <w:rPr>
        <w:sz w:val="17"/>
        <w:szCs w:val="17"/>
      </w:rPr>
      <w:tab/>
    </w:r>
    <w:r w:rsidRPr="00103094">
      <w:rPr>
        <w:sz w:val="17"/>
        <w:szCs w:val="17"/>
      </w:rPr>
      <w:t>© 2012 OECD/FATF</w:t>
    </w:r>
  </w:p>
  <w:p w:rsidR="008F0DB8" w:rsidRDefault="008F0DB8">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8" w:rsidRPr="00103094" w:rsidRDefault="008F0DB8" w:rsidP="007709ED">
    <w:pPr>
      <w:pStyle w:val="Pis"/>
      <w:tabs>
        <w:tab w:val="clear" w:pos="4536"/>
      </w:tabs>
      <w:rPr>
        <w:sz w:val="17"/>
        <w:szCs w:val="17"/>
      </w:rPr>
    </w:pPr>
    <w:r w:rsidRPr="007709ED">
      <w:rPr>
        <w:sz w:val="17"/>
        <w:szCs w:val="17"/>
      </w:rPr>
      <w:t xml:space="preserve">Käesolev dokument on mitteametlik tõlge inglise keelest. Dokumendi kohaldamisel ilmnevate erinevate tõlgenduste puhul tuleb lähtuda FATFi ametlikust tekstist, mis on avaldatud alljärgneval veebilehel: </w:t>
    </w:r>
    <w:hyperlink r:id="rId1" w:history="1">
      <w:r w:rsidRPr="00EB1DA8">
        <w:rPr>
          <w:rStyle w:val="Hperlink"/>
          <w:sz w:val="17"/>
          <w:szCs w:val="17"/>
        </w:rPr>
        <w:t>http://www.fi.ee/public/aml/FATF_Recommendations_approved_February_2012_reprint_May_2012_web_version.pdf</w:t>
      </w:r>
    </w:hyperlink>
    <w:r>
      <w:rPr>
        <w:sz w:val="17"/>
        <w:szCs w:val="17"/>
      </w:rPr>
      <w:t xml:space="preserve"> </w:t>
    </w:r>
    <w:r w:rsidRPr="00103094">
      <w:rPr>
        <w:sz w:val="17"/>
        <w:szCs w:val="17"/>
      </w:rPr>
      <w:tab/>
    </w:r>
    <w:r>
      <w:fldChar w:fldCharType="begin"/>
    </w:r>
    <w:r>
      <w:instrText xml:space="preserve"> PAGE   \* MERGEFORMAT </w:instrText>
    </w:r>
    <w:r>
      <w:fldChar w:fldCharType="separate"/>
    </w:r>
    <w:r w:rsidR="003371E6" w:rsidRPr="003371E6">
      <w:rPr>
        <w:noProof/>
        <w:sz w:val="17"/>
        <w:szCs w:val="17"/>
      </w:rPr>
      <w:t>2</w:t>
    </w:r>
    <w:r>
      <w:rPr>
        <w:noProof/>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8" w:rsidRPr="00103094" w:rsidRDefault="008F0DB8" w:rsidP="00103094">
    <w:pPr>
      <w:pStyle w:val="Pis"/>
      <w:tabs>
        <w:tab w:val="clear" w:pos="4536"/>
      </w:tabs>
      <w:jc w:val="right"/>
      <w:rPr>
        <w:sz w:val="17"/>
        <w:szCs w:val="17"/>
      </w:rPr>
    </w:pPr>
    <w:r>
      <w:fldChar w:fldCharType="begin"/>
    </w:r>
    <w:r>
      <w:instrText xml:space="preserve"> PAGE   \* MERGEFORMAT </w:instrText>
    </w:r>
    <w:r>
      <w:fldChar w:fldCharType="separate"/>
    </w:r>
    <w:r>
      <w:rPr>
        <w:noProof/>
        <w:sz w:val="17"/>
        <w:szCs w:val="17"/>
      </w:rPr>
      <w:t>2</w:t>
    </w:r>
    <w:r>
      <w:rPr>
        <w:noProof/>
        <w:sz w:val="17"/>
        <w:szCs w:val="17"/>
      </w:rPr>
      <w:fldChar w:fldCharType="end"/>
    </w:r>
    <w:r>
      <w:rPr>
        <w:sz w:val="17"/>
        <w:szCs w:val="17"/>
      </w:rPr>
      <w:tab/>
    </w:r>
    <w:r w:rsidRPr="00103094">
      <w:rPr>
        <w:sz w:val="17"/>
        <w:szCs w:val="17"/>
      </w:rPr>
      <w:t>© 2012 OECD/FATF</w:t>
    </w:r>
  </w:p>
  <w:p w:rsidR="008F0DB8" w:rsidRDefault="008F0DB8">
    <w:pPr>
      <w:pStyle w:val="Jalu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8" w:rsidRPr="00103094" w:rsidRDefault="008F0DB8" w:rsidP="0032602A">
    <w:pPr>
      <w:pStyle w:val="Pis"/>
      <w:tabs>
        <w:tab w:val="clear" w:pos="4536"/>
      </w:tabs>
      <w:rPr>
        <w:sz w:val="17"/>
        <w:szCs w:val="17"/>
      </w:rPr>
    </w:pPr>
    <w:r w:rsidRPr="007709ED">
      <w:rPr>
        <w:sz w:val="17"/>
        <w:szCs w:val="17"/>
      </w:rPr>
      <w:t xml:space="preserve">Käesolev dokument on mitteametlik tõlge inglise keelest. Dokumendi kohaldamisel ilmnevate erinevate tõlgenduste puhul tuleb lähtuda FATFi ametlikust tekstist, mis on avaldatud alljärgneval veebilehel: </w:t>
    </w:r>
    <w:hyperlink r:id="rId1" w:history="1">
      <w:r w:rsidRPr="00EB1DA8">
        <w:rPr>
          <w:rStyle w:val="Hperlink"/>
          <w:sz w:val="17"/>
          <w:szCs w:val="17"/>
        </w:rPr>
        <w:t>http://www.fi.ee/public/aml/FATF_Recommendations_approved_February_2012_reprint_May_2012_web_version.pdf</w:t>
      </w:r>
    </w:hyperlink>
    <w:r w:rsidRPr="00103094">
      <w:rPr>
        <w:sz w:val="17"/>
        <w:szCs w:val="17"/>
      </w:rPr>
      <w:tab/>
    </w:r>
    <w:r>
      <w:fldChar w:fldCharType="begin"/>
    </w:r>
    <w:r>
      <w:instrText xml:space="preserve"> PAGE   \* MERGEFORMAT </w:instrText>
    </w:r>
    <w:r>
      <w:fldChar w:fldCharType="separate"/>
    </w:r>
    <w:r w:rsidR="003371E6" w:rsidRPr="003371E6">
      <w:rPr>
        <w:noProof/>
        <w:sz w:val="17"/>
        <w:szCs w:val="17"/>
      </w:rPr>
      <w:t>4</w:t>
    </w:r>
    <w:r>
      <w:rPr>
        <w:noProof/>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B0" w:rsidRDefault="007E66B0" w:rsidP="00103F5A">
      <w:pPr>
        <w:spacing w:line="240" w:lineRule="auto"/>
      </w:pPr>
      <w:r>
        <w:separator/>
      </w:r>
    </w:p>
  </w:footnote>
  <w:footnote w:type="continuationSeparator" w:id="0">
    <w:p w:rsidR="007E66B0" w:rsidRDefault="007E66B0" w:rsidP="00103F5A">
      <w:pPr>
        <w:spacing w:line="240" w:lineRule="auto"/>
      </w:pPr>
      <w:r>
        <w:continuationSeparator/>
      </w:r>
    </w:p>
  </w:footnote>
  <w:footnote w:id="1">
    <w:p w:rsidR="008F0DB8" w:rsidRDefault="008F0DB8" w:rsidP="00D032BE">
      <w:pPr>
        <w:pStyle w:val="Allmrkusetekst"/>
      </w:pPr>
      <w:r>
        <w:rPr>
          <w:rStyle w:val="Allmrkuseviide"/>
        </w:rPr>
        <w:footnoteRef/>
      </w:r>
      <w:r>
        <w:t xml:space="preserve"> Asjakohasel juhul tuleks selle kohustuse täidetuse hindamisel arvesse võtta riigiülesel tasandil tehtud rahapesu ja terrorismi rahastamise riskide hindamisi</w:t>
      </w:r>
      <w:r w:rsidRPr="00917A76">
        <w:t>.</w:t>
      </w:r>
    </w:p>
  </w:footnote>
  <w:footnote w:id="2">
    <w:p w:rsidR="008F0DB8" w:rsidRDefault="008F0DB8" w:rsidP="00D032BE">
      <w:pPr>
        <w:pStyle w:val="Allmrkusetekst"/>
      </w:pPr>
      <w:r>
        <w:rPr>
          <w:rStyle w:val="Allmrkuseviide"/>
        </w:rPr>
        <w:footnoteRef/>
      </w:r>
      <w:r>
        <w:t xml:space="preserve"> Füüsiline või juriidiline isik</w:t>
      </w:r>
      <w:r w:rsidRPr="008D279C">
        <w:t>.</w:t>
      </w:r>
    </w:p>
  </w:footnote>
  <w:footnote w:id="3">
    <w:p w:rsidR="008F0DB8" w:rsidRDefault="008F0DB8" w:rsidP="00D032BE">
      <w:pPr>
        <w:pStyle w:val="Allmrkusetekst"/>
      </w:pPr>
      <w:r>
        <w:rPr>
          <w:rStyle w:val="Allmrkuseviide"/>
        </w:rPr>
        <w:footnoteRef/>
      </w:r>
      <w:r>
        <w:t xml:space="preserve"> Soovitus 6 on kohaldatav kõikidele resolutsiooni 1267 (1999) praegustele ja tulevastele järgnevatele resolutsioonidele ning ÜRO Julgeolekunõukogu mis tahes tulevastele resolutsioonidele, millega kehtestatakse terrorismi rahastamise kontekstis sihtotstarbelised finantskaristused</w:t>
      </w:r>
      <w:r w:rsidRPr="008D279C">
        <w:t xml:space="preserve">. </w:t>
      </w:r>
      <w:r>
        <w:t>Käesoleva tõlgendava märkuse väljaandmise ajal (veebruar 2012) on resolutsioonile 1267 (1999) järgnevad resolutsioonid</w:t>
      </w:r>
      <w:r w:rsidRPr="008D279C">
        <w:t>: 1333 (2000), 1363 (2001), 1390 (2002), 1452 (2002), 1455 (2003), 1526 (2004), 1617 (2005), 1730 (2006), 1735 (2006), 1822 (2008), 1904 (2009), 1988 (2011)</w:t>
      </w:r>
      <w:r>
        <w:t xml:space="preserve"> ja</w:t>
      </w:r>
      <w:r w:rsidRPr="008D279C">
        <w:t xml:space="preserve"> 1989 (2011).</w:t>
      </w:r>
    </w:p>
  </w:footnote>
  <w:footnote w:id="4">
    <w:p w:rsidR="008F0DB8" w:rsidRDefault="008F0DB8" w:rsidP="00D032BE">
      <w:pPr>
        <w:pStyle w:val="Allmrkusetekst"/>
      </w:pPr>
      <w:r>
        <w:rPr>
          <w:rStyle w:val="Allmrkuseviide"/>
        </w:rPr>
        <w:footnoteRef/>
      </w:r>
      <w:r>
        <w:t xml:space="preserve"> Nt vastavalt nõuetele narkootiliste ja psühhotroopsete ainete ebaseadusliku ringluse vastases ÜRO konventsioonis (1988) (Viini konventsioon) ja rahvusvahelise organiseeritud kuritegevuse vastu võitlemise ÜRO konventsioonis (2000) (</w:t>
      </w:r>
      <w:proofErr w:type="spellStart"/>
      <w:r>
        <w:t>Palermo</w:t>
      </w:r>
      <w:proofErr w:type="spellEnd"/>
      <w:r>
        <w:t xml:space="preserve"> konventsioon), mis sisaldavad blokeerimise, arestimise ja konfiskeerimise kohustusi seoses rahvusvahelise kuritegevuse vastu võitlemisega</w:t>
      </w:r>
      <w:r w:rsidRPr="008D279C">
        <w:t xml:space="preserve">. </w:t>
      </w:r>
      <w:r>
        <w:t>Lisaks sisaldab terrorismi rahastamise tõkestamisega seotud blokeerimise, arestimise ja konfiskeerimise kohustusi rahvusvaheline konventsioon terrorismi rahastamise tõkestamiseks (1999) (edaspidi „terrorismi rahastamise tõkestamise konventsioon”)</w:t>
      </w:r>
      <w:r w:rsidRPr="008D279C">
        <w:t xml:space="preserve">. </w:t>
      </w:r>
      <w:r>
        <w:t>Need kohustused on olemas iseseisvalt ja eraldi soovituses 6 ja ÜRO Julgeolekunõukogu terrorismi rahastamist käsitlevates resolutsioonides sätestatud kohustustest</w:t>
      </w:r>
      <w:r w:rsidRPr="008D279C">
        <w:t>.</w:t>
      </w:r>
    </w:p>
  </w:footnote>
  <w:footnote w:id="5">
    <w:p w:rsidR="008F0DB8" w:rsidRDefault="008F0DB8" w:rsidP="00D032BE">
      <w:pPr>
        <w:pStyle w:val="Allmrkusetekst"/>
      </w:pPr>
      <w:r>
        <w:rPr>
          <w:rStyle w:val="Allmrkuseviide"/>
        </w:rPr>
        <w:footnoteRef/>
      </w:r>
      <w:r>
        <w:t xml:space="preserve"> Need Julgeolekukomitee resolutsioonid ei kohusta riike tuvastama isikuid või üksusi ja esitama neid asjaomastele ÜRO komiteedele, vaid kehtestama volitused ning tõhusad menetlused ja mehhanismid selle tegemiseks</w:t>
      </w:r>
      <w:r w:rsidRPr="000A14B2">
        <w:t>.</w:t>
      </w:r>
    </w:p>
  </w:footnote>
  <w:footnote w:id="6">
    <w:p w:rsidR="008F0DB8" w:rsidRDefault="008F0DB8" w:rsidP="00D032BE">
      <w:pPr>
        <w:pStyle w:val="Allmrkusetekst"/>
      </w:pPr>
      <w:r>
        <w:rPr>
          <w:rStyle w:val="Allmrkuseviide"/>
        </w:rPr>
        <w:footnoteRef/>
      </w:r>
      <w:r>
        <w:t xml:space="preserve"> Euroopa Liidus (EL), mis on soovituse 6 kohaselt rahvusvaheline jurisdiktsioon, kehtivad ELi õigusaktid järgmiselt</w:t>
      </w:r>
      <w:r w:rsidRPr="008747B9">
        <w:t xml:space="preserve">. </w:t>
      </w:r>
      <w:r>
        <w:t>Määratud isikute ja üksuste vara blokeeritakse vastavalt ELi määrustele ja nende muudatustele</w:t>
      </w:r>
      <w:r w:rsidRPr="008747B9">
        <w:t xml:space="preserve">. </w:t>
      </w:r>
      <w:r>
        <w:t>ELi liikmesriikidel võib olla vajalik rakendada täiendavaid meetmeid blokeerimise teostamiseks ning kõik ELis asuvad füüsilised ja juriidilised isikud peavad blokeeringust kinni pidama ja ei tohi vahendeid määratud isikutele ja üksustele kättesaadavaks teha</w:t>
      </w:r>
      <w:r w:rsidRPr="008747B9">
        <w:t>.</w:t>
      </w:r>
    </w:p>
  </w:footnote>
  <w:footnote w:id="7">
    <w:p w:rsidR="008F0DB8" w:rsidRDefault="008F0DB8" w:rsidP="00D032BE">
      <w:pPr>
        <w:pStyle w:val="Allmrkusetekst"/>
      </w:pPr>
      <w:r>
        <w:rPr>
          <w:rStyle w:val="Allmrkuseviide"/>
        </w:rPr>
        <w:footnoteRef/>
      </w:r>
      <w:r>
        <w:t xml:space="preserve"> Julgeolekunõukogu resolutsioonid kehtivad kõikide riigis asuvate füüsiliste ja juriidiliste isikute suhtes</w:t>
      </w:r>
      <w:r w:rsidRPr="008747B9">
        <w:t>.</w:t>
      </w:r>
    </w:p>
  </w:footnote>
  <w:footnote w:id="8">
    <w:p w:rsidR="008F0DB8" w:rsidRDefault="008F0DB8" w:rsidP="00D032BE">
      <w:pPr>
        <w:pStyle w:val="Allmrkusetekst"/>
      </w:pPr>
      <w:r>
        <w:rPr>
          <w:rStyle w:val="Allmrkuseviide"/>
        </w:rPr>
        <w:footnoteRef/>
      </w:r>
      <w:r>
        <w:t xml:space="preserve"> Soovitus 6 kehtib resolutsiooni 1267(1999) kõikide praeguste ja tulevaste järgnevate resolutsioonide suhtes</w:t>
      </w:r>
      <w:r w:rsidRPr="008747B9">
        <w:t xml:space="preserve">. </w:t>
      </w:r>
      <w:r>
        <w:t>Käesoleva tõlgendava märkuse väljaandmise ajal (veebruar 2012) on resolutsioonile 1267(1999) järgnevad resolutsioonid</w:t>
      </w:r>
      <w:r w:rsidRPr="008747B9">
        <w:t>: 1333 (2000), 1367 (2001), 1390 (2002), 1455 (2003), 1526 (2004), 1617 (2005), 1735 (2006), 1822 (2008), 1904 (2009), 1988 (2011)</w:t>
      </w:r>
      <w:r>
        <w:t xml:space="preserve"> ja</w:t>
      </w:r>
      <w:r w:rsidRPr="008747B9">
        <w:t xml:space="preserve"> 1989 (2011).</w:t>
      </w:r>
    </w:p>
  </w:footnote>
  <w:footnote w:id="9">
    <w:p w:rsidR="008F0DB8" w:rsidRDefault="008F0DB8" w:rsidP="00D032BE">
      <w:pPr>
        <w:pStyle w:val="Allmrkusetekst"/>
      </w:pPr>
      <w:r>
        <w:rPr>
          <w:rStyle w:val="Allmrkuseviide"/>
        </w:rPr>
        <w:footnoteRef/>
      </w:r>
      <w:r>
        <w:t xml:space="preserve"> </w:t>
      </w:r>
      <w:r w:rsidRPr="00605F7B">
        <w:t>Resolutsiooni 1617 (2005</w:t>
      </w:r>
      <w:r w:rsidRPr="008747B9">
        <w:t xml:space="preserve">) </w:t>
      </w:r>
      <w:r>
        <w:t xml:space="preserve">rakenduslõikes </w:t>
      </w:r>
      <w:r w:rsidRPr="00E079EA">
        <w:t>2</w:t>
      </w:r>
      <w:r>
        <w:t xml:space="preserve"> on täpsemalt määratletud </w:t>
      </w:r>
      <w:proofErr w:type="spellStart"/>
      <w:r>
        <w:t>Al-Qaida</w:t>
      </w:r>
      <w:proofErr w:type="spellEnd"/>
      <w:r>
        <w:t xml:space="preserve"> või </w:t>
      </w:r>
      <w:proofErr w:type="spellStart"/>
      <w:r>
        <w:t>Osama</w:t>
      </w:r>
      <w:proofErr w:type="spellEnd"/>
      <w:r>
        <w:t xml:space="preserve"> </w:t>
      </w:r>
      <w:proofErr w:type="spellStart"/>
      <w:r>
        <w:t>bin</w:t>
      </w:r>
      <w:proofErr w:type="spellEnd"/>
      <w:r>
        <w:t xml:space="preserve"> </w:t>
      </w:r>
      <w:proofErr w:type="spellStart"/>
      <w:r>
        <w:t>Ladeniga</w:t>
      </w:r>
      <w:proofErr w:type="spellEnd"/>
      <w:r>
        <w:t xml:space="preserve"> seotuse kriteeriumid.</w:t>
      </w:r>
    </w:p>
  </w:footnote>
  <w:footnote w:id="10">
    <w:p w:rsidR="008F0DB8" w:rsidRDefault="008F0DB8" w:rsidP="00D032BE">
      <w:pPr>
        <w:pStyle w:val="Allmrkusetekst"/>
      </w:pPr>
      <w:r>
        <w:rPr>
          <w:rStyle w:val="Allmrkuseviide"/>
        </w:rPr>
        <w:footnoteRef/>
      </w:r>
      <w:r>
        <w:t xml:space="preserve"> Soovituses </w:t>
      </w:r>
      <w:r w:rsidRPr="002E7E5C">
        <w:t xml:space="preserve">7 </w:t>
      </w:r>
      <w:r>
        <w:t>keskendutakse sihtotstarbelistele finantskaristustele</w:t>
      </w:r>
      <w:r w:rsidRPr="002E7E5C">
        <w:t xml:space="preserve">. </w:t>
      </w:r>
      <w:r>
        <w:t>Samas aga tuleb märkida, et ÜRO Julgeolekunõukogu asjaomased resolutsioonid on palju laiemad ning nendega nähakse ette ka muud liiki karistusi (nt reisikeeld) ja muud liiki finantskohustusi (nt tegevuspõhised finantskeelud ja valvsuskohustused)</w:t>
      </w:r>
      <w:r w:rsidRPr="002E7E5C">
        <w:t xml:space="preserve">. </w:t>
      </w:r>
      <w:r>
        <w:t>Seoses muud liiki finantskohustustega on FATF välja andnud mittesiduvad suunised, mida jurisdiktsioonidel soovitatakse kaaluda ÜRO Julgeolekunõukogu asjaomaste resolutsioonide rakendamisel</w:t>
      </w:r>
      <w:r w:rsidRPr="002E7E5C">
        <w:t xml:space="preserve">. </w:t>
      </w:r>
      <w:r>
        <w:t>Seoses massihävitusrelvade leviku rahastamisega seotud sihtotstarbeliste finantskaristustega on FATF samuti välja andnud mittesiduvaid suuniseid, mida jurisdiktsioonidel soovitatakse kaaluda ÜRO Julgeolekunõukogu asjaomaste resolutsioonide rakendamisel</w:t>
      </w:r>
      <w:r w:rsidRPr="002E7E5C">
        <w:t>.</w:t>
      </w:r>
    </w:p>
  </w:footnote>
  <w:footnote w:id="11">
    <w:p w:rsidR="008F0DB8" w:rsidRDefault="008F0DB8" w:rsidP="00D032BE">
      <w:pPr>
        <w:pStyle w:val="Allmrkusetekst"/>
      </w:pPr>
      <w:r>
        <w:rPr>
          <w:rStyle w:val="Allmrkuseviide"/>
        </w:rPr>
        <w:footnoteRef/>
      </w:r>
      <w:r>
        <w:t xml:space="preserve"> Füüsiline või juriidiline isik</w:t>
      </w:r>
      <w:r w:rsidRPr="002E7E5C">
        <w:t>.</w:t>
      </w:r>
    </w:p>
  </w:footnote>
  <w:footnote w:id="12">
    <w:p w:rsidR="008F0DB8" w:rsidRDefault="008F0DB8" w:rsidP="00D032BE">
      <w:pPr>
        <w:pStyle w:val="Allmrkusetekst"/>
      </w:pPr>
      <w:r>
        <w:rPr>
          <w:rStyle w:val="Allmrkuseviide"/>
        </w:rPr>
        <w:footnoteRef/>
      </w:r>
      <w:r>
        <w:t xml:space="preserve"> Soovitus 7 kehtib kõikide praeguste julgeolekunõukogu resolutsioonide ja neile järgnevate resolutsioonide ning mis tahes tulevaste Julgeolekunõukogu resolutsioonide suhtes, millega kohaldatakse sihtotstarbelisi finantskaristusi seoses massihävitusrelvade rahastamisega</w:t>
      </w:r>
      <w:r w:rsidRPr="002E7E5C">
        <w:t xml:space="preserve">. </w:t>
      </w:r>
      <w:r>
        <w:t>Käesoleva soovituse väljaandmise ajal (veebruar 2012) olid resolutsioonid, millega kohaldatakse sihtotstarbelisi finantskaristusi seoses massihävitusrelvade rahastamisega, järgmised</w:t>
      </w:r>
      <w:r w:rsidRPr="002E7E5C">
        <w:t>: 1718 (2006), 1737 (2006), 1747 (2007), 1803 (2008), 1874 (2009)</w:t>
      </w:r>
      <w:r>
        <w:t xml:space="preserve"> ja</w:t>
      </w:r>
      <w:r w:rsidRPr="002E7E5C">
        <w:t xml:space="preserve"> 1929 (2010).</w:t>
      </w:r>
    </w:p>
  </w:footnote>
  <w:footnote w:id="13">
    <w:p w:rsidR="008F0DB8" w:rsidRDefault="008F0DB8" w:rsidP="00D032BE">
      <w:pPr>
        <w:pStyle w:val="Allmrkusetekst"/>
      </w:pPr>
      <w:r>
        <w:rPr>
          <w:rStyle w:val="Allmrkuseviide"/>
        </w:rPr>
        <w:footnoteRef/>
      </w:r>
      <w:r>
        <w:t xml:space="preserve"> Näiteks tuumarelva leviku tõkestamise lepingus, bioloogiliste ja toksiinrelvade konventsioonis, keemiarelva keelustamise konventsioonis ja Julgeolekunõukogu resolutsioonis 1540 (2004) kehtestatud nõuete alusel</w:t>
      </w:r>
      <w:r w:rsidRPr="002E7E5C">
        <w:t xml:space="preserve">. </w:t>
      </w:r>
      <w:r>
        <w:t>Need kohustused on olemas iseseisvalt ja eraldi soovituses 7 ja selle tõlgendavas märkuses sätestatud kohustustest</w:t>
      </w:r>
      <w:r w:rsidRPr="002E7E5C">
        <w:t>.</w:t>
      </w:r>
    </w:p>
  </w:footnote>
  <w:footnote w:id="14">
    <w:p w:rsidR="008F0DB8" w:rsidRDefault="008F0DB8" w:rsidP="00D032BE">
      <w:pPr>
        <w:pStyle w:val="Allmrkusetekst"/>
      </w:pPr>
      <w:r>
        <w:rPr>
          <w:rStyle w:val="Allmrkuseviide"/>
        </w:rPr>
        <w:footnoteRef/>
      </w:r>
      <w:r>
        <w:t xml:space="preserve"> Soovitus 7 kehtib resolutsiooni 1718 (2006) kõikide praeguste ja tulevaste järgnevate resolutsioonide suhtes</w:t>
      </w:r>
      <w:r w:rsidRPr="002E7E5C">
        <w:t xml:space="preserve">. </w:t>
      </w:r>
      <w:r>
        <w:t>Käesoleva tõlgendava märkuse väljaandmise ajal (veebruar 2012) olid resolutsioonile 1718 (2006) järgnevad resolutsioonid järgmised</w:t>
      </w:r>
      <w:r w:rsidRPr="002E7E5C">
        <w:t>: 1874 (2009).</w:t>
      </w:r>
    </w:p>
  </w:footnote>
  <w:footnote w:id="15">
    <w:p w:rsidR="008F0DB8" w:rsidRDefault="008F0DB8" w:rsidP="00D032BE">
      <w:pPr>
        <w:pStyle w:val="Allmrkusetekst"/>
      </w:pPr>
      <w:r>
        <w:rPr>
          <w:rStyle w:val="Allmrkuseviide"/>
        </w:rPr>
        <w:footnoteRef/>
      </w:r>
      <w:r>
        <w:t xml:space="preserve"> Soovitus 7 kehtib resolutsiooni S/RES/1737(2006) kõikide praeguste ja tulevaste järgnevate resolutsioonide suhtes</w:t>
      </w:r>
      <w:r w:rsidRPr="002E7E5C">
        <w:t xml:space="preserve">. </w:t>
      </w:r>
      <w:r>
        <w:t>Käesoleva tõlgendava märkuse väljaandmise ajal (veebruar 2012) olid resolutsioonile 1737 (2006) järgnevad resolutsioonid järgmised</w:t>
      </w:r>
      <w:r w:rsidRPr="002E7E5C">
        <w:t>: 1747 (2007), 1803 (2008)</w:t>
      </w:r>
      <w:r>
        <w:t xml:space="preserve"> ja</w:t>
      </w:r>
      <w:r w:rsidRPr="002E7E5C">
        <w:t xml:space="preserve"> 1929 (2010).</w:t>
      </w:r>
    </w:p>
  </w:footnote>
  <w:footnote w:id="16">
    <w:p w:rsidR="008F0DB8" w:rsidRDefault="008F0DB8" w:rsidP="00D032BE">
      <w:pPr>
        <w:pStyle w:val="Allmrkusetekst"/>
      </w:pPr>
      <w:r>
        <w:rPr>
          <w:rStyle w:val="Allmrkuseviide"/>
        </w:rPr>
        <w:footnoteRef/>
      </w:r>
      <w:r>
        <w:t xml:space="preserve"> Euroopa Liidus (EL), mis on FATFi soovituse 7 kohaselt rahvusvaheline jurisdiktsioon, blokeeritakse määratud isikute ja üksuste vara vastavalt ELi määrustele ja nende muudatustele</w:t>
      </w:r>
      <w:r w:rsidRPr="008747B9">
        <w:t xml:space="preserve">. </w:t>
      </w:r>
      <w:r>
        <w:t>ELi liikmesriikidel võib olla vajalik rakendada täiendavaid meetmeid blokeerimise teostamiseks ning kõik ELis asuvad füüsilised ja juriidilised isikud peavad blokeeringust kinni pidama ja ei tohi vahendeid määratud isikutele ja üksustele kättesaadavaks teha</w:t>
      </w:r>
      <w:r w:rsidRPr="002E7E5C">
        <w:t>.</w:t>
      </w:r>
    </w:p>
  </w:footnote>
  <w:footnote w:id="17">
    <w:p w:rsidR="008F0DB8" w:rsidRDefault="008F0DB8" w:rsidP="00D032BE">
      <w:pPr>
        <w:pStyle w:val="Allmrkusetekst"/>
      </w:pPr>
      <w:r>
        <w:rPr>
          <w:rStyle w:val="Allmrkuseviide"/>
        </w:rPr>
        <w:footnoteRef/>
      </w:r>
      <w:r>
        <w:t xml:space="preserve"> Julgeolekunõukogu resolutsioonid kehtivad kõikide riigis asuvate füüsiliste ja juriidiliste isikute suhtes</w:t>
      </w:r>
      <w:r w:rsidRPr="002E7E5C">
        <w:t>.</w:t>
      </w:r>
    </w:p>
  </w:footnote>
  <w:footnote w:id="18">
    <w:p w:rsidR="008F0DB8" w:rsidRDefault="008F0DB8" w:rsidP="00D032BE">
      <w:pPr>
        <w:pStyle w:val="Allmrkusetekst"/>
      </w:pPr>
      <w:r>
        <w:rPr>
          <w:rStyle w:val="Allmrkuseviide"/>
        </w:rPr>
        <w:footnoteRef/>
      </w:r>
      <w:r>
        <w:t xml:space="preserve"> Olukordades, kus määratud isik või üksus on finantsasutus, peaksid jurisdiktsioonid arvesse võtma FATFi suuniseid, mis on välja antud 2007. aasta septembris vastu võetud massihävitusrelvade tõkestamist käsitlevate ÜRO Julgeolekunõukogu resolutsioonide finantssätete rakendamise juhendi lisana</w:t>
      </w:r>
      <w:r w:rsidRPr="002E7E5C">
        <w:t>.</w:t>
      </w:r>
    </w:p>
  </w:footnote>
  <w:footnote w:id="19">
    <w:p w:rsidR="008F0DB8" w:rsidRDefault="008F0DB8" w:rsidP="00D032BE">
      <w:pPr>
        <w:pStyle w:val="Allmrkusetekst"/>
      </w:pPr>
      <w:r>
        <w:rPr>
          <w:rStyle w:val="Allmrkuseviide"/>
        </w:rPr>
        <w:footnoteRef/>
      </w:r>
      <w:r>
        <w:t xml:space="preserve"> Nende isikute või üksuste vara blokeeritakse sõltumata sellest, kas komitee on nad eraldi tuvastanud</w:t>
      </w:r>
      <w:r w:rsidRPr="002E7E5C">
        <w:t>.</w:t>
      </w:r>
    </w:p>
  </w:footnote>
  <w:footnote w:id="20">
    <w:p w:rsidR="008F0DB8" w:rsidRDefault="008F0DB8" w:rsidP="00D032BE">
      <w:pPr>
        <w:pStyle w:val="Allmrkusetekst"/>
      </w:pPr>
      <w:r>
        <w:rPr>
          <w:rStyle w:val="Allmrkuseviide"/>
        </w:rPr>
        <w:footnoteRef/>
      </w:r>
      <w:r>
        <w:t xml:space="preserve"> Samas</w:t>
      </w:r>
      <w:r w:rsidRPr="002E7E5C">
        <w:t>.</w:t>
      </w:r>
    </w:p>
  </w:footnote>
  <w:footnote w:id="21">
    <w:p w:rsidR="008F0DB8" w:rsidRDefault="008F0DB8" w:rsidP="00D032BE">
      <w:pPr>
        <w:pStyle w:val="Allmrkusetekst"/>
      </w:pPr>
      <w:r>
        <w:rPr>
          <w:rStyle w:val="Allmrkuseviide"/>
        </w:rPr>
        <w:footnoteRef/>
      </w:r>
      <w:r>
        <w:t xml:space="preserve"> Samas</w:t>
      </w:r>
      <w:r w:rsidRPr="002E7E5C">
        <w:t>.</w:t>
      </w:r>
    </w:p>
  </w:footnote>
  <w:footnote w:id="22">
    <w:p w:rsidR="008F0DB8" w:rsidRDefault="008F0DB8" w:rsidP="00D032BE">
      <w:pPr>
        <w:pStyle w:val="Allmrkusetekst"/>
      </w:pPr>
      <w:r>
        <w:rPr>
          <w:rStyle w:val="Allmrkuseviide"/>
        </w:rPr>
        <w:footnoteRef/>
      </w:r>
      <w:r>
        <w:t xml:space="preserve"> </w:t>
      </w:r>
      <w:r>
        <w:rPr>
          <w:rFonts w:cs="Calibri"/>
        </w:rPr>
        <w:t>Sellist</w:t>
      </w:r>
      <w:r w:rsidRPr="0049236B">
        <w:rPr>
          <w:rFonts w:cs="Calibri"/>
        </w:rPr>
        <w:t xml:space="preserve"> teavet võivad anda nt seadusandjad, maksuametid, </w:t>
      </w:r>
      <w:r>
        <w:rPr>
          <w:rFonts w:cs="Calibri"/>
        </w:rPr>
        <w:t>Rahapesu andmebüroo</w:t>
      </w:r>
      <w:r w:rsidRPr="0049236B">
        <w:rPr>
          <w:rFonts w:cs="Calibri"/>
        </w:rPr>
        <w:t>d, muud asjaomased organisatsioonid või õiguskaitse- ja luureorganid.</w:t>
      </w:r>
    </w:p>
  </w:footnote>
  <w:footnote w:id="23">
    <w:p w:rsidR="008F0DB8" w:rsidRDefault="008F0DB8" w:rsidP="00D032BE">
      <w:pPr>
        <w:pStyle w:val="Allmrkusetekst"/>
      </w:pPr>
      <w:r>
        <w:rPr>
          <w:rStyle w:val="Allmrkuseviide"/>
        </w:rPr>
        <w:footnoteRef/>
      </w:r>
      <w:r>
        <w:t xml:space="preserve"> </w:t>
      </w:r>
      <w:r w:rsidRPr="000959F0">
        <w:rPr>
          <w:rFonts w:cs="Calibri"/>
        </w:rPr>
        <w:t xml:space="preserve">Litsentseerimise või registreerimise erinõudeid terrorismi rahastamise </w:t>
      </w:r>
      <w:r>
        <w:rPr>
          <w:rFonts w:cs="Calibri"/>
        </w:rPr>
        <w:t>tõkestamise</w:t>
      </w:r>
      <w:r w:rsidRPr="000959F0">
        <w:rPr>
          <w:rFonts w:cs="Calibri"/>
        </w:rPr>
        <w:t xml:space="preserve"> eesmärgil ei ole vajalik kehtestada. Mõnes riigis on mittetulundusühingud nt juba registreeritud maksuametis ja neid kontrollitakse seoses maksusoodustuste (maksu ümberarvutus või maksuvabastus) saamise õigusega.</w:t>
      </w:r>
    </w:p>
  </w:footnote>
  <w:footnote w:id="24">
    <w:p w:rsidR="008F0DB8" w:rsidRDefault="008F0DB8" w:rsidP="00D032BE">
      <w:pPr>
        <w:pStyle w:val="Allmrkusetekst"/>
      </w:pPr>
      <w:r>
        <w:rPr>
          <w:rStyle w:val="Allmrkuseviide"/>
        </w:rPr>
        <w:footnoteRef/>
      </w:r>
      <w:r>
        <w:t xml:space="preserve"> </w:t>
      </w:r>
      <w:r w:rsidRPr="00B86C6D">
        <w:rPr>
          <w:rFonts w:cs="Calibri"/>
        </w:rPr>
        <w:t>Siinses kontekstis võivad reeglid hõlmata ka isereguleeruvate organisatsioonide või akrediteerimisasutuste poolt kehtestatud reegleid ja standardeid.</w:t>
      </w:r>
    </w:p>
  </w:footnote>
  <w:footnote w:id="25">
    <w:p w:rsidR="008F0DB8" w:rsidRDefault="008F0DB8" w:rsidP="00D032BE">
      <w:pPr>
        <w:pStyle w:val="Allmrkusetekst"/>
      </w:pPr>
      <w:r>
        <w:rPr>
          <w:rStyle w:val="Allmrkuseviide"/>
        </w:rPr>
        <w:footnoteRef/>
      </w:r>
      <w:r>
        <w:t xml:space="preserve"> </w:t>
      </w:r>
      <w:r w:rsidRPr="008D0F52">
        <w:t xml:space="preserve">Selliste karistuste hulka võivad kuuluda </w:t>
      </w:r>
      <w:r>
        <w:t>kontode</w:t>
      </w:r>
      <w:r w:rsidRPr="008D0F52">
        <w:t xml:space="preserve"> blokeerimine, volinike ametist kõrvaldamine, trahvid, sertifikaadi, tegevusloa või registreerimise tühistamine. See ei tohiks välistada paralleelse tsiviil-, haldus- või kriminaalmenetluse algatamist mittetulundusühingute endi või vajaduse korral nende nimel tegutsevate isikute suhtes</w:t>
      </w:r>
      <w:r w:rsidRPr="005D1F05">
        <w:t>.</w:t>
      </w:r>
    </w:p>
  </w:footnote>
  <w:footnote w:id="26">
    <w:p w:rsidR="00BB6B8B" w:rsidRDefault="00BB6B8B" w:rsidP="00BB6B8B">
      <w:pPr>
        <w:pStyle w:val="Allmrkusetekst"/>
      </w:pPr>
      <w:r>
        <w:rPr>
          <w:rStyle w:val="Allmrkuseviide"/>
        </w:rPr>
        <w:footnoteRef/>
      </w:r>
      <w:r>
        <w:t xml:space="preserve"> </w:t>
      </w:r>
      <w:r w:rsidRPr="009D21B8">
        <w:rPr>
          <w:rFonts w:cs="Calibri"/>
        </w:rPr>
        <w:t>Usaldusväärseid, sõltumatuid algdokumente, -andmeid ja -teavet nimetatakse käesolevas dokumendis edaspidi „isikut tõendavateks andmeteks”.</w:t>
      </w:r>
    </w:p>
  </w:footnote>
  <w:footnote w:id="27">
    <w:p w:rsidR="008F0DB8" w:rsidRDefault="008F0DB8" w:rsidP="00D032BE">
      <w:pPr>
        <w:pStyle w:val="Allmrkusetekst"/>
      </w:pPr>
      <w:r>
        <w:rPr>
          <w:rStyle w:val="Allmrkuseviide"/>
        </w:rPr>
        <w:footnoteRef/>
      </w:r>
      <w:r>
        <w:t xml:space="preserve"> Käesolevates soovitustes tähendavad viited </w:t>
      </w:r>
      <w:r w:rsidR="00DB7D79">
        <w:t xml:space="preserve">lepingulistele </w:t>
      </w:r>
      <w:r>
        <w:t>õiguslikele üksustele nagu näiteks usaldusühingutele (või muudele sarnastele üksustele) kui finantsasutuste või mittefinantsteenuseid pakkuvate määratud ettevõtjate ja kutsetöötajate klientidele või tehingu teostajatele viiteid olukordadele, kus füüsilisest või juriidilisest isikust volinik sõlmib ärisuhte või teostab tehingu maksesaajate nimel või vastavalt usaldusühingu tingimustele</w:t>
      </w:r>
      <w:r w:rsidRPr="009D21B8">
        <w:t xml:space="preserve">. </w:t>
      </w:r>
      <w:r>
        <w:t>Neile kehtivad endiselt füüsilisest või juriidilisest isikust klientide suhtes kohaldatavad hoolsusmeetmed, sh soovituse 10 tõlgendava märkuse punkt 4, ent ka usaldusühingutele ja usaldusühingute tegelikele kasusaajatele (nagu määratletud) kehtestatud täiendavad nõuded</w:t>
      </w:r>
      <w:r w:rsidRPr="009D21B8">
        <w:t>.</w:t>
      </w:r>
    </w:p>
  </w:footnote>
  <w:footnote w:id="28">
    <w:p w:rsidR="008F0DB8" w:rsidRDefault="008F0DB8" w:rsidP="00D032BE">
      <w:pPr>
        <w:pStyle w:val="Allmrkusetekst"/>
      </w:pPr>
      <w:r>
        <w:rPr>
          <w:rStyle w:val="Allmrkuseviide"/>
        </w:rPr>
        <w:footnoteRef/>
      </w:r>
      <w:r>
        <w:t xml:space="preserve"> Isikusamasuse kontrollimise meetmete põhjendatuse üle otsustamisel tuleks arvesse võtta kliendist ja ärisuhtest tulenevaid rahapesu ja terrorismi rahastamise riske</w:t>
      </w:r>
      <w:r w:rsidRPr="00CB2CA3">
        <w:t>.</w:t>
      </w:r>
    </w:p>
  </w:footnote>
  <w:footnote w:id="29">
    <w:p w:rsidR="008F0DB8" w:rsidRDefault="008F0DB8" w:rsidP="00D032BE">
      <w:pPr>
        <w:pStyle w:val="Allmrkusetekst"/>
      </w:pPr>
      <w:r w:rsidRPr="00CB2CA3">
        <w:rPr>
          <w:rStyle w:val="Allmrkuseviide"/>
        </w:rPr>
        <w:footnoteRef/>
      </w:r>
      <w:r w:rsidRPr="00CB2CA3">
        <w:t xml:space="preserve"> </w:t>
      </w:r>
      <w:r>
        <w:t xml:space="preserve">Meetmed </w:t>
      </w:r>
      <w:proofErr w:type="spellStart"/>
      <w:r w:rsidRPr="00CB2CA3">
        <w:t>i.i</w:t>
      </w:r>
      <w:proofErr w:type="spellEnd"/>
      <w:r>
        <w:t xml:space="preserve">, </w:t>
      </w:r>
      <w:proofErr w:type="spellStart"/>
      <w:r>
        <w:t>i.ii</w:t>
      </w:r>
      <w:proofErr w:type="spellEnd"/>
      <w:r>
        <w:t xml:space="preserve"> ja</w:t>
      </w:r>
      <w:r w:rsidRPr="00CB2CA3">
        <w:t xml:space="preserve"> </w:t>
      </w:r>
      <w:proofErr w:type="spellStart"/>
      <w:r w:rsidRPr="00CB2CA3">
        <w:t>i.iii</w:t>
      </w:r>
      <w:proofErr w:type="spellEnd"/>
      <w:r w:rsidRPr="00CB2CA3">
        <w:t xml:space="preserve"> </w:t>
      </w:r>
      <w:r>
        <w:t>ei ole alternatiivsed võimalused, vaid järjestikused meetmed, millest igaühte rakendatakse siis, kui eelmise meetme rakendamisega ei suudetud tegelikku kasusaajat välja selgitada</w:t>
      </w:r>
      <w:r w:rsidRPr="00CB2CA3">
        <w:t>.</w:t>
      </w:r>
    </w:p>
  </w:footnote>
  <w:footnote w:id="30">
    <w:p w:rsidR="008F0DB8" w:rsidRDefault="008F0DB8" w:rsidP="00D032BE">
      <w:pPr>
        <w:pStyle w:val="Allmrkusetekst"/>
      </w:pPr>
      <w:r w:rsidRPr="00CB2CA3">
        <w:rPr>
          <w:rStyle w:val="Allmrkuseviide"/>
        </w:rPr>
        <w:footnoteRef/>
      </w:r>
      <w:r w:rsidRPr="00CB2CA3">
        <w:t xml:space="preserve"> </w:t>
      </w:r>
      <w:r>
        <w:t>Kontrolliv osalus sõltub ettevõtte omandistruktuurist. Selle aluseks võib olla teatav piirmäär, näiteks kui isikule kuulub teatav protsent ettevõttest (nt</w:t>
      </w:r>
      <w:r w:rsidRPr="00CB2CA3">
        <w:t xml:space="preserve"> 25%).</w:t>
      </w:r>
    </w:p>
  </w:footnote>
  <w:footnote w:id="31">
    <w:p w:rsidR="008F0DB8" w:rsidRDefault="008F0DB8" w:rsidP="00D032BE">
      <w:pPr>
        <w:pStyle w:val="Allmrkusetekst"/>
      </w:pPr>
      <w:r>
        <w:rPr>
          <w:rStyle w:val="Allmrkuseviide"/>
        </w:rPr>
        <w:footnoteRef/>
      </w:r>
      <w:r>
        <w:t xml:space="preserve"> Omaduste või liigi põhjal määratletud usaldusühingute maksesaajate kohta peaksid finantsasutused hankima piisavalt teavet, et olla kindel, et finantsasutus suudab maksesaaja tuvastada väljamakse tegemise ajal või kui maksesaaja kavatseb oma õigusi teostada</w:t>
      </w:r>
      <w:r w:rsidRPr="00AA7DBD">
        <w:t>.</w:t>
      </w:r>
    </w:p>
  </w:footnote>
  <w:footnote w:id="32">
    <w:p w:rsidR="008F0DB8" w:rsidRDefault="008F0DB8" w:rsidP="00D032BE">
      <w:pPr>
        <w:pStyle w:val="Allmrkusetekst"/>
      </w:pPr>
      <w:r>
        <w:rPr>
          <w:rStyle w:val="Allmrkuseviide"/>
        </w:rPr>
        <w:footnoteRef/>
      </w:r>
      <w:r>
        <w:t xml:space="preserve"> Siseriiklike nõuete jõustamise kuupäeva seisuga olemasolevad kliendid</w:t>
      </w:r>
      <w:r w:rsidRPr="00AA7DBD">
        <w:t>.</w:t>
      </w:r>
    </w:p>
  </w:footnote>
  <w:footnote w:id="33">
    <w:p w:rsidR="008F0DB8" w:rsidRDefault="008F0DB8" w:rsidP="00D032BE">
      <w:pPr>
        <w:pStyle w:val="Allmrkusetekst"/>
      </w:pPr>
      <w:r>
        <w:rPr>
          <w:rStyle w:val="Allmrkuseviide"/>
        </w:rPr>
        <w:footnoteRef/>
      </w:r>
      <w:r>
        <w:t xml:space="preserve"> Riskipõhist lähenemist ei kohaldata olukorras, kus hoolsusmeetmed on nõutavad, aga seda võidakse kasutada nende meetmete ulatuse kindlaksmääramiseks</w:t>
      </w:r>
      <w:r w:rsidRPr="00AA7DBD">
        <w:t>.</w:t>
      </w:r>
    </w:p>
  </w:footnote>
  <w:footnote w:id="34">
    <w:p w:rsidR="008F0DB8" w:rsidRDefault="008F0DB8" w:rsidP="00D032BE">
      <w:pPr>
        <w:pStyle w:val="Allmrkusetekst"/>
      </w:pPr>
      <w:r>
        <w:rPr>
          <w:rStyle w:val="Allmrkuseviide"/>
        </w:rPr>
        <w:footnoteRef/>
      </w:r>
      <w:r>
        <w:t xml:space="preserve"> Soovituse 19 kohaselt on riigid kohustatud nõudma finantsasutustelt tugevdatud hoolsusmeetmete rakendamist siis, kui FATF seda nõuab</w:t>
      </w:r>
      <w:r w:rsidRPr="00AA7DBD">
        <w:t>.</w:t>
      </w:r>
    </w:p>
  </w:footnote>
  <w:footnote w:id="35">
    <w:p w:rsidR="008F0DB8" w:rsidRDefault="008F0DB8" w:rsidP="00D032BE">
      <w:pPr>
        <w:pStyle w:val="Allmrkusetekst"/>
      </w:pPr>
      <w:r>
        <w:rPr>
          <w:rStyle w:val="Allmrkuseviide"/>
        </w:rPr>
        <w:footnoteRef/>
      </w:r>
      <w:r>
        <w:t xml:space="preserve"> Kliendi identifitseerimisnumber on number, millega ülekande algataja finantsasutus ülekande algataja kordumatult tuvastab, ning see number erineb lõikes 7 viidatud kordumatust tehingutunnusest</w:t>
      </w:r>
      <w:r w:rsidRPr="00494CDD">
        <w:t xml:space="preserve">. </w:t>
      </w:r>
      <w:r>
        <w:t>Kliendi identifitseerimisnumber peab olema seotud ülekande algataja finantsasutuse säilitatavate andmetega, mis sisaldavad vähemalt ühte järgmistest</w:t>
      </w:r>
      <w:r w:rsidRPr="00494CDD">
        <w:t xml:space="preserve">: </w:t>
      </w:r>
      <w:r>
        <w:t>kliendi aadress, riiklik isikukood või sünnikuupäev ja -koht</w:t>
      </w:r>
      <w:r w:rsidRPr="00494CDD">
        <w:t>.</w:t>
      </w:r>
    </w:p>
  </w:footnote>
  <w:footnote w:id="36">
    <w:p w:rsidR="008F0DB8" w:rsidRDefault="008F0DB8" w:rsidP="00D07855">
      <w:pPr>
        <w:pStyle w:val="Allmrkusetekst"/>
      </w:pPr>
      <w:r>
        <w:rPr>
          <w:rStyle w:val="Allmrkuseviide"/>
        </w:rPr>
        <w:footnoteRef/>
      </w:r>
      <w:r>
        <w:t xml:space="preserve"> Siinkohal teadvustatakse, et elektrooniliste ülekannete arveldamine võib toimuda netoarvelduse korras</w:t>
      </w:r>
      <w:r w:rsidRPr="00494CDD">
        <w:t xml:space="preserve">. </w:t>
      </w:r>
      <w:r>
        <w:t>Käesolevas tõlgendavad märkuses viidatakse teabele, mis peab olema sisalduma juhtnöörides, mille ülekannet teostav finantsasutus saadab maksasaaja finantsasutusele, k.a vahendava finantsasutuse kaudu, et võimaldada rahaliste vahendite väljamaksmist makse saajale</w:t>
      </w:r>
      <w:r w:rsidRPr="00494CDD">
        <w:t xml:space="preserve">. </w:t>
      </w:r>
      <w:r>
        <w:t>Finantsasutuste vahelised netoarveldused võivad lõike 4 punkti b kohaselt olla erandid</w:t>
      </w:r>
      <w:r w:rsidRPr="00494CDD">
        <w:t>.</w:t>
      </w:r>
    </w:p>
  </w:footnote>
  <w:footnote w:id="37">
    <w:p w:rsidR="008F0DB8" w:rsidRDefault="008F0DB8" w:rsidP="00D032BE">
      <w:pPr>
        <w:pStyle w:val="Allmrkusetekst"/>
      </w:pPr>
      <w:r>
        <w:rPr>
          <w:rStyle w:val="Allmrkuseviide"/>
        </w:rPr>
        <w:footnoteRef/>
      </w:r>
      <w:r>
        <w:t xml:space="preserve"> Üksus võib esitada FATFile taotluse enda määratlemiseks rahvusvahelise jurisdiktsioonina ainult soovituse 16 järgimise hindamise eesmärgil</w:t>
      </w:r>
      <w:r w:rsidRPr="00494CDD">
        <w:t>.</w:t>
      </w:r>
    </w:p>
  </w:footnote>
  <w:footnote w:id="38">
    <w:p w:rsidR="008F0DB8" w:rsidRDefault="008F0DB8" w:rsidP="00D032BE">
      <w:pPr>
        <w:pStyle w:val="Allmrkusetekst"/>
      </w:pPr>
      <w:r>
        <w:rPr>
          <w:rStyle w:val="Allmrkuseviide"/>
        </w:rPr>
        <w:footnoteRef/>
      </w:r>
      <w:r>
        <w:t xml:space="preserve"> Juriidiliste isikute asutamine hõlmab ettevõtete asutamist ja muid kasutatavaid juriidiliste isikute moodustamise mehhanisme</w:t>
      </w:r>
      <w:r w:rsidRPr="00DA09C7">
        <w:t>.</w:t>
      </w:r>
    </w:p>
  </w:footnote>
  <w:footnote w:id="39">
    <w:p w:rsidR="008F0DB8" w:rsidRDefault="008F0DB8" w:rsidP="00D032BE">
      <w:pPr>
        <w:pStyle w:val="Allmrkusetekst"/>
      </w:pPr>
      <w:r>
        <w:rPr>
          <w:rStyle w:val="Allmrkuseviide"/>
        </w:rPr>
        <w:footnoteRef/>
      </w:r>
      <w:r>
        <w:t xml:space="preserve"> Juriidiliste isikute tegelike kasusaajate andmed hõlmavad soovituse 10 tõlgendava märkuse lõike 5 punkti b alapunktis i kirjeldatud teavet</w:t>
      </w:r>
      <w:r w:rsidRPr="00DA09C7">
        <w:t xml:space="preserve">. </w:t>
      </w:r>
      <w:r>
        <w:t>Soovituse 10 tõlgendava märkuse lõike 5 punkti b alapunktis i nimetatud kontrolliv osalus võib põhineda teataval piirmääral, nt ettevõttes teatud protsendist suurema osaluse omamine (nt 25%)</w:t>
      </w:r>
      <w:r w:rsidRPr="00DA09C7">
        <w:t>.</w:t>
      </w:r>
    </w:p>
  </w:footnote>
  <w:footnote w:id="40">
    <w:p w:rsidR="008F0DB8" w:rsidRDefault="008F0DB8" w:rsidP="00D032BE">
      <w:pPr>
        <w:pStyle w:val="Allmrkusetekst"/>
      </w:pPr>
      <w:r>
        <w:rPr>
          <w:rStyle w:val="Allmrkuseviide"/>
        </w:rPr>
        <w:footnoteRef/>
      </w:r>
      <w:r>
        <w:t xml:space="preserve"> „Ettevõtete register” on register, mille riik on loonud selles riigis asutatud või litsentseeritud ettevõtete kohta ning mille pidajaks on tavaliselt ettevõtete asutamisega tegelev ametiasutus või tema nimel tegutsev organ</w:t>
      </w:r>
      <w:r w:rsidRPr="00DA09C7">
        <w:t xml:space="preserve">. </w:t>
      </w:r>
      <w:r>
        <w:t>See ei hõlma ettevõtte valduses olevat või ettevõtte jaoks säilitatavat teavet</w:t>
      </w:r>
      <w:r w:rsidRPr="00DA09C7">
        <w:t>.</w:t>
      </w:r>
    </w:p>
  </w:footnote>
  <w:footnote w:id="41">
    <w:p w:rsidR="008F0DB8" w:rsidRDefault="008F0DB8" w:rsidP="00D032BE">
      <w:pPr>
        <w:pStyle w:val="Allmrkusetekst"/>
      </w:pPr>
      <w:r>
        <w:rPr>
          <w:rStyle w:val="Allmrkuseviide"/>
        </w:rPr>
        <w:footnoteRef/>
      </w:r>
      <w:r>
        <w:t xml:space="preserve"> Seda teavet võib säilitada ettevõte ise või kolmas isik ettevõtte volitusel</w:t>
      </w:r>
      <w:r w:rsidRPr="00DA09C7">
        <w:t>.</w:t>
      </w:r>
    </w:p>
  </w:footnote>
  <w:footnote w:id="42">
    <w:p w:rsidR="008F0DB8" w:rsidRDefault="008F0DB8" w:rsidP="00D032BE">
      <w:pPr>
        <w:pStyle w:val="Allmrkusetekst"/>
      </w:pPr>
      <w:r>
        <w:rPr>
          <w:rStyle w:val="Allmrkuseviide"/>
        </w:rPr>
        <w:footnoteRef/>
      </w:r>
      <w:r>
        <w:t xml:space="preserve"> See kehtib kõikide registreeritud aktsiate põhikirjajärgse omaniku suhtes</w:t>
      </w:r>
      <w:r w:rsidRPr="00DA09C7">
        <w:t>.</w:t>
      </w:r>
    </w:p>
  </w:footnote>
  <w:footnote w:id="43">
    <w:p w:rsidR="008F0DB8" w:rsidRDefault="008F0DB8" w:rsidP="00D032BE">
      <w:pPr>
        <w:pStyle w:val="Allmrkusetekst"/>
      </w:pPr>
      <w:r>
        <w:rPr>
          <w:rStyle w:val="Allmrkuseviide"/>
        </w:rPr>
        <w:footnoteRef/>
      </w:r>
      <w:r>
        <w:t xml:space="preserve"> Võetavad meetmed peaksid olema proportsionaalsed riskiastmega või ettevõtte omandistruktuurist tuleneva keerukusega või kontrollivate omanike olemusega</w:t>
      </w:r>
      <w:r w:rsidRPr="00DA09C7">
        <w:t>.</w:t>
      </w:r>
    </w:p>
  </w:footnote>
  <w:footnote w:id="44">
    <w:p w:rsidR="008F0DB8" w:rsidRDefault="008F0DB8" w:rsidP="00D032BE">
      <w:pPr>
        <w:pStyle w:val="Allmrkusetekst"/>
      </w:pPr>
      <w:r>
        <w:rPr>
          <w:rStyle w:val="Allmrkuseviide"/>
        </w:rPr>
        <w:footnoteRef/>
      </w:r>
      <w:r>
        <w:t xml:space="preserve"> Riigid peaksid olema suutelised õigel ajal kindlaks tegema, kas ettevõttel on riigis asuvates finantsasutustel kontosid</w:t>
      </w:r>
      <w:r w:rsidRPr="00DA09C7">
        <w:t>.</w:t>
      </w:r>
    </w:p>
  </w:footnote>
  <w:footnote w:id="45">
    <w:p w:rsidR="008F0DB8" w:rsidRDefault="008F0DB8" w:rsidP="00D032BE">
      <w:pPr>
        <w:pStyle w:val="Allmrkusetekst"/>
      </w:pPr>
      <w:r w:rsidRPr="00E079EA">
        <w:rPr>
          <w:rStyle w:val="Allmrkuseviide"/>
        </w:rPr>
        <w:footnoteRef/>
      </w:r>
      <w:r w:rsidRPr="00E079EA">
        <w:t xml:space="preserve"> </w:t>
      </w:r>
      <w:r>
        <w:rPr>
          <w:rFonts w:ascii="Cambria" w:hAnsi="Cambria"/>
          <w:sz w:val="16"/>
          <w:szCs w:val="16"/>
        </w:rPr>
        <w:t xml:space="preserve">Ettevõtete juhatuse või </w:t>
      </w:r>
      <w:r w:rsidRPr="006043CB">
        <w:rPr>
          <w:rFonts w:ascii="Cambria" w:hAnsi="Cambria"/>
          <w:sz w:val="16"/>
          <w:szCs w:val="16"/>
        </w:rPr>
        <w:t>juhtkonna liikmed ei pruugi vajada selleks ettevõttelt eraldi volitust.</w:t>
      </w:r>
      <w:r>
        <w:rPr>
          <w:rFonts w:ascii="Cambria" w:hAnsi="Cambria"/>
          <w:sz w:val="16"/>
          <w:szCs w:val="16"/>
        </w:rPr>
        <w:t xml:space="preserve"> </w:t>
      </w:r>
    </w:p>
  </w:footnote>
  <w:footnote w:id="46">
    <w:p w:rsidR="008F0DB8" w:rsidRDefault="008F0DB8" w:rsidP="00D032BE">
      <w:pPr>
        <w:pStyle w:val="Allmrkusetekst"/>
      </w:pPr>
      <w:r>
        <w:rPr>
          <w:rStyle w:val="Allmrkuseviide"/>
        </w:rPr>
        <w:footnoteRef/>
      </w:r>
      <w:r>
        <w:t xml:space="preserve"> Siseriiklikud pädevad asutused või teise riigi asjaomased pädevad asutused rahvusvahelise koostöö taotluse alusel</w:t>
      </w:r>
      <w:r w:rsidRPr="000A4F8D">
        <w:t>.</w:t>
      </w:r>
    </w:p>
  </w:footnote>
  <w:footnote w:id="47">
    <w:p w:rsidR="008F0DB8" w:rsidRDefault="008F0DB8" w:rsidP="00D032BE">
      <w:pPr>
        <w:pStyle w:val="Allmrkusetekst"/>
      </w:pPr>
      <w:r>
        <w:rPr>
          <w:rStyle w:val="Allmrkuseviide"/>
        </w:rPr>
        <w:footnoteRef/>
      </w:r>
      <w:r>
        <w:t xml:space="preserve"> See ei mõjuta soovitustes sätestatud muude nõuete mittetäitmise eest tõhusate, proportsionaalsete ja hoiatavate karistuste kehtestamise kohustust</w:t>
      </w:r>
      <w:r w:rsidRPr="000A4F8D">
        <w:t>.</w:t>
      </w:r>
    </w:p>
  </w:footnote>
  <w:footnote w:id="48">
    <w:p w:rsidR="008F0DB8" w:rsidRDefault="008F0DB8" w:rsidP="00D032BE">
      <w:pPr>
        <w:pStyle w:val="Allmrkusetekst"/>
      </w:pPr>
      <w:r>
        <w:rPr>
          <w:rStyle w:val="Allmrkuseviide"/>
        </w:rPr>
        <w:footnoteRef/>
      </w:r>
      <w:r>
        <w:t xml:space="preserve"> Teavet võib avaldada, kui see on nõutav koostöötaotluse täitmiseks</w:t>
      </w:r>
      <w:r w:rsidRPr="000E1951">
        <w:t>.</w:t>
      </w:r>
    </w:p>
  </w:footnote>
  <w:footnote w:id="49">
    <w:p w:rsidR="008F0DB8" w:rsidRDefault="008F0DB8" w:rsidP="00D032BE">
      <w:pPr>
        <w:pStyle w:val="Allmrkusetekst"/>
      </w:pPr>
      <w:r>
        <w:rPr>
          <w:rStyle w:val="Allmrkuseviide"/>
        </w:rPr>
        <w:footnoteRef/>
      </w:r>
      <w:r>
        <w:t xml:space="preserve"> Siin peetakse silmas finantsjärelevalveasutusi, mis on pädevad asutused</w:t>
      </w:r>
      <w:r w:rsidRPr="000E1951">
        <w:t>.</w:t>
      </w:r>
    </w:p>
  </w:footnote>
  <w:footnote w:id="50">
    <w:p w:rsidR="008F0DB8" w:rsidRPr="007C4C4D" w:rsidRDefault="008F0DB8" w:rsidP="002109CD">
      <w:pPr>
        <w:pStyle w:val="Allmrkusetekst"/>
        <w:rPr>
          <w:rFonts w:cstheme="minorHAnsi"/>
        </w:rPr>
      </w:pPr>
      <w:r>
        <w:rPr>
          <w:rStyle w:val="Allmrkuseviide"/>
        </w:rPr>
        <w:footnoteRef/>
      </w:r>
      <w:r>
        <w:t xml:space="preserve"> </w:t>
      </w:r>
      <w:r w:rsidRPr="007C4C4D">
        <w:rPr>
          <w:rFonts w:cstheme="minorHAnsi"/>
        </w:rPr>
        <w:t>Mõiste hõlmab ka privaatpangandust.</w:t>
      </w:r>
    </w:p>
  </w:footnote>
  <w:footnote w:id="51">
    <w:p w:rsidR="008F0DB8" w:rsidRPr="007C4C4D" w:rsidRDefault="008F0DB8" w:rsidP="002109CD">
      <w:pPr>
        <w:pStyle w:val="Allmrkusetekst"/>
        <w:rPr>
          <w:rFonts w:cstheme="minorHAnsi"/>
        </w:rPr>
      </w:pPr>
      <w:r w:rsidRPr="007C4C4D">
        <w:rPr>
          <w:rStyle w:val="Allmrkuseviide"/>
          <w:rFonts w:cstheme="minorHAnsi"/>
        </w:rPr>
        <w:footnoteRef/>
      </w:r>
      <w:r w:rsidRPr="007C4C4D">
        <w:rPr>
          <w:rFonts w:cstheme="minorHAnsi"/>
        </w:rPr>
        <w:t xml:space="preserve"> Mõiste hõlmab muu</w:t>
      </w:r>
      <w:r>
        <w:rPr>
          <w:rFonts w:cstheme="minorHAnsi"/>
        </w:rPr>
        <w:t xml:space="preserve"> </w:t>
      </w:r>
      <w:r w:rsidRPr="007C4C4D">
        <w:rPr>
          <w:rFonts w:cstheme="minorHAnsi"/>
        </w:rPr>
        <w:t>hulgas: tarbijakrediit, hüpoteeklaenud, regressiõigusega või ilma regressiõiguseta faktooring ning äritehingute finantseerimine (sh võlamüügilepingute sõlmimine (</w:t>
      </w:r>
      <w:proofErr w:type="spellStart"/>
      <w:r w:rsidRPr="007C4C4D">
        <w:rPr>
          <w:rFonts w:cstheme="minorHAnsi"/>
          <w:i/>
          <w:iCs/>
        </w:rPr>
        <w:t>forfeiting</w:t>
      </w:r>
      <w:proofErr w:type="spellEnd"/>
      <w:r w:rsidRPr="007C4C4D">
        <w:rPr>
          <w:rFonts w:cstheme="minorHAnsi"/>
        </w:rPr>
        <w:t>)).</w:t>
      </w:r>
    </w:p>
  </w:footnote>
  <w:footnote w:id="52">
    <w:p w:rsidR="008F0DB8" w:rsidRPr="007C4C4D" w:rsidRDefault="008F0DB8" w:rsidP="002109CD">
      <w:pPr>
        <w:pStyle w:val="Allmrkusetekst"/>
        <w:rPr>
          <w:rFonts w:cstheme="minorHAnsi"/>
        </w:rPr>
      </w:pPr>
      <w:r w:rsidRPr="007C4C4D">
        <w:rPr>
          <w:rStyle w:val="Allmrkuseviide"/>
          <w:rFonts w:cstheme="minorHAnsi"/>
        </w:rPr>
        <w:footnoteRef/>
      </w:r>
      <w:r w:rsidRPr="007C4C4D">
        <w:rPr>
          <w:rFonts w:cstheme="minorHAnsi"/>
        </w:rPr>
        <w:t xml:space="preserve"> Mõiste ei hõlma tarbekaupade kapitalirenti.</w:t>
      </w:r>
    </w:p>
  </w:footnote>
  <w:footnote w:id="53">
    <w:p w:rsidR="008F0DB8" w:rsidRDefault="008F0DB8" w:rsidP="002109CD">
      <w:pPr>
        <w:pStyle w:val="Allmrkusetekst"/>
      </w:pPr>
      <w:r w:rsidRPr="007C4C4D">
        <w:rPr>
          <w:rStyle w:val="Allmrkuseviide"/>
          <w:rFonts w:cstheme="minorHAnsi"/>
        </w:rPr>
        <w:footnoteRef/>
      </w:r>
      <w:r w:rsidRPr="007C4C4D">
        <w:rPr>
          <w:rFonts w:cstheme="minorHAnsi"/>
        </w:rPr>
        <w:t xml:space="preserve"> See ei kehti füüsiliste ja juriidiliste isikute kohta, kes pakuvad </w:t>
      </w:r>
      <w:r>
        <w:rPr>
          <w:rFonts w:cstheme="minorHAnsi"/>
        </w:rPr>
        <w:t>finantsasutus</w:t>
      </w:r>
      <w:r w:rsidRPr="007C4C4D">
        <w:rPr>
          <w:rFonts w:cstheme="minorHAnsi"/>
        </w:rPr>
        <w:t>tele sõnumi- või muid tugisüsteeme üksnes rahaülekanneteks. Vt soovituse 16 tõlgendavat märkust.</w:t>
      </w:r>
    </w:p>
  </w:footnote>
  <w:footnote w:id="54">
    <w:p w:rsidR="008F0DB8" w:rsidRDefault="008F0DB8" w:rsidP="002109CD">
      <w:pPr>
        <w:pStyle w:val="Allmrkusetekst"/>
      </w:pPr>
      <w:r>
        <w:rPr>
          <w:rStyle w:val="Allmrkuseviide"/>
        </w:rPr>
        <w:footnoteRef/>
      </w:r>
      <w:r>
        <w:t xml:space="preserve"> </w:t>
      </w:r>
      <w:r w:rsidRPr="002D1432">
        <w:rPr>
          <w:rFonts w:cstheme="minorHAnsi"/>
        </w:rPr>
        <w:t>See kehtib nii kindlustusseltside kui kindlustusvahendajate kohta (kindlustusagendid ja -maaklerid).</w:t>
      </w:r>
    </w:p>
  </w:footnote>
  <w:footnote w:id="55">
    <w:p w:rsidR="008F0DB8" w:rsidRDefault="008F0DB8" w:rsidP="00607058">
      <w:pPr>
        <w:pStyle w:val="Allmrkusetekst"/>
      </w:pPr>
      <w:r>
        <w:rPr>
          <w:rStyle w:val="Allmrkuseviide"/>
        </w:rPr>
        <w:footnoteRef/>
      </w:r>
      <w:r>
        <w:t xml:space="preserve"> See hõlmab põhiprintsiipe kohaldavaid järelevalveasutusi, kes teostavad FATFi soovituste rakendamisega seotud järelevalvet</w:t>
      </w:r>
      <w:r w:rsidRPr="00A650A5">
        <w:t>.</w:t>
      </w:r>
    </w:p>
  </w:footnote>
  <w:footnote w:id="56">
    <w:p w:rsidR="00DB7D79" w:rsidRDefault="00DB7D79" w:rsidP="00A228A0">
      <w:pPr>
        <w:pStyle w:val="Allmrkusetekst"/>
      </w:pPr>
      <w:r>
        <w:rPr>
          <w:rStyle w:val="Allmrkuseviide"/>
        </w:rPr>
        <w:footnoteRef/>
      </w:r>
      <w:r>
        <w:t xml:space="preserve"> FATFi standardites tähendab „kasiinod</w:t>
      </w:r>
      <w:r w:rsidRPr="007D41C3">
        <w:rPr>
          <w:rFonts w:ascii="Cambria" w:hAnsi="Cambria"/>
          <w:szCs w:val="24"/>
        </w:rPr>
        <w:t>”</w:t>
      </w:r>
      <w:r>
        <w:t xml:space="preserve"> läbivalt ka internetikasiinosid ja laevadel asuvaid kasiinosid</w:t>
      </w:r>
      <w:r w:rsidRPr="002B301F">
        <w:t>.</w:t>
      </w:r>
    </w:p>
  </w:footnote>
  <w:footnote w:id="57">
    <w:p w:rsidR="00DB7D79" w:rsidRDefault="00DB7D79" w:rsidP="002109CD">
      <w:pPr>
        <w:pStyle w:val="Allmrkusetekst"/>
      </w:pPr>
      <w:r>
        <w:rPr>
          <w:rStyle w:val="Allmrkuseviide"/>
        </w:rPr>
        <w:footnoteRef/>
      </w:r>
      <w:r>
        <w:t xml:space="preserve"> Füüsiline või juriidiline isik.</w:t>
      </w:r>
    </w:p>
  </w:footnote>
  <w:footnote w:id="58">
    <w:p w:rsidR="008F0DB8" w:rsidRDefault="008F0DB8" w:rsidP="00D032BE">
      <w:pPr>
        <w:pStyle w:val="Allmrkusetekst"/>
      </w:pPr>
      <w:r>
        <w:rPr>
          <w:rStyle w:val="Allmrkuseviide"/>
        </w:rPr>
        <w:footnoteRef/>
      </w:r>
      <w:r>
        <w:t xml:space="preserve"> See hõlmab finantsjärelevalveasutusi, mis on asutatud seaduslike volitustega sõltumatute valitsusväliste asutustena</w:t>
      </w:r>
      <w:r w:rsidRPr="002B301F">
        <w:t>.</w:t>
      </w:r>
    </w:p>
  </w:footnote>
  <w:footnote w:id="59">
    <w:p w:rsidR="008F0DB8" w:rsidRDefault="008F0DB8" w:rsidP="000B3C4C">
      <w:pPr>
        <w:pStyle w:val="Allmrkusetekst"/>
      </w:pPr>
      <w:r>
        <w:rPr>
          <w:rStyle w:val="Allmrkuseviide"/>
        </w:rPr>
        <w:footnoteRef/>
      </w:r>
      <w:r>
        <w:t xml:space="preserve"> See mõista peaks hõlmama ka makse saaja tegelikku kasusaajat elukindlustuspoliisi või investeeringuga seotud kindlustuspoliisi alusel</w:t>
      </w:r>
      <w:r w:rsidRPr="000E1951">
        <w:t>.</w:t>
      </w:r>
    </w:p>
  </w:footnote>
  <w:footnote w:id="60">
    <w:p w:rsidR="008F0DB8" w:rsidRDefault="008F0DB8" w:rsidP="000B3C4C">
      <w:pPr>
        <w:pStyle w:val="Allmrkusetekst"/>
      </w:pPr>
      <w:r>
        <w:rPr>
          <w:rStyle w:val="Allmrkuseviide"/>
        </w:rPr>
        <w:footnoteRef/>
      </w:r>
      <w:r>
        <w:t xml:space="preserve"> „Lõplik omanik või lõplikult kontrolliv isik” ja „lõplik kontroll” tähendavad olukordi, kus omandiõiguste/kontrolli teostamine toimub omandiahela kaudu või muude kontrollivahendite kaudu peale otsese kontrolli</w:t>
      </w:r>
      <w:r w:rsidRPr="000E1951">
        <w:t>.</w:t>
      </w:r>
    </w:p>
  </w:footnote>
  <w:footnote w:id="61">
    <w:p w:rsidR="008F0DB8" w:rsidRDefault="008F0DB8" w:rsidP="00F86AA1">
      <w:pPr>
        <w:pStyle w:val="Allmrkusetekst"/>
      </w:pPr>
      <w:r>
        <w:rPr>
          <w:rStyle w:val="Allmrkuseviide"/>
        </w:rPr>
        <w:footnoteRef/>
      </w:r>
      <w:r>
        <w:t xml:space="preserve"> Haagi konventsiooni artiklis 2 on sätestatud:</w:t>
      </w:r>
    </w:p>
    <w:p w:rsidR="008F0DB8" w:rsidRPr="00117FC3" w:rsidRDefault="008F0DB8" w:rsidP="00F86AA1">
      <w:pPr>
        <w:pStyle w:val="Allmrkusetekst"/>
        <w:rPr>
          <w:i/>
        </w:rPr>
      </w:pPr>
      <w:r>
        <w:rPr>
          <w:i/>
        </w:rPr>
        <w:t>Käesoleva konventsiooni kontekstis tähendab „usaldusfond” isiku ehk asutaja poolt eluajal või surma korral loodud õiguslikku suhet, mille raames varad antakse soodustatud isiku kasuks või teataval kindlal eesmärgil voliniku kontrolli alla</w:t>
      </w:r>
      <w:r w:rsidRPr="00117FC3">
        <w:rPr>
          <w:i/>
        </w:rPr>
        <w:t>.</w:t>
      </w:r>
    </w:p>
    <w:p w:rsidR="008F0DB8" w:rsidRPr="00117FC3" w:rsidRDefault="008F0DB8" w:rsidP="00F86AA1">
      <w:pPr>
        <w:pStyle w:val="Allmrkusetekst"/>
        <w:rPr>
          <w:i/>
        </w:rPr>
      </w:pPr>
      <w:r>
        <w:rPr>
          <w:i/>
        </w:rPr>
        <w:t>Usaldusfondi iseloomulikud jooned on järgmised:</w:t>
      </w:r>
    </w:p>
    <w:p w:rsidR="008F0DB8" w:rsidRPr="00117FC3" w:rsidRDefault="008F0DB8" w:rsidP="00F86AA1">
      <w:pPr>
        <w:pStyle w:val="Allmrkusetekst"/>
        <w:numPr>
          <w:ilvl w:val="0"/>
          <w:numId w:val="12"/>
        </w:numPr>
        <w:ind w:left="284" w:hanging="284"/>
        <w:rPr>
          <w:i/>
        </w:rPr>
      </w:pPr>
      <w:r>
        <w:rPr>
          <w:i/>
        </w:rPr>
        <w:t>varad moodustavad eraldi fondi ja ei ole osa voliniku oma varast</w:t>
      </w:r>
      <w:r w:rsidRPr="00117FC3">
        <w:rPr>
          <w:i/>
        </w:rPr>
        <w:t>;</w:t>
      </w:r>
    </w:p>
    <w:p w:rsidR="008F0DB8" w:rsidRPr="00117FC3" w:rsidRDefault="008F0DB8" w:rsidP="00F86AA1">
      <w:pPr>
        <w:pStyle w:val="Allmrkusetekst"/>
        <w:numPr>
          <w:ilvl w:val="0"/>
          <w:numId w:val="12"/>
        </w:numPr>
        <w:ind w:left="284" w:hanging="284"/>
        <w:rPr>
          <w:i/>
        </w:rPr>
      </w:pPr>
      <w:r>
        <w:rPr>
          <w:i/>
        </w:rPr>
        <w:t>usaldusfondi varade omand on registreeritud voliniku nimele või voliniku nimel tegutseva teise isiku nimele</w:t>
      </w:r>
      <w:r w:rsidRPr="00117FC3">
        <w:rPr>
          <w:i/>
        </w:rPr>
        <w:t>;</w:t>
      </w:r>
    </w:p>
    <w:p w:rsidR="008F0DB8" w:rsidRPr="00117FC3" w:rsidRDefault="008F0DB8" w:rsidP="00F86AA1">
      <w:pPr>
        <w:pStyle w:val="Allmrkusetekst"/>
        <w:numPr>
          <w:ilvl w:val="0"/>
          <w:numId w:val="12"/>
        </w:numPr>
        <w:ind w:left="284" w:hanging="284"/>
        <w:rPr>
          <w:i/>
        </w:rPr>
      </w:pPr>
      <w:r>
        <w:rPr>
          <w:i/>
        </w:rPr>
        <w:t>volinikul on aruandekohustuslik õigus ja kohustus hallata, kasutada või käsutada varasid vastavalt usaldusfondi tingimustele ja seadusega tema suhtes kehtestatud erikohustustele</w:t>
      </w:r>
      <w:r w:rsidRPr="00117FC3">
        <w:rPr>
          <w:i/>
        </w:rPr>
        <w:t>.</w:t>
      </w:r>
    </w:p>
    <w:p w:rsidR="008F0DB8" w:rsidRPr="00117FC3" w:rsidRDefault="008F0DB8" w:rsidP="00F86AA1">
      <w:pPr>
        <w:pStyle w:val="Allmrkusetekst"/>
        <w:rPr>
          <w:i/>
        </w:rPr>
      </w:pPr>
      <w:r>
        <w:rPr>
          <w:i/>
        </w:rPr>
        <w:t>Asutaja poolt teatud õiguste ja volituste säilitamine ning asjaolu, et volinikul endal võib olla õigusi soodustatud isikuna, ei pruugi tingimata olla usaldusfondi olemasoluga vastuolus</w:t>
      </w:r>
      <w:r w:rsidRPr="00117FC3">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8" w:rsidRPr="00F80B35" w:rsidRDefault="008F0DB8" w:rsidP="00103094">
    <w:pPr>
      <w:pStyle w:val="Pis"/>
      <w:pBdr>
        <w:bottom w:val="single" w:sz="4" w:space="1" w:color="auto"/>
      </w:pBdr>
      <w:rPr>
        <w:b/>
        <w:color w:val="348093"/>
        <w:sz w:val="17"/>
        <w:szCs w:val="17"/>
      </w:rPr>
    </w:pPr>
    <w:r w:rsidRPr="00F80B35">
      <w:rPr>
        <w:b/>
        <w:color w:val="348093"/>
        <w:sz w:val="17"/>
        <w:szCs w:val="17"/>
      </w:rPr>
      <w:t>FATF</w:t>
    </w:r>
    <w:r>
      <w:rPr>
        <w:b/>
        <w:color w:val="348093"/>
        <w:sz w:val="17"/>
        <w:szCs w:val="17"/>
      </w:rPr>
      <w:t>i SOOVITUSED</w:t>
    </w:r>
  </w:p>
  <w:p w:rsidR="008F0DB8" w:rsidRPr="00103094" w:rsidRDefault="008F0DB8" w:rsidP="00103094">
    <w:pPr>
      <w:pStyle w:val="Pis"/>
      <w:rPr>
        <w:sz w:val="17"/>
        <w:szCs w:val="17"/>
      </w:rPr>
    </w:pPr>
    <w:r>
      <w:rPr>
        <w:sz w:val="17"/>
        <w:szCs w:val="17"/>
      </w:rPr>
      <w:t>RAHAPESU NING TERRORISMI JA MASSIHÄVITUSRELVADE LEVIKU RAHASTAMISE VASTU VÕITLEMISE RAHVUSVAHELISED STANDARDID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8" w:rsidRPr="00F80B35" w:rsidRDefault="008F0DB8" w:rsidP="00103094">
    <w:pPr>
      <w:pStyle w:val="Pis"/>
      <w:pBdr>
        <w:bottom w:val="single" w:sz="4" w:space="1" w:color="auto"/>
      </w:pBdr>
      <w:rPr>
        <w:b/>
        <w:color w:val="348093"/>
        <w:sz w:val="17"/>
        <w:szCs w:val="17"/>
      </w:rPr>
    </w:pPr>
    <w:r w:rsidRPr="00F80B35">
      <w:rPr>
        <w:b/>
        <w:color w:val="348093"/>
        <w:sz w:val="17"/>
        <w:szCs w:val="17"/>
      </w:rPr>
      <w:t>FATF</w:t>
    </w:r>
    <w:r>
      <w:rPr>
        <w:b/>
        <w:color w:val="348093"/>
        <w:sz w:val="17"/>
        <w:szCs w:val="17"/>
      </w:rPr>
      <w:t>i SOOVITUSED</w:t>
    </w:r>
  </w:p>
  <w:p w:rsidR="008F0DB8" w:rsidRPr="00103094" w:rsidRDefault="008F0DB8" w:rsidP="00103094">
    <w:pPr>
      <w:pStyle w:val="Pis"/>
      <w:rPr>
        <w:sz w:val="17"/>
        <w:szCs w:val="17"/>
      </w:rPr>
    </w:pPr>
    <w:r>
      <w:rPr>
        <w:sz w:val="17"/>
        <w:szCs w:val="17"/>
      </w:rPr>
      <w:t>RAHAPESU NING TERRORISMI JA MASSIHÄVITUSRELVADE LEVIKU RAHASTAMISE VASTU VÕITLEMISE RAHVUSVAHELISED STANDARDID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BA6"/>
    <w:multiLevelType w:val="hybridMultilevel"/>
    <w:tmpl w:val="0BDAFCBA"/>
    <w:lvl w:ilvl="0" w:tplc="1370F1CE">
      <w:start w:val="1"/>
      <w:numFmt w:val="bullet"/>
      <w:pStyle w:val="Sinineloend"/>
      <w:lvlText w:val=""/>
      <w:lvlJc w:val="left"/>
      <w:pPr>
        <w:ind w:left="2345" w:hanging="360"/>
      </w:pPr>
      <w:rPr>
        <w:rFonts w:ascii="Wingdings" w:hAnsi="Wingdings" w:hint="default"/>
        <w:color w:val="348093"/>
      </w:rPr>
    </w:lvl>
    <w:lvl w:ilvl="1" w:tplc="04250003" w:tentative="1">
      <w:start w:val="1"/>
      <w:numFmt w:val="bullet"/>
      <w:lvlText w:val="o"/>
      <w:lvlJc w:val="left"/>
      <w:pPr>
        <w:ind w:left="3065" w:hanging="360"/>
      </w:pPr>
      <w:rPr>
        <w:rFonts w:ascii="Courier New" w:hAnsi="Courier New" w:hint="default"/>
      </w:rPr>
    </w:lvl>
    <w:lvl w:ilvl="2" w:tplc="04250005" w:tentative="1">
      <w:start w:val="1"/>
      <w:numFmt w:val="bullet"/>
      <w:lvlText w:val=""/>
      <w:lvlJc w:val="left"/>
      <w:pPr>
        <w:ind w:left="3785" w:hanging="360"/>
      </w:pPr>
      <w:rPr>
        <w:rFonts w:ascii="Wingdings" w:hAnsi="Wingdings" w:hint="default"/>
      </w:rPr>
    </w:lvl>
    <w:lvl w:ilvl="3" w:tplc="04250001" w:tentative="1">
      <w:start w:val="1"/>
      <w:numFmt w:val="bullet"/>
      <w:lvlText w:val=""/>
      <w:lvlJc w:val="left"/>
      <w:pPr>
        <w:ind w:left="4505" w:hanging="360"/>
      </w:pPr>
      <w:rPr>
        <w:rFonts w:ascii="Symbol" w:hAnsi="Symbol" w:hint="default"/>
      </w:rPr>
    </w:lvl>
    <w:lvl w:ilvl="4" w:tplc="04250003" w:tentative="1">
      <w:start w:val="1"/>
      <w:numFmt w:val="bullet"/>
      <w:lvlText w:val="o"/>
      <w:lvlJc w:val="left"/>
      <w:pPr>
        <w:ind w:left="5225" w:hanging="360"/>
      </w:pPr>
      <w:rPr>
        <w:rFonts w:ascii="Courier New" w:hAnsi="Courier New" w:hint="default"/>
      </w:rPr>
    </w:lvl>
    <w:lvl w:ilvl="5" w:tplc="04250005" w:tentative="1">
      <w:start w:val="1"/>
      <w:numFmt w:val="bullet"/>
      <w:lvlText w:val=""/>
      <w:lvlJc w:val="left"/>
      <w:pPr>
        <w:ind w:left="5945" w:hanging="360"/>
      </w:pPr>
      <w:rPr>
        <w:rFonts w:ascii="Wingdings" w:hAnsi="Wingdings" w:hint="default"/>
      </w:rPr>
    </w:lvl>
    <w:lvl w:ilvl="6" w:tplc="04250001" w:tentative="1">
      <w:start w:val="1"/>
      <w:numFmt w:val="bullet"/>
      <w:lvlText w:val=""/>
      <w:lvlJc w:val="left"/>
      <w:pPr>
        <w:ind w:left="6665" w:hanging="360"/>
      </w:pPr>
      <w:rPr>
        <w:rFonts w:ascii="Symbol" w:hAnsi="Symbol" w:hint="default"/>
      </w:rPr>
    </w:lvl>
    <w:lvl w:ilvl="7" w:tplc="04250003" w:tentative="1">
      <w:start w:val="1"/>
      <w:numFmt w:val="bullet"/>
      <w:lvlText w:val="o"/>
      <w:lvlJc w:val="left"/>
      <w:pPr>
        <w:ind w:left="7385" w:hanging="360"/>
      </w:pPr>
      <w:rPr>
        <w:rFonts w:ascii="Courier New" w:hAnsi="Courier New" w:hint="default"/>
      </w:rPr>
    </w:lvl>
    <w:lvl w:ilvl="8" w:tplc="04250005" w:tentative="1">
      <w:start w:val="1"/>
      <w:numFmt w:val="bullet"/>
      <w:lvlText w:val=""/>
      <w:lvlJc w:val="left"/>
      <w:pPr>
        <w:ind w:left="8105" w:hanging="360"/>
      </w:pPr>
      <w:rPr>
        <w:rFonts w:ascii="Wingdings" w:hAnsi="Wingdings" w:hint="default"/>
      </w:rPr>
    </w:lvl>
  </w:abstractNum>
  <w:abstractNum w:abstractNumId="1">
    <w:nsid w:val="0859663A"/>
    <w:multiLevelType w:val="hybridMultilevel"/>
    <w:tmpl w:val="D2E8AB08"/>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nsid w:val="1E1C4D4C"/>
    <w:multiLevelType w:val="hybridMultilevel"/>
    <w:tmpl w:val="A8403108"/>
    <w:lvl w:ilvl="0" w:tplc="04250017">
      <w:start w:val="1"/>
      <w:numFmt w:val="lowerLetter"/>
      <w:lvlText w:val="%1)"/>
      <w:lvlJc w:val="left"/>
      <w:pPr>
        <w:ind w:left="1037" w:hanging="360"/>
      </w:pPr>
      <w:rPr>
        <w:rFonts w:cs="Times New Roman"/>
      </w:rPr>
    </w:lvl>
    <w:lvl w:ilvl="1" w:tplc="3BCC6D7E">
      <w:start w:val="1"/>
      <w:numFmt w:val="decimal"/>
      <w:lvlText w:val="%2."/>
      <w:lvlJc w:val="left"/>
      <w:pPr>
        <w:ind w:left="1757" w:hanging="360"/>
      </w:pPr>
      <w:rPr>
        <w:rFonts w:cs="Times New Roman" w:hint="default"/>
      </w:rPr>
    </w:lvl>
    <w:lvl w:ilvl="2" w:tplc="518CDC58">
      <w:start w:val="1"/>
      <w:numFmt w:val="lowerLetter"/>
      <w:lvlText w:val="(%3)"/>
      <w:lvlJc w:val="left"/>
      <w:pPr>
        <w:ind w:left="2672" w:hanging="375"/>
      </w:pPr>
      <w:rPr>
        <w:rFonts w:cs="Times New Roman" w:hint="default"/>
      </w:rPr>
    </w:lvl>
    <w:lvl w:ilvl="3" w:tplc="0425000F" w:tentative="1">
      <w:start w:val="1"/>
      <w:numFmt w:val="decimal"/>
      <w:lvlText w:val="%4."/>
      <w:lvlJc w:val="left"/>
      <w:pPr>
        <w:ind w:left="3197" w:hanging="360"/>
      </w:pPr>
      <w:rPr>
        <w:rFonts w:cs="Times New Roman"/>
      </w:rPr>
    </w:lvl>
    <w:lvl w:ilvl="4" w:tplc="04250019" w:tentative="1">
      <w:start w:val="1"/>
      <w:numFmt w:val="lowerLetter"/>
      <w:lvlText w:val="%5."/>
      <w:lvlJc w:val="left"/>
      <w:pPr>
        <w:ind w:left="3917" w:hanging="360"/>
      </w:pPr>
      <w:rPr>
        <w:rFonts w:cs="Times New Roman"/>
      </w:rPr>
    </w:lvl>
    <w:lvl w:ilvl="5" w:tplc="0425001B" w:tentative="1">
      <w:start w:val="1"/>
      <w:numFmt w:val="lowerRoman"/>
      <w:lvlText w:val="%6."/>
      <w:lvlJc w:val="right"/>
      <w:pPr>
        <w:ind w:left="4637" w:hanging="180"/>
      </w:pPr>
      <w:rPr>
        <w:rFonts w:cs="Times New Roman"/>
      </w:rPr>
    </w:lvl>
    <w:lvl w:ilvl="6" w:tplc="0425000F" w:tentative="1">
      <w:start w:val="1"/>
      <w:numFmt w:val="decimal"/>
      <w:lvlText w:val="%7."/>
      <w:lvlJc w:val="left"/>
      <w:pPr>
        <w:ind w:left="5357" w:hanging="360"/>
      </w:pPr>
      <w:rPr>
        <w:rFonts w:cs="Times New Roman"/>
      </w:rPr>
    </w:lvl>
    <w:lvl w:ilvl="7" w:tplc="04250019" w:tentative="1">
      <w:start w:val="1"/>
      <w:numFmt w:val="lowerLetter"/>
      <w:lvlText w:val="%8."/>
      <w:lvlJc w:val="left"/>
      <w:pPr>
        <w:ind w:left="6077" w:hanging="360"/>
      </w:pPr>
      <w:rPr>
        <w:rFonts w:cs="Times New Roman"/>
      </w:rPr>
    </w:lvl>
    <w:lvl w:ilvl="8" w:tplc="0425001B" w:tentative="1">
      <w:start w:val="1"/>
      <w:numFmt w:val="lowerRoman"/>
      <w:lvlText w:val="%9."/>
      <w:lvlJc w:val="right"/>
      <w:pPr>
        <w:ind w:left="6797" w:hanging="180"/>
      </w:pPr>
      <w:rPr>
        <w:rFonts w:cs="Times New Roman"/>
      </w:rPr>
    </w:lvl>
  </w:abstractNum>
  <w:abstractNum w:abstractNumId="3">
    <w:nsid w:val="1E6C56FE"/>
    <w:multiLevelType w:val="hybridMultilevel"/>
    <w:tmpl w:val="3E84ADD0"/>
    <w:lvl w:ilvl="0" w:tplc="04250017">
      <w:start w:val="1"/>
      <w:numFmt w:val="lowerLetter"/>
      <w:lvlText w:val="%1)"/>
      <w:lvlJc w:val="left"/>
      <w:pPr>
        <w:ind w:left="1179" w:hanging="360"/>
      </w:pPr>
      <w:rPr>
        <w:rFonts w:cs="Times New Roman"/>
      </w:rPr>
    </w:lvl>
    <w:lvl w:ilvl="1" w:tplc="7C52B49A">
      <w:start w:val="3"/>
      <w:numFmt w:val="bullet"/>
      <w:lvlText w:val="–"/>
      <w:lvlJc w:val="left"/>
      <w:pPr>
        <w:ind w:left="2062" w:hanging="360"/>
      </w:pPr>
      <w:rPr>
        <w:rFonts w:ascii="Cambria" w:eastAsia="Times New Roman" w:hAnsi="Cambria" w:hint="default"/>
      </w:rPr>
    </w:lvl>
    <w:lvl w:ilvl="2" w:tplc="0425001B" w:tentative="1">
      <w:start w:val="1"/>
      <w:numFmt w:val="lowerRoman"/>
      <w:lvlText w:val="%3."/>
      <w:lvlJc w:val="right"/>
      <w:pPr>
        <w:ind w:left="2619" w:hanging="180"/>
      </w:pPr>
      <w:rPr>
        <w:rFonts w:cs="Times New Roman"/>
      </w:rPr>
    </w:lvl>
    <w:lvl w:ilvl="3" w:tplc="0425000F" w:tentative="1">
      <w:start w:val="1"/>
      <w:numFmt w:val="decimal"/>
      <w:lvlText w:val="%4."/>
      <w:lvlJc w:val="left"/>
      <w:pPr>
        <w:ind w:left="3339" w:hanging="360"/>
      </w:pPr>
      <w:rPr>
        <w:rFonts w:cs="Times New Roman"/>
      </w:rPr>
    </w:lvl>
    <w:lvl w:ilvl="4" w:tplc="04250019" w:tentative="1">
      <w:start w:val="1"/>
      <w:numFmt w:val="lowerLetter"/>
      <w:lvlText w:val="%5."/>
      <w:lvlJc w:val="left"/>
      <w:pPr>
        <w:ind w:left="4059" w:hanging="360"/>
      </w:pPr>
      <w:rPr>
        <w:rFonts w:cs="Times New Roman"/>
      </w:rPr>
    </w:lvl>
    <w:lvl w:ilvl="5" w:tplc="0425001B" w:tentative="1">
      <w:start w:val="1"/>
      <w:numFmt w:val="lowerRoman"/>
      <w:lvlText w:val="%6."/>
      <w:lvlJc w:val="right"/>
      <w:pPr>
        <w:ind w:left="4779" w:hanging="180"/>
      </w:pPr>
      <w:rPr>
        <w:rFonts w:cs="Times New Roman"/>
      </w:rPr>
    </w:lvl>
    <w:lvl w:ilvl="6" w:tplc="0425000F" w:tentative="1">
      <w:start w:val="1"/>
      <w:numFmt w:val="decimal"/>
      <w:lvlText w:val="%7."/>
      <w:lvlJc w:val="left"/>
      <w:pPr>
        <w:ind w:left="5499" w:hanging="360"/>
      </w:pPr>
      <w:rPr>
        <w:rFonts w:cs="Times New Roman"/>
      </w:rPr>
    </w:lvl>
    <w:lvl w:ilvl="7" w:tplc="04250019" w:tentative="1">
      <w:start w:val="1"/>
      <w:numFmt w:val="lowerLetter"/>
      <w:lvlText w:val="%8."/>
      <w:lvlJc w:val="left"/>
      <w:pPr>
        <w:ind w:left="6219" w:hanging="360"/>
      </w:pPr>
      <w:rPr>
        <w:rFonts w:cs="Times New Roman"/>
      </w:rPr>
    </w:lvl>
    <w:lvl w:ilvl="8" w:tplc="0425001B" w:tentative="1">
      <w:start w:val="1"/>
      <w:numFmt w:val="lowerRoman"/>
      <w:lvlText w:val="%9."/>
      <w:lvlJc w:val="right"/>
      <w:pPr>
        <w:ind w:left="6939" w:hanging="180"/>
      </w:pPr>
      <w:rPr>
        <w:rFonts w:cs="Times New Roman"/>
      </w:rPr>
    </w:lvl>
  </w:abstractNum>
  <w:abstractNum w:abstractNumId="4">
    <w:nsid w:val="26A54572"/>
    <w:multiLevelType w:val="hybridMultilevel"/>
    <w:tmpl w:val="E5F21318"/>
    <w:lvl w:ilvl="0" w:tplc="04250017">
      <w:start w:val="1"/>
      <w:numFmt w:val="lowerLetter"/>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nsid w:val="2DA25B90"/>
    <w:multiLevelType w:val="hybridMultilevel"/>
    <w:tmpl w:val="E74831C2"/>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nsid w:val="36924935"/>
    <w:multiLevelType w:val="hybridMultilevel"/>
    <w:tmpl w:val="948E8C06"/>
    <w:lvl w:ilvl="0" w:tplc="0425000F">
      <w:start w:val="1"/>
      <w:numFmt w:val="decimal"/>
      <w:lvlText w:val="%1."/>
      <w:lvlJc w:val="left"/>
      <w:pPr>
        <w:ind w:left="754" w:hanging="360"/>
      </w:pPr>
      <w:rPr>
        <w:rFonts w:cs="Times New Roman"/>
      </w:rPr>
    </w:lvl>
    <w:lvl w:ilvl="1" w:tplc="04250019">
      <w:start w:val="1"/>
      <w:numFmt w:val="lowerLetter"/>
      <w:lvlText w:val="%2."/>
      <w:lvlJc w:val="left"/>
      <w:pPr>
        <w:ind w:left="1474" w:hanging="360"/>
      </w:pPr>
      <w:rPr>
        <w:rFonts w:cs="Times New Roman"/>
      </w:rPr>
    </w:lvl>
    <w:lvl w:ilvl="2" w:tplc="0425001B">
      <w:start w:val="1"/>
      <w:numFmt w:val="lowerRoman"/>
      <w:lvlText w:val="%3."/>
      <w:lvlJc w:val="right"/>
      <w:pPr>
        <w:ind w:left="2194" w:hanging="180"/>
      </w:pPr>
      <w:rPr>
        <w:rFonts w:cs="Times New Roman"/>
      </w:rPr>
    </w:lvl>
    <w:lvl w:ilvl="3" w:tplc="0425000F" w:tentative="1">
      <w:start w:val="1"/>
      <w:numFmt w:val="decimal"/>
      <w:lvlText w:val="%4."/>
      <w:lvlJc w:val="left"/>
      <w:pPr>
        <w:ind w:left="2914" w:hanging="360"/>
      </w:pPr>
      <w:rPr>
        <w:rFonts w:cs="Times New Roman"/>
      </w:rPr>
    </w:lvl>
    <w:lvl w:ilvl="4" w:tplc="04250019" w:tentative="1">
      <w:start w:val="1"/>
      <w:numFmt w:val="lowerLetter"/>
      <w:lvlText w:val="%5."/>
      <w:lvlJc w:val="left"/>
      <w:pPr>
        <w:ind w:left="3634" w:hanging="360"/>
      </w:pPr>
      <w:rPr>
        <w:rFonts w:cs="Times New Roman"/>
      </w:rPr>
    </w:lvl>
    <w:lvl w:ilvl="5" w:tplc="0425001B" w:tentative="1">
      <w:start w:val="1"/>
      <w:numFmt w:val="lowerRoman"/>
      <w:lvlText w:val="%6."/>
      <w:lvlJc w:val="right"/>
      <w:pPr>
        <w:ind w:left="4354" w:hanging="180"/>
      </w:pPr>
      <w:rPr>
        <w:rFonts w:cs="Times New Roman"/>
      </w:rPr>
    </w:lvl>
    <w:lvl w:ilvl="6" w:tplc="0425000F" w:tentative="1">
      <w:start w:val="1"/>
      <w:numFmt w:val="decimal"/>
      <w:lvlText w:val="%7."/>
      <w:lvlJc w:val="left"/>
      <w:pPr>
        <w:ind w:left="5074" w:hanging="360"/>
      </w:pPr>
      <w:rPr>
        <w:rFonts w:cs="Times New Roman"/>
      </w:rPr>
    </w:lvl>
    <w:lvl w:ilvl="7" w:tplc="04250019" w:tentative="1">
      <w:start w:val="1"/>
      <w:numFmt w:val="lowerLetter"/>
      <w:lvlText w:val="%8."/>
      <w:lvlJc w:val="left"/>
      <w:pPr>
        <w:ind w:left="5794" w:hanging="360"/>
      </w:pPr>
      <w:rPr>
        <w:rFonts w:cs="Times New Roman"/>
      </w:rPr>
    </w:lvl>
    <w:lvl w:ilvl="8" w:tplc="0425001B" w:tentative="1">
      <w:start w:val="1"/>
      <w:numFmt w:val="lowerRoman"/>
      <w:lvlText w:val="%9."/>
      <w:lvlJc w:val="right"/>
      <w:pPr>
        <w:ind w:left="6514" w:hanging="180"/>
      </w:pPr>
      <w:rPr>
        <w:rFonts w:cs="Times New Roman"/>
      </w:rPr>
    </w:lvl>
  </w:abstractNum>
  <w:abstractNum w:abstractNumId="7">
    <w:nsid w:val="45DE0FA1"/>
    <w:multiLevelType w:val="hybridMultilevel"/>
    <w:tmpl w:val="91E463C2"/>
    <w:lvl w:ilvl="0" w:tplc="58507550">
      <w:start w:val="1"/>
      <w:numFmt w:val="bullet"/>
      <w:lvlText w:val=""/>
      <w:lvlJc w:val="left"/>
      <w:pPr>
        <w:ind w:left="754" w:hanging="360"/>
      </w:pPr>
      <w:rPr>
        <w:rFonts w:ascii="Wingdings" w:hAnsi="Wingdings" w:hint="default"/>
        <w:color w:val="348093"/>
      </w:rPr>
    </w:lvl>
    <w:lvl w:ilvl="1" w:tplc="04250003" w:tentative="1">
      <w:start w:val="1"/>
      <w:numFmt w:val="bullet"/>
      <w:lvlText w:val="o"/>
      <w:lvlJc w:val="left"/>
      <w:pPr>
        <w:ind w:left="1474" w:hanging="360"/>
      </w:pPr>
      <w:rPr>
        <w:rFonts w:ascii="Courier New" w:hAnsi="Courier New" w:hint="default"/>
      </w:rPr>
    </w:lvl>
    <w:lvl w:ilvl="2" w:tplc="04250005" w:tentative="1">
      <w:start w:val="1"/>
      <w:numFmt w:val="bullet"/>
      <w:lvlText w:val=""/>
      <w:lvlJc w:val="left"/>
      <w:pPr>
        <w:ind w:left="2194" w:hanging="360"/>
      </w:pPr>
      <w:rPr>
        <w:rFonts w:ascii="Wingdings" w:hAnsi="Wingdings" w:hint="default"/>
      </w:rPr>
    </w:lvl>
    <w:lvl w:ilvl="3" w:tplc="04250001" w:tentative="1">
      <w:start w:val="1"/>
      <w:numFmt w:val="bullet"/>
      <w:lvlText w:val=""/>
      <w:lvlJc w:val="left"/>
      <w:pPr>
        <w:ind w:left="2914" w:hanging="360"/>
      </w:pPr>
      <w:rPr>
        <w:rFonts w:ascii="Symbol" w:hAnsi="Symbol" w:hint="default"/>
      </w:rPr>
    </w:lvl>
    <w:lvl w:ilvl="4" w:tplc="04250003" w:tentative="1">
      <w:start w:val="1"/>
      <w:numFmt w:val="bullet"/>
      <w:lvlText w:val="o"/>
      <w:lvlJc w:val="left"/>
      <w:pPr>
        <w:ind w:left="3634" w:hanging="360"/>
      </w:pPr>
      <w:rPr>
        <w:rFonts w:ascii="Courier New" w:hAnsi="Courier New" w:hint="default"/>
      </w:rPr>
    </w:lvl>
    <w:lvl w:ilvl="5" w:tplc="04250005" w:tentative="1">
      <w:start w:val="1"/>
      <w:numFmt w:val="bullet"/>
      <w:lvlText w:val=""/>
      <w:lvlJc w:val="left"/>
      <w:pPr>
        <w:ind w:left="4354" w:hanging="360"/>
      </w:pPr>
      <w:rPr>
        <w:rFonts w:ascii="Wingdings" w:hAnsi="Wingdings" w:hint="default"/>
      </w:rPr>
    </w:lvl>
    <w:lvl w:ilvl="6" w:tplc="04250001" w:tentative="1">
      <w:start w:val="1"/>
      <w:numFmt w:val="bullet"/>
      <w:lvlText w:val=""/>
      <w:lvlJc w:val="left"/>
      <w:pPr>
        <w:ind w:left="5074" w:hanging="360"/>
      </w:pPr>
      <w:rPr>
        <w:rFonts w:ascii="Symbol" w:hAnsi="Symbol" w:hint="default"/>
      </w:rPr>
    </w:lvl>
    <w:lvl w:ilvl="7" w:tplc="04250003" w:tentative="1">
      <w:start w:val="1"/>
      <w:numFmt w:val="bullet"/>
      <w:lvlText w:val="o"/>
      <w:lvlJc w:val="left"/>
      <w:pPr>
        <w:ind w:left="5794" w:hanging="360"/>
      </w:pPr>
      <w:rPr>
        <w:rFonts w:ascii="Courier New" w:hAnsi="Courier New" w:hint="default"/>
      </w:rPr>
    </w:lvl>
    <w:lvl w:ilvl="8" w:tplc="04250005" w:tentative="1">
      <w:start w:val="1"/>
      <w:numFmt w:val="bullet"/>
      <w:lvlText w:val=""/>
      <w:lvlJc w:val="left"/>
      <w:pPr>
        <w:ind w:left="6514" w:hanging="360"/>
      </w:pPr>
      <w:rPr>
        <w:rFonts w:ascii="Wingdings" w:hAnsi="Wingdings" w:hint="default"/>
      </w:rPr>
    </w:lvl>
  </w:abstractNum>
  <w:abstractNum w:abstractNumId="8">
    <w:nsid w:val="4C941146"/>
    <w:multiLevelType w:val="hybridMultilevel"/>
    <w:tmpl w:val="F89E8D46"/>
    <w:lvl w:ilvl="0" w:tplc="58507550">
      <w:start w:val="1"/>
      <w:numFmt w:val="bullet"/>
      <w:lvlText w:val=""/>
      <w:lvlJc w:val="left"/>
      <w:pPr>
        <w:ind w:left="720" w:hanging="360"/>
      </w:pPr>
      <w:rPr>
        <w:rFonts w:ascii="Wingdings" w:hAnsi="Wingdings" w:hint="default"/>
        <w:color w:val="348093"/>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4CF5110C"/>
    <w:multiLevelType w:val="hybridMultilevel"/>
    <w:tmpl w:val="394A5A4E"/>
    <w:lvl w:ilvl="0" w:tplc="3BCC6D7E">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nsid w:val="5EFF1F15"/>
    <w:multiLevelType w:val="hybridMultilevel"/>
    <w:tmpl w:val="4230A886"/>
    <w:lvl w:ilvl="0" w:tplc="0425000F">
      <w:start w:val="1"/>
      <w:numFmt w:val="decimal"/>
      <w:lvlText w:val="%1."/>
      <w:lvlJc w:val="left"/>
      <w:pPr>
        <w:ind w:left="720" w:hanging="360"/>
      </w:pPr>
      <w:rPr>
        <w:rFonts w:cs="Times New Roman"/>
      </w:rPr>
    </w:lvl>
    <w:lvl w:ilvl="1" w:tplc="0425000F">
      <w:start w:val="1"/>
      <w:numFmt w:val="decimal"/>
      <w:lvlText w:val="%2."/>
      <w:lvlJc w:val="left"/>
      <w:pPr>
        <w:ind w:left="1440" w:hanging="360"/>
      </w:pPr>
      <w:rPr>
        <w:rFonts w:cs="Times New Roman"/>
      </w:rPr>
    </w:lvl>
    <w:lvl w:ilvl="2" w:tplc="0425001B">
      <w:start w:val="1"/>
      <w:numFmt w:val="lowerRoman"/>
      <w:lvlText w:val="%3."/>
      <w:lvlJc w:val="right"/>
      <w:pPr>
        <w:ind w:left="606"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nsid w:val="68054FC2"/>
    <w:multiLevelType w:val="hybridMultilevel"/>
    <w:tmpl w:val="F128360E"/>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12">
    <w:nsid w:val="73265745"/>
    <w:multiLevelType w:val="hybridMultilevel"/>
    <w:tmpl w:val="A81E2FD2"/>
    <w:lvl w:ilvl="0" w:tplc="DD2C7A92">
      <w:start w:val="1"/>
      <w:numFmt w:val="lowerLetter"/>
      <w:lvlText w:val="%1)"/>
      <w:lvlJc w:val="left"/>
      <w:pPr>
        <w:ind w:left="677" w:hanging="360"/>
      </w:pPr>
      <w:rPr>
        <w:rFonts w:cs="Times New Roman" w:hint="default"/>
      </w:rPr>
    </w:lvl>
    <w:lvl w:ilvl="1" w:tplc="04250019" w:tentative="1">
      <w:start w:val="1"/>
      <w:numFmt w:val="lowerLetter"/>
      <w:lvlText w:val="%2."/>
      <w:lvlJc w:val="left"/>
      <w:pPr>
        <w:ind w:left="1397" w:hanging="360"/>
      </w:pPr>
      <w:rPr>
        <w:rFonts w:cs="Times New Roman"/>
      </w:rPr>
    </w:lvl>
    <w:lvl w:ilvl="2" w:tplc="0425001B" w:tentative="1">
      <w:start w:val="1"/>
      <w:numFmt w:val="lowerRoman"/>
      <w:lvlText w:val="%3."/>
      <w:lvlJc w:val="right"/>
      <w:pPr>
        <w:ind w:left="2117" w:hanging="180"/>
      </w:pPr>
      <w:rPr>
        <w:rFonts w:cs="Times New Roman"/>
      </w:rPr>
    </w:lvl>
    <w:lvl w:ilvl="3" w:tplc="0425000F" w:tentative="1">
      <w:start w:val="1"/>
      <w:numFmt w:val="decimal"/>
      <w:lvlText w:val="%4."/>
      <w:lvlJc w:val="left"/>
      <w:pPr>
        <w:ind w:left="2837" w:hanging="360"/>
      </w:pPr>
      <w:rPr>
        <w:rFonts w:cs="Times New Roman"/>
      </w:rPr>
    </w:lvl>
    <w:lvl w:ilvl="4" w:tplc="04250019" w:tentative="1">
      <w:start w:val="1"/>
      <w:numFmt w:val="lowerLetter"/>
      <w:lvlText w:val="%5."/>
      <w:lvlJc w:val="left"/>
      <w:pPr>
        <w:ind w:left="3557" w:hanging="360"/>
      </w:pPr>
      <w:rPr>
        <w:rFonts w:cs="Times New Roman"/>
      </w:rPr>
    </w:lvl>
    <w:lvl w:ilvl="5" w:tplc="0425001B" w:tentative="1">
      <w:start w:val="1"/>
      <w:numFmt w:val="lowerRoman"/>
      <w:lvlText w:val="%6."/>
      <w:lvlJc w:val="right"/>
      <w:pPr>
        <w:ind w:left="4277" w:hanging="180"/>
      </w:pPr>
      <w:rPr>
        <w:rFonts w:cs="Times New Roman"/>
      </w:rPr>
    </w:lvl>
    <w:lvl w:ilvl="6" w:tplc="0425000F" w:tentative="1">
      <w:start w:val="1"/>
      <w:numFmt w:val="decimal"/>
      <w:lvlText w:val="%7."/>
      <w:lvlJc w:val="left"/>
      <w:pPr>
        <w:ind w:left="4997" w:hanging="360"/>
      </w:pPr>
      <w:rPr>
        <w:rFonts w:cs="Times New Roman"/>
      </w:rPr>
    </w:lvl>
    <w:lvl w:ilvl="7" w:tplc="04250019" w:tentative="1">
      <w:start w:val="1"/>
      <w:numFmt w:val="lowerLetter"/>
      <w:lvlText w:val="%8."/>
      <w:lvlJc w:val="left"/>
      <w:pPr>
        <w:ind w:left="5717" w:hanging="360"/>
      </w:pPr>
      <w:rPr>
        <w:rFonts w:cs="Times New Roman"/>
      </w:rPr>
    </w:lvl>
    <w:lvl w:ilvl="8" w:tplc="0425001B" w:tentative="1">
      <w:start w:val="1"/>
      <w:numFmt w:val="lowerRoman"/>
      <w:lvlText w:val="%9."/>
      <w:lvlJc w:val="right"/>
      <w:pPr>
        <w:ind w:left="6437" w:hanging="180"/>
      </w:pPr>
      <w:rPr>
        <w:rFonts w:cs="Times New Roman"/>
      </w:rPr>
    </w:lvl>
  </w:abstractNum>
  <w:abstractNum w:abstractNumId="13">
    <w:nsid w:val="7C6452AB"/>
    <w:multiLevelType w:val="hybridMultilevel"/>
    <w:tmpl w:val="4AAC2C96"/>
    <w:lvl w:ilvl="0" w:tplc="58507550">
      <w:start w:val="1"/>
      <w:numFmt w:val="bullet"/>
      <w:lvlText w:val=""/>
      <w:lvlJc w:val="left"/>
      <w:pPr>
        <w:ind w:left="754" w:hanging="360"/>
      </w:pPr>
      <w:rPr>
        <w:rFonts w:ascii="Wingdings" w:hAnsi="Wingdings" w:hint="default"/>
        <w:color w:val="348093"/>
      </w:rPr>
    </w:lvl>
    <w:lvl w:ilvl="1" w:tplc="04250003" w:tentative="1">
      <w:start w:val="1"/>
      <w:numFmt w:val="bullet"/>
      <w:lvlText w:val="o"/>
      <w:lvlJc w:val="left"/>
      <w:pPr>
        <w:ind w:left="1474" w:hanging="360"/>
      </w:pPr>
      <w:rPr>
        <w:rFonts w:ascii="Courier New" w:hAnsi="Courier New" w:hint="default"/>
      </w:rPr>
    </w:lvl>
    <w:lvl w:ilvl="2" w:tplc="04250005" w:tentative="1">
      <w:start w:val="1"/>
      <w:numFmt w:val="bullet"/>
      <w:lvlText w:val=""/>
      <w:lvlJc w:val="left"/>
      <w:pPr>
        <w:ind w:left="2194" w:hanging="360"/>
      </w:pPr>
      <w:rPr>
        <w:rFonts w:ascii="Wingdings" w:hAnsi="Wingdings" w:hint="default"/>
      </w:rPr>
    </w:lvl>
    <w:lvl w:ilvl="3" w:tplc="04250001" w:tentative="1">
      <w:start w:val="1"/>
      <w:numFmt w:val="bullet"/>
      <w:lvlText w:val=""/>
      <w:lvlJc w:val="left"/>
      <w:pPr>
        <w:ind w:left="2914" w:hanging="360"/>
      </w:pPr>
      <w:rPr>
        <w:rFonts w:ascii="Symbol" w:hAnsi="Symbol" w:hint="default"/>
      </w:rPr>
    </w:lvl>
    <w:lvl w:ilvl="4" w:tplc="04250003" w:tentative="1">
      <w:start w:val="1"/>
      <w:numFmt w:val="bullet"/>
      <w:lvlText w:val="o"/>
      <w:lvlJc w:val="left"/>
      <w:pPr>
        <w:ind w:left="3634" w:hanging="360"/>
      </w:pPr>
      <w:rPr>
        <w:rFonts w:ascii="Courier New" w:hAnsi="Courier New" w:hint="default"/>
      </w:rPr>
    </w:lvl>
    <w:lvl w:ilvl="5" w:tplc="04250005" w:tentative="1">
      <w:start w:val="1"/>
      <w:numFmt w:val="bullet"/>
      <w:lvlText w:val=""/>
      <w:lvlJc w:val="left"/>
      <w:pPr>
        <w:ind w:left="4354" w:hanging="360"/>
      </w:pPr>
      <w:rPr>
        <w:rFonts w:ascii="Wingdings" w:hAnsi="Wingdings" w:hint="default"/>
      </w:rPr>
    </w:lvl>
    <w:lvl w:ilvl="6" w:tplc="04250001" w:tentative="1">
      <w:start w:val="1"/>
      <w:numFmt w:val="bullet"/>
      <w:lvlText w:val=""/>
      <w:lvlJc w:val="left"/>
      <w:pPr>
        <w:ind w:left="5074" w:hanging="360"/>
      </w:pPr>
      <w:rPr>
        <w:rFonts w:ascii="Symbol" w:hAnsi="Symbol" w:hint="default"/>
      </w:rPr>
    </w:lvl>
    <w:lvl w:ilvl="7" w:tplc="04250003" w:tentative="1">
      <w:start w:val="1"/>
      <w:numFmt w:val="bullet"/>
      <w:lvlText w:val="o"/>
      <w:lvlJc w:val="left"/>
      <w:pPr>
        <w:ind w:left="5794" w:hanging="360"/>
      </w:pPr>
      <w:rPr>
        <w:rFonts w:ascii="Courier New" w:hAnsi="Courier New" w:hint="default"/>
      </w:rPr>
    </w:lvl>
    <w:lvl w:ilvl="8" w:tplc="04250005" w:tentative="1">
      <w:start w:val="1"/>
      <w:numFmt w:val="bullet"/>
      <w:lvlText w:val=""/>
      <w:lvlJc w:val="left"/>
      <w:pPr>
        <w:ind w:left="6514" w:hanging="360"/>
      </w:pPr>
      <w:rPr>
        <w:rFonts w:ascii="Wingdings" w:hAnsi="Wingdings" w:hint="default"/>
      </w:rPr>
    </w:lvl>
  </w:abstractNum>
  <w:num w:numId="1">
    <w:abstractNumId w:val="0"/>
  </w:num>
  <w:num w:numId="2">
    <w:abstractNumId w:val="8"/>
  </w:num>
  <w:num w:numId="3">
    <w:abstractNumId w:val="2"/>
  </w:num>
  <w:num w:numId="4">
    <w:abstractNumId w:val="12"/>
  </w:num>
  <w:num w:numId="5">
    <w:abstractNumId w:val="13"/>
  </w:num>
  <w:num w:numId="6">
    <w:abstractNumId w:val="7"/>
  </w:num>
  <w:num w:numId="7">
    <w:abstractNumId w:val="6"/>
  </w:num>
  <w:num w:numId="8">
    <w:abstractNumId w:val="5"/>
  </w:num>
  <w:num w:numId="9">
    <w:abstractNumId w:val="9"/>
  </w:num>
  <w:num w:numId="10">
    <w:abstractNumId w:val="10"/>
  </w:num>
  <w:num w:numId="11">
    <w:abstractNumId w:val="3"/>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5A"/>
    <w:rsid w:val="000028AE"/>
    <w:rsid w:val="00005173"/>
    <w:rsid w:val="0000745E"/>
    <w:rsid w:val="00024CD8"/>
    <w:rsid w:val="00026DD8"/>
    <w:rsid w:val="000324F9"/>
    <w:rsid w:val="0003453B"/>
    <w:rsid w:val="000405FA"/>
    <w:rsid w:val="000453E9"/>
    <w:rsid w:val="00054034"/>
    <w:rsid w:val="00066018"/>
    <w:rsid w:val="00066666"/>
    <w:rsid w:val="00081505"/>
    <w:rsid w:val="00085417"/>
    <w:rsid w:val="000959F0"/>
    <w:rsid w:val="000A14B2"/>
    <w:rsid w:val="000A1B0D"/>
    <w:rsid w:val="000A207B"/>
    <w:rsid w:val="000A3B0C"/>
    <w:rsid w:val="000A68EF"/>
    <w:rsid w:val="000B3C4C"/>
    <w:rsid w:val="000B7AA6"/>
    <w:rsid w:val="000C1151"/>
    <w:rsid w:val="000C37E0"/>
    <w:rsid w:val="000C3BA9"/>
    <w:rsid w:val="000D0108"/>
    <w:rsid w:val="000D2611"/>
    <w:rsid w:val="000E365C"/>
    <w:rsid w:val="000E4E78"/>
    <w:rsid w:val="000E7BBA"/>
    <w:rsid w:val="000F4241"/>
    <w:rsid w:val="000F5DE3"/>
    <w:rsid w:val="000F702F"/>
    <w:rsid w:val="00101844"/>
    <w:rsid w:val="00103094"/>
    <w:rsid w:val="00103F5A"/>
    <w:rsid w:val="0011251D"/>
    <w:rsid w:val="00121A70"/>
    <w:rsid w:val="001241A6"/>
    <w:rsid w:val="00132D58"/>
    <w:rsid w:val="001339EE"/>
    <w:rsid w:val="00134078"/>
    <w:rsid w:val="001466F9"/>
    <w:rsid w:val="001513F8"/>
    <w:rsid w:val="0015141A"/>
    <w:rsid w:val="00151DF0"/>
    <w:rsid w:val="00154AA2"/>
    <w:rsid w:val="00162FFB"/>
    <w:rsid w:val="001637D4"/>
    <w:rsid w:val="00165352"/>
    <w:rsid w:val="00166E1E"/>
    <w:rsid w:val="00170F8E"/>
    <w:rsid w:val="00174993"/>
    <w:rsid w:val="0018411B"/>
    <w:rsid w:val="001A50AC"/>
    <w:rsid w:val="001B2AF2"/>
    <w:rsid w:val="001C0AEF"/>
    <w:rsid w:val="001D2DF7"/>
    <w:rsid w:val="001D45B6"/>
    <w:rsid w:val="001F15BE"/>
    <w:rsid w:val="00203CC7"/>
    <w:rsid w:val="002055F6"/>
    <w:rsid w:val="002109CD"/>
    <w:rsid w:val="0021252B"/>
    <w:rsid w:val="00213F51"/>
    <w:rsid w:val="0022121A"/>
    <w:rsid w:val="002222DE"/>
    <w:rsid w:val="00227322"/>
    <w:rsid w:val="0024189D"/>
    <w:rsid w:val="002613C5"/>
    <w:rsid w:val="00261EDB"/>
    <w:rsid w:val="002714EC"/>
    <w:rsid w:val="00287065"/>
    <w:rsid w:val="002A1212"/>
    <w:rsid w:val="002A2881"/>
    <w:rsid w:val="002A32CF"/>
    <w:rsid w:val="002B60B6"/>
    <w:rsid w:val="002D070F"/>
    <w:rsid w:val="002D0793"/>
    <w:rsid w:val="002D4AC1"/>
    <w:rsid w:val="002E7E5C"/>
    <w:rsid w:val="002F0E7C"/>
    <w:rsid w:val="002F4C95"/>
    <w:rsid w:val="0030033C"/>
    <w:rsid w:val="0032060C"/>
    <w:rsid w:val="00320937"/>
    <w:rsid w:val="003216D6"/>
    <w:rsid w:val="00324441"/>
    <w:rsid w:val="0032602A"/>
    <w:rsid w:val="003371E6"/>
    <w:rsid w:val="00345F5B"/>
    <w:rsid w:val="00351064"/>
    <w:rsid w:val="003519DA"/>
    <w:rsid w:val="00360C40"/>
    <w:rsid w:val="00373E20"/>
    <w:rsid w:val="00374031"/>
    <w:rsid w:val="00380DA7"/>
    <w:rsid w:val="00383A20"/>
    <w:rsid w:val="003B75E9"/>
    <w:rsid w:val="003E004C"/>
    <w:rsid w:val="003F2CE7"/>
    <w:rsid w:val="00400E93"/>
    <w:rsid w:val="0040255A"/>
    <w:rsid w:val="004030AE"/>
    <w:rsid w:val="004060D7"/>
    <w:rsid w:val="00423483"/>
    <w:rsid w:val="0043438E"/>
    <w:rsid w:val="00445920"/>
    <w:rsid w:val="00447A84"/>
    <w:rsid w:val="00454110"/>
    <w:rsid w:val="00456AE5"/>
    <w:rsid w:val="004811A0"/>
    <w:rsid w:val="0048200A"/>
    <w:rsid w:val="00483BB8"/>
    <w:rsid w:val="0049236B"/>
    <w:rsid w:val="00494CDD"/>
    <w:rsid w:val="004A3A6A"/>
    <w:rsid w:val="004B26B3"/>
    <w:rsid w:val="004B3969"/>
    <w:rsid w:val="004B600F"/>
    <w:rsid w:val="004E1730"/>
    <w:rsid w:val="004E21D7"/>
    <w:rsid w:val="004E64AA"/>
    <w:rsid w:val="004E6984"/>
    <w:rsid w:val="004E6B64"/>
    <w:rsid w:val="004E77BD"/>
    <w:rsid w:val="004F42E1"/>
    <w:rsid w:val="004F4896"/>
    <w:rsid w:val="004F64DC"/>
    <w:rsid w:val="00500F39"/>
    <w:rsid w:val="005116BB"/>
    <w:rsid w:val="00512F59"/>
    <w:rsid w:val="00530197"/>
    <w:rsid w:val="00532641"/>
    <w:rsid w:val="00534450"/>
    <w:rsid w:val="00537E82"/>
    <w:rsid w:val="00541119"/>
    <w:rsid w:val="0054380D"/>
    <w:rsid w:val="00553D71"/>
    <w:rsid w:val="00554829"/>
    <w:rsid w:val="00557D30"/>
    <w:rsid w:val="005860B5"/>
    <w:rsid w:val="00590CB8"/>
    <w:rsid w:val="00590DF2"/>
    <w:rsid w:val="005924A1"/>
    <w:rsid w:val="005A0E90"/>
    <w:rsid w:val="005A3486"/>
    <w:rsid w:val="005A5108"/>
    <w:rsid w:val="005A651A"/>
    <w:rsid w:val="005B2F87"/>
    <w:rsid w:val="005B3416"/>
    <w:rsid w:val="005C46F3"/>
    <w:rsid w:val="005D1F05"/>
    <w:rsid w:val="005D73A1"/>
    <w:rsid w:val="005E5BB2"/>
    <w:rsid w:val="005E721E"/>
    <w:rsid w:val="005F1DBD"/>
    <w:rsid w:val="006039B2"/>
    <w:rsid w:val="006043CB"/>
    <w:rsid w:val="00605F7B"/>
    <w:rsid w:val="00607058"/>
    <w:rsid w:val="006175A2"/>
    <w:rsid w:val="006221DB"/>
    <w:rsid w:val="006269F5"/>
    <w:rsid w:val="00632E22"/>
    <w:rsid w:val="006359F7"/>
    <w:rsid w:val="00640D77"/>
    <w:rsid w:val="006468D3"/>
    <w:rsid w:val="00662349"/>
    <w:rsid w:val="006723BD"/>
    <w:rsid w:val="00672D29"/>
    <w:rsid w:val="00683A70"/>
    <w:rsid w:val="00690CB1"/>
    <w:rsid w:val="0069492B"/>
    <w:rsid w:val="006B2493"/>
    <w:rsid w:val="006B35DC"/>
    <w:rsid w:val="006C5727"/>
    <w:rsid w:val="006C6945"/>
    <w:rsid w:val="006E45B9"/>
    <w:rsid w:val="006F270F"/>
    <w:rsid w:val="006F4DF2"/>
    <w:rsid w:val="00701051"/>
    <w:rsid w:val="00702B27"/>
    <w:rsid w:val="007065D6"/>
    <w:rsid w:val="00707272"/>
    <w:rsid w:val="00707BA1"/>
    <w:rsid w:val="007113DB"/>
    <w:rsid w:val="00711902"/>
    <w:rsid w:val="00717196"/>
    <w:rsid w:val="00720487"/>
    <w:rsid w:val="00720904"/>
    <w:rsid w:val="007319E4"/>
    <w:rsid w:val="00744CB2"/>
    <w:rsid w:val="0074752F"/>
    <w:rsid w:val="00747932"/>
    <w:rsid w:val="00751424"/>
    <w:rsid w:val="00761B2F"/>
    <w:rsid w:val="007709ED"/>
    <w:rsid w:val="007753FF"/>
    <w:rsid w:val="00775AD6"/>
    <w:rsid w:val="0078418E"/>
    <w:rsid w:val="00785FC2"/>
    <w:rsid w:val="00786E8E"/>
    <w:rsid w:val="0079082F"/>
    <w:rsid w:val="00795025"/>
    <w:rsid w:val="00795705"/>
    <w:rsid w:val="007A03CE"/>
    <w:rsid w:val="007A3C45"/>
    <w:rsid w:val="007A503A"/>
    <w:rsid w:val="007B0500"/>
    <w:rsid w:val="007B47DF"/>
    <w:rsid w:val="007B5780"/>
    <w:rsid w:val="007C417C"/>
    <w:rsid w:val="007C4D53"/>
    <w:rsid w:val="007D41C3"/>
    <w:rsid w:val="007D4DD0"/>
    <w:rsid w:val="007E2E18"/>
    <w:rsid w:val="007E42A4"/>
    <w:rsid w:val="007E4594"/>
    <w:rsid w:val="007E66B0"/>
    <w:rsid w:val="007F486E"/>
    <w:rsid w:val="00803B68"/>
    <w:rsid w:val="0081270A"/>
    <w:rsid w:val="008226AB"/>
    <w:rsid w:val="008228E0"/>
    <w:rsid w:val="00833B2C"/>
    <w:rsid w:val="008370D3"/>
    <w:rsid w:val="00845A6E"/>
    <w:rsid w:val="00847867"/>
    <w:rsid w:val="00853E02"/>
    <w:rsid w:val="008747B9"/>
    <w:rsid w:val="0088675B"/>
    <w:rsid w:val="00890E8A"/>
    <w:rsid w:val="008A5937"/>
    <w:rsid w:val="008A7416"/>
    <w:rsid w:val="008B4AC4"/>
    <w:rsid w:val="008D0EB1"/>
    <w:rsid w:val="008D0F52"/>
    <w:rsid w:val="008D279C"/>
    <w:rsid w:val="008E3072"/>
    <w:rsid w:val="008F0DB8"/>
    <w:rsid w:val="008F442B"/>
    <w:rsid w:val="00905F7E"/>
    <w:rsid w:val="00907E45"/>
    <w:rsid w:val="009118A9"/>
    <w:rsid w:val="009167F8"/>
    <w:rsid w:val="00917A76"/>
    <w:rsid w:val="00920BB4"/>
    <w:rsid w:val="0092495B"/>
    <w:rsid w:val="00933C9C"/>
    <w:rsid w:val="00942AD0"/>
    <w:rsid w:val="009501A5"/>
    <w:rsid w:val="009538AA"/>
    <w:rsid w:val="00961786"/>
    <w:rsid w:val="00966538"/>
    <w:rsid w:val="00976146"/>
    <w:rsid w:val="00982E13"/>
    <w:rsid w:val="00985CBE"/>
    <w:rsid w:val="00986BA2"/>
    <w:rsid w:val="00990BBF"/>
    <w:rsid w:val="009A75C6"/>
    <w:rsid w:val="009B1B52"/>
    <w:rsid w:val="009B1FE8"/>
    <w:rsid w:val="009C0E75"/>
    <w:rsid w:val="009C4A21"/>
    <w:rsid w:val="009C7C15"/>
    <w:rsid w:val="009D21B8"/>
    <w:rsid w:val="009F0395"/>
    <w:rsid w:val="009F1D5C"/>
    <w:rsid w:val="009F7808"/>
    <w:rsid w:val="00A01A37"/>
    <w:rsid w:val="00A02C93"/>
    <w:rsid w:val="00A05957"/>
    <w:rsid w:val="00A07A94"/>
    <w:rsid w:val="00A10415"/>
    <w:rsid w:val="00A228A0"/>
    <w:rsid w:val="00A24AE2"/>
    <w:rsid w:val="00A262F7"/>
    <w:rsid w:val="00A35E9F"/>
    <w:rsid w:val="00A46284"/>
    <w:rsid w:val="00A52C02"/>
    <w:rsid w:val="00A62B97"/>
    <w:rsid w:val="00A62EDC"/>
    <w:rsid w:val="00A7777D"/>
    <w:rsid w:val="00A9341F"/>
    <w:rsid w:val="00A979D6"/>
    <w:rsid w:val="00AA01C1"/>
    <w:rsid w:val="00AA7DBD"/>
    <w:rsid w:val="00AB58DF"/>
    <w:rsid w:val="00AD1998"/>
    <w:rsid w:val="00AD20A5"/>
    <w:rsid w:val="00AD2549"/>
    <w:rsid w:val="00AF43A5"/>
    <w:rsid w:val="00B036E9"/>
    <w:rsid w:val="00B067F6"/>
    <w:rsid w:val="00B070EE"/>
    <w:rsid w:val="00B10DD5"/>
    <w:rsid w:val="00B11649"/>
    <w:rsid w:val="00B2046D"/>
    <w:rsid w:val="00B261C0"/>
    <w:rsid w:val="00B2784E"/>
    <w:rsid w:val="00B339F3"/>
    <w:rsid w:val="00B363D3"/>
    <w:rsid w:val="00B464D9"/>
    <w:rsid w:val="00B46A2D"/>
    <w:rsid w:val="00B50D79"/>
    <w:rsid w:val="00B61542"/>
    <w:rsid w:val="00B63785"/>
    <w:rsid w:val="00B63977"/>
    <w:rsid w:val="00B6399D"/>
    <w:rsid w:val="00B66953"/>
    <w:rsid w:val="00B71442"/>
    <w:rsid w:val="00B74437"/>
    <w:rsid w:val="00B76F4A"/>
    <w:rsid w:val="00B81D76"/>
    <w:rsid w:val="00B821EA"/>
    <w:rsid w:val="00B825D7"/>
    <w:rsid w:val="00B82ED5"/>
    <w:rsid w:val="00B86C6D"/>
    <w:rsid w:val="00B86CDE"/>
    <w:rsid w:val="00B87F25"/>
    <w:rsid w:val="00B9111B"/>
    <w:rsid w:val="00B9202E"/>
    <w:rsid w:val="00B97B4D"/>
    <w:rsid w:val="00BA03D9"/>
    <w:rsid w:val="00BA7CC1"/>
    <w:rsid w:val="00BB1570"/>
    <w:rsid w:val="00BB54B8"/>
    <w:rsid w:val="00BB5E03"/>
    <w:rsid w:val="00BB6B8B"/>
    <w:rsid w:val="00BC028A"/>
    <w:rsid w:val="00BC17B2"/>
    <w:rsid w:val="00BC3756"/>
    <w:rsid w:val="00BC4C2F"/>
    <w:rsid w:val="00BC6008"/>
    <w:rsid w:val="00BE00B1"/>
    <w:rsid w:val="00BE0F7B"/>
    <w:rsid w:val="00BF1067"/>
    <w:rsid w:val="00BF10A7"/>
    <w:rsid w:val="00BF55E9"/>
    <w:rsid w:val="00C0121D"/>
    <w:rsid w:val="00C037AB"/>
    <w:rsid w:val="00C255C5"/>
    <w:rsid w:val="00C25A10"/>
    <w:rsid w:val="00C265C1"/>
    <w:rsid w:val="00C560B1"/>
    <w:rsid w:val="00C62A36"/>
    <w:rsid w:val="00C71D65"/>
    <w:rsid w:val="00C7752F"/>
    <w:rsid w:val="00C82253"/>
    <w:rsid w:val="00C86DED"/>
    <w:rsid w:val="00C87840"/>
    <w:rsid w:val="00C87BED"/>
    <w:rsid w:val="00C93584"/>
    <w:rsid w:val="00C9650D"/>
    <w:rsid w:val="00CA24A1"/>
    <w:rsid w:val="00CB01E0"/>
    <w:rsid w:val="00CB2CA3"/>
    <w:rsid w:val="00CB5800"/>
    <w:rsid w:val="00CC48E3"/>
    <w:rsid w:val="00CC6664"/>
    <w:rsid w:val="00CC7227"/>
    <w:rsid w:val="00CD2665"/>
    <w:rsid w:val="00CE2FC0"/>
    <w:rsid w:val="00CF1333"/>
    <w:rsid w:val="00CF3874"/>
    <w:rsid w:val="00CF6A65"/>
    <w:rsid w:val="00CF7F38"/>
    <w:rsid w:val="00D01ADF"/>
    <w:rsid w:val="00D032BE"/>
    <w:rsid w:val="00D047B0"/>
    <w:rsid w:val="00D0519E"/>
    <w:rsid w:val="00D07855"/>
    <w:rsid w:val="00D10EB4"/>
    <w:rsid w:val="00D10F5F"/>
    <w:rsid w:val="00D20F7A"/>
    <w:rsid w:val="00D26DFC"/>
    <w:rsid w:val="00D4353A"/>
    <w:rsid w:val="00D44DB4"/>
    <w:rsid w:val="00D5119F"/>
    <w:rsid w:val="00D577D1"/>
    <w:rsid w:val="00D63059"/>
    <w:rsid w:val="00D654B5"/>
    <w:rsid w:val="00D724D5"/>
    <w:rsid w:val="00D836D9"/>
    <w:rsid w:val="00D85288"/>
    <w:rsid w:val="00D85B05"/>
    <w:rsid w:val="00D86A5F"/>
    <w:rsid w:val="00D91F83"/>
    <w:rsid w:val="00D93722"/>
    <w:rsid w:val="00DB78DC"/>
    <w:rsid w:val="00DB7D79"/>
    <w:rsid w:val="00DC1ABD"/>
    <w:rsid w:val="00DC4096"/>
    <w:rsid w:val="00DC6791"/>
    <w:rsid w:val="00DD0067"/>
    <w:rsid w:val="00DD7AEA"/>
    <w:rsid w:val="00DE0560"/>
    <w:rsid w:val="00DF37CC"/>
    <w:rsid w:val="00DF6E88"/>
    <w:rsid w:val="00E079EA"/>
    <w:rsid w:val="00E107F3"/>
    <w:rsid w:val="00E24ED2"/>
    <w:rsid w:val="00E300DC"/>
    <w:rsid w:val="00E3077B"/>
    <w:rsid w:val="00E36A78"/>
    <w:rsid w:val="00E42174"/>
    <w:rsid w:val="00E5008C"/>
    <w:rsid w:val="00E76FB8"/>
    <w:rsid w:val="00E82064"/>
    <w:rsid w:val="00E82B41"/>
    <w:rsid w:val="00E844EA"/>
    <w:rsid w:val="00E84806"/>
    <w:rsid w:val="00E97911"/>
    <w:rsid w:val="00EB0D6C"/>
    <w:rsid w:val="00EB10B9"/>
    <w:rsid w:val="00EB13EC"/>
    <w:rsid w:val="00EC7719"/>
    <w:rsid w:val="00EE0772"/>
    <w:rsid w:val="00EE2E9C"/>
    <w:rsid w:val="00EE6033"/>
    <w:rsid w:val="00EE7F9E"/>
    <w:rsid w:val="00EF01AF"/>
    <w:rsid w:val="00EF4E6B"/>
    <w:rsid w:val="00F01773"/>
    <w:rsid w:val="00F02C91"/>
    <w:rsid w:val="00F04FDB"/>
    <w:rsid w:val="00F05F62"/>
    <w:rsid w:val="00F1548D"/>
    <w:rsid w:val="00F17D59"/>
    <w:rsid w:val="00F24531"/>
    <w:rsid w:val="00F2735A"/>
    <w:rsid w:val="00F415B9"/>
    <w:rsid w:val="00F47DDE"/>
    <w:rsid w:val="00F54D1C"/>
    <w:rsid w:val="00F560CB"/>
    <w:rsid w:val="00F622F8"/>
    <w:rsid w:val="00F63991"/>
    <w:rsid w:val="00F750C8"/>
    <w:rsid w:val="00F80B35"/>
    <w:rsid w:val="00F82C8E"/>
    <w:rsid w:val="00F86AA1"/>
    <w:rsid w:val="00F90335"/>
    <w:rsid w:val="00F96BF2"/>
    <w:rsid w:val="00FA264D"/>
    <w:rsid w:val="00FA4E54"/>
    <w:rsid w:val="00FC0A83"/>
    <w:rsid w:val="00FC4C1C"/>
    <w:rsid w:val="00FC5DFE"/>
    <w:rsid w:val="00FD6786"/>
    <w:rsid w:val="00FD6A71"/>
    <w:rsid w:val="00FE7741"/>
    <w:rsid w:val="00FF17FA"/>
    <w:rsid w:val="00FF36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ar-SA"/>
      </w:rPr>
    </w:rPrDefault>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Normaallaad">
    <w:name w:val="Normal"/>
    <w:qFormat/>
    <w:rsid w:val="00F01773"/>
    <w:pPr>
      <w:spacing w:line="276" w:lineRule="auto"/>
    </w:pPr>
    <w:rPr>
      <w:lang w:val="en-GB" w:eastAsia="en-US"/>
    </w:rPr>
  </w:style>
  <w:style w:type="paragraph" w:styleId="Pealkiri1">
    <w:name w:val="heading 1"/>
    <w:basedOn w:val="Normaallaad"/>
    <w:next w:val="Normaallaad"/>
    <w:link w:val="Pealkiri1Mrk"/>
    <w:uiPriority w:val="9"/>
    <w:qFormat/>
    <w:rsid w:val="00103F5A"/>
    <w:pPr>
      <w:spacing w:after="360"/>
      <w:outlineLvl w:val="0"/>
    </w:pPr>
    <w:rPr>
      <w:rFonts w:cs="Calibri"/>
      <w:b/>
      <w:color w:val="348093"/>
      <w:sz w:val="32"/>
      <w:szCs w:val="32"/>
      <w:lang w:val="et-EE" w:eastAsia="zh-CN"/>
    </w:rPr>
  </w:style>
  <w:style w:type="paragraph" w:styleId="Pealkiri2">
    <w:name w:val="heading 2"/>
    <w:basedOn w:val="Normaallaad"/>
    <w:next w:val="Normaallaad"/>
    <w:link w:val="Pealkiri2Mrk"/>
    <w:uiPriority w:val="9"/>
    <w:qFormat/>
    <w:rsid w:val="00103F5A"/>
    <w:pPr>
      <w:spacing w:after="200"/>
      <w:contextualSpacing/>
      <w:outlineLvl w:val="1"/>
    </w:pPr>
    <w:rPr>
      <w:rFonts w:eastAsia="Times New Roman" w:cs="Calibri"/>
      <w:b/>
      <w:color w:val="348093"/>
      <w:sz w:val="28"/>
      <w:lang w:val="et-EE" w:eastAsia="zh-CN"/>
    </w:rPr>
  </w:style>
  <w:style w:type="paragraph" w:styleId="Pealkiri3">
    <w:name w:val="heading 3"/>
    <w:basedOn w:val="Pealkiri2"/>
    <w:next w:val="Normaallaad"/>
    <w:link w:val="Pealkiri3Mrk"/>
    <w:uiPriority w:val="9"/>
    <w:qFormat/>
    <w:rsid w:val="00103F5A"/>
    <w:pPr>
      <w:keepNext/>
      <w:spacing w:before="240" w:after="120"/>
      <w:outlineLvl w:val="2"/>
    </w:pPr>
    <w:rPr>
      <w:sz w:val="26"/>
      <w:szCs w:val="24"/>
    </w:rPr>
  </w:style>
  <w:style w:type="paragraph" w:styleId="Pealkiri4">
    <w:name w:val="heading 4"/>
    <w:basedOn w:val="Normaallaad"/>
    <w:next w:val="Normaallaad"/>
    <w:link w:val="Pealkiri4Mrk"/>
    <w:uiPriority w:val="9"/>
    <w:qFormat/>
    <w:rsid w:val="00103F5A"/>
    <w:pPr>
      <w:keepNext/>
      <w:keepLines/>
      <w:spacing w:before="200"/>
      <w:outlineLvl w:val="3"/>
    </w:pPr>
    <w:rPr>
      <w:rFonts w:eastAsia="Times New Roman" w:cs="Calibri"/>
      <w:b/>
      <w:bCs/>
      <w:iCs/>
      <w:color w:val="348093"/>
      <w:sz w:val="26"/>
      <w:szCs w:val="26"/>
      <w:lang w:val="et-EE"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03F5A"/>
    <w:rPr>
      <w:rFonts w:ascii="Calibri" w:hAnsi="Calibri" w:cs="Calibri"/>
      <w:b/>
      <w:color w:val="348093"/>
      <w:sz w:val="32"/>
      <w:szCs w:val="32"/>
      <w:lang w:val="et-EE" w:eastAsia="zh-CN"/>
    </w:rPr>
  </w:style>
  <w:style w:type="character" w:customStyle="1" w:styleId="Pealkiri2Mrk">
    <w:name w:val="Pealkiri 2 Märk"/>
    <w:basedOn w:val="Liguvaikefont"/>
    <w:link w:val="Pealkiri2"/>
    <w:uiPriority w:val="9"/>
    <w:locked/>
    <w:rsid w:val="00103F5A"/>
    <w:rPr>
      <w:rFonts w:eastAsia="Times New Roman" w:cs="Calibri"/>
      <w:b/>
      <w:color w:val="348093"/>
      <w:sz w:val="28"/>
      <w:lang w:val="et-EE" w:eastAsia="zh-CN"/>
    </w:rPr>
  </w:style>
  <w:style w:type="character" w:customStyle="1" w:styleId="Pealkiri3Mrk">
    <w:name w:val="Pealkiri 3 Märk"/>
    <w:basedOn w:val="Liguvaikefont"/>
    <w:link w:val="Pealkiri3"/>
    <w:uiPriority w:val="9"/>
    <w:locked/>
    <w:rsid w:val="00103F5A"/>
    <w:rPr>
      <w:rFonts w:eastAsia="Times New Roman" w:cs="Calibri"/>
      <w:b/>
      <w:color w:val="348093"/>
      <w:sz w:val="24"/>
      <w:szCs w:val="24"/>
      <w:lang w:val="et-EE" w:eastAsia="zh-CN"/>
    </w:rPr>
  </w:style>
  <w:style w:type="character" w:customStyle="1" w:styleId="Pealkiri4Mrk">
    <w:name w:val="Pealkiri 4 Märk"/>
    <w:basedOn w:val="Liguvaikefont"/>
    <w:link w:val="Pealkiri4"/>
    <w:uiPriority w:val="9"/>
    <w:locked/>
    <w:rsid w:val="00103F5A"/>
    <w:rPr>
      <w:rFonts w:eastAsia="Times New Roman" w:cs="Calibri"/>
      <w:b/>
      <w:bCs/>
      <w:iCs/>
      <w:color w:val="348093"/>
      <w:sz w:val="26"/>
      <w:szCs w:val="26"/>
      <w:lang w:val="et-EE" w:eastAsia="zh-CN"/>
    </w:rPr>
  </w:style>
  <w:style w:type="paragraph" w:styleId="Pis">
    <w:name w:val="header"/>
    <w:basedOn w:val="Normaallaad"/>
    <w:link w:val="PisMrk"/>
    <w:uiPriority w:val="99"/>
    <w:rsid w:val="00103F5A"/>
    <w:pPr>
      <w:tabs>
        <w:tab w:val="center" w:pos="4536"/>
        <w:tab w:val="right" w:pos="9072"/>
      </w:tabs>
      <w:spacing w:line="240" w:lineRule="auto"/>
    </w:pPr>
    <w:rPr>
      <w:rFonts w:eastAsia="Times New Roman"/>
      <w:lang w:val="et-EE" w:eastAsia="zh-CN"/>
    </w:rPr>
  </w:style>
  <w:style w:type="character" w:customStyle="1" w:styleId="PisMrk">
    <w:name w:val="Päis Märk"/>
    <w:basedOn w:val="Liguvaikefont"/>
    <w:link w:val="Pis"/>
    <w:uiPriority w:val="99"/>
    <w:locked/>
    <w:rsid w:val="00103F5A"/>
    <w:rPr>
      <w:rFonts w:eastAsia="Times New Roman" w:cs="Times New Roman"/>
      <w:lang w:val="et-EE" w:eastAsia="zh-CN"/>
    </w:rPr>
  </w:style>
  <w:style w:type="paragraph" w:styleId="Jalus">
    <w:name w:val="footer"/>
    <w:basedOn w:val="Normaallaad"/>
    <w:link w:val="JalusMrk"/>
    <w:uiPriority w:val="99"/>
    <w:rsid w:val="00103F5A"/>
    <w:pPr>
      <w:tabs>
        <w:tab w:val="center" w:pos="4536"/>
        <w:tab w:val="right" w:pos="9072"/>
      </w:tabs>
      <w:spacing w:line="240" w:lineRule="auto"/>
    </w:pPr>
    <w:rPr>
      <w:rFonts w:eastAsia="Times New Roman"/>
      <w:lang w:val="et-EE" w:eastAsia="zh-CN"/>
    </w:rPr>
  </w:style>
  <w:style w:type="character" w:customStyle="1" w:styleId="JalusMrk">
    <w:name w:val="Jalus Märk"/>
    <w:basedOn w:val="Liguvaikefont"/>
    <w:link w:val="Jalus"/>
    <w:uiPriority w:val="99"/>
    <w:locked/>
    <w:rsid w:val="00103F5A"/>
    <w:rPr>
      <w:rFonts w:eastAsia="Times New Roman" w:cs="Times New Roman"/>
      <w:lang w:val="et-EE" w:eastAsia="zh-CN"/>
    </w:rPr>
  </w:style>
  <w:style w:type="paragraph" w:styleId="Loendilik">
    <w:name w:val="List Paragraph"/>
    <w:basedOn w:val="Normaallaad"/>
    <w:link w:val="LoendilikMrk"/>
    <w:uiPriority w:val="34"/>
    <w:qFormat/>
    <w:rsid w:val="00103F5A"/>
    <w:pPr>
      <w:spacing w:after="200"/>
      <w:ind w:left="720"/>
      <w:contextualSpacing/>
    </w:pPr>
    <w:rPr>
      <w:rFonts w:eastAsia="Times New Roman"/>
      <w:lang w:val="et-EE" w:eastAsia="zh-CN"/>
    </w:rPr>
  </w:style>
  <w:style w:type="character" w:customStyle="1" w:styleId="LoendilikMrk">
    <w:name w:val="Loendi lõik Märk"/>
    <w:basedOn w:val="Liguvaikefont"/>
    <w:link w:val="Loendilik"/>
    <w:uiPriority w:val="34"/>
    <w:locked/>
    <w:rsid w:val="00103F5A"/>
    <w:rPr>
      <w:rFonts w:eastAsia="Times New Roman" w:cs="Times New Roman"/>
      <w:lang w:val="et-EE" w:eastAsia="zh-CN"/>
    </w:rPr>
  </w:style>
  <w:style w:type="paragraph" w:customStyle="1" w:styleId="kehatekst">
    <w:name w:val="kehatekst"/>
    <w:basedOn w:val="Normaallaad"/>
    <w:link w:val="kehatekstMrk"/>
    <w:qFormat/>
    <w:rsid w:val="00103F5A"/>
    <w:pPr>
      <w:spacing w:after="120"/>
      <w:ind w:left="709"/>
      <w:jc w:val="both"/>
    </w:pPr>
    <w:rPr>
      <w:rFonts w:ascii="Cambria" w:eastAsia="Times New Roman" w:hAnsi="Cambria"/>
      <w:sz w:val="24"/>
      <w:szCs w:val="21"/>
      <w:lang w:val="et-EE" w:eastAsia="zh-CN"/>
    </w:rPr>
  </w:style>
  <w:style w:type="character" w:customStyle="1" w:styleId="kehatekstMrk">
    <w:name w:val="kehatekst Märk"/>
    <w:basedOn w:val="Liguvaikefont"/>
    <w:link w:val="kehatekst"/>
    <w:locked/>
    <w:rsid w:val="00103F5A"/>
    <w:rPr>
      <w:rFonts w:ascii="Cambria" w:hAnsi="Cambria" w:cs="Times New Roman"/>
      <w:sz w:val="21"/>
      <w:szCs w:val="21"/>
      <w:lang w:val="et-EE" w:eastAsia="zh-CN"/>
    </w:rPr>
  </w:style>
  <w:style w:type="paragraph" w:customStyle="1" w:styleId="a-thtloend">
    <w:name w:val="a-tähtloend"/>
    <w:basedOn w:val="kehatekst"/>
    <w:link w:val="a-thtloendMrk"/>
    <w:qFormat/>
    <w:rsid w:val="00103F5A"/>
    <w:pPr>
      <w:ind w:left="1559" w:hanging="567"/>
    </w:pPr>
  </w:style>
  <w:style w:type="character" w:customStyle="1" w:styleId="a-thtloendMrk">
    <w:name w:val="a-tähtloend Märk"/>
    <w:basedOn w:val="kehatekstMrk"/>
    <w:link w:val="a-thtloend"/>
    <w:locked/>
    <w:rsid w:val="00103F5A"/>
    <w:rPr>
      <w:rFonts w:ascii="Cambria" w:hAnsi="Cambria" w:cs="Times New Roman"/>
      <w:sz w:val="21"/>
      <w:szCs w:val="21"/>
      <w:lang w:val="et-EE" w:eastAsia="zh-CN"/>
    </w:rPr>
  </w:style>
  <w:style w:type="paragraph" w:customStyle="1" w:styleId="Sinineloend">
    <w:name w:val="Sinineloend"/>
    <w:basedOn w:val="kehatekst"/>
    <w:link w:val="SinineloendMrk"/>
    <w:qFormat/>
    <w:rsid w:val="00103F5A"/>
    <w:pPr>
      <w:numPr>
        <w:numId w:val="1"/>
      </w:numPr>
      <w:ind w:left="2342" w:hanging="357"/>
      <w:contextualSpacing/>
    </w:pPr>
    <w:rPr>
      <w:szCs w:val="24"/>
    </w:rPr>
  </w:style>
  <w:style w:type="character" w:customStyle="1" w:styleId="SinineloendMrk">
    <w:name w:val="Sinineloend Märk"/>
    <w:basedOn w:val="LoendilikMrk"/>
    <w:link w:val="Sinineloend"/>
    <w:locked/>
    <w:rsid w:val="00103F5A"/>
    <w:rPr>
      <w:rFonts w:ascii="Cambria" w:eastAsia="Times New Roman" w:hAnsi="Cambria" w:cs="Times New Roman"/>
      <w:sz w:val="24"/>
      <w:szCs w:val="24"/>
      <w:lang w:val="et-EE" w:eastAsia="zh-CN"/>
    </w:rPr>
  </w:style>
  <w:style w:type="paragraph" w:customStyle="1" w:styleId="Kehatekstloend">
    <w:name w:val="Kehatekst loend"/>
    <w:basedOn w:val="kehatekst"/>
    <w:link w:val="KehatekstloendMrk"/>
    <w:qFormat/>
    <w:rsid w:val="00103F5A"/>
    <w:pPr>
      <w:ind w:hanging="709"/>
    </w:pPr>
  </w:style>
  <w:style w:type="character" w:customStyle="1" w:styleId="KehatekstloendMrk">
    <w:name w:val="Kehatekst loend Märk"/>
    <w:basedOn w:val="kehatekstMrk"/>
    <w:link w:val="Kehatekstloend"/>
    <w:locked/>
    <w:rsid w:val="00103F5A"/>
    <w:rPr>
      <w:rFonts w:ascii="Cambria" w:hAnsi="Cambria" w:cs="Times New Roman"/>
      <w:sz w:val="21"/>
      <w:szCs w:val="21"/>
      <w:lang w:val="et-EE" w:eastAsia="zh-CN"/>
    </w:rPr>
  </w:style>
  <w:style w:type="paragraph" w:styleId="Allmrkusetekst">
    <w:name w:val="footnote text"/>
    <w:basedOn w:val="Normaallaad"/>
    <w:link w:val="AllmrkusetekstMrk"/>
    <w:uiPriority w:val="99"/>
    <w:semiHidden/>
    <w:rsid w:val="00103F5A"/>
    <w:pPr>
      <w:spacing w:after="120" w:line="240" w:lineRule="auto"/>
    </w:pPr>
    <w:rPr>
      <w:rFonts w:eastAsia="Times New Roman"/>
      <w:sz w:val="20"/>
      <w:szCs w:val="20"/>
      <w:lang w:val="et-EE" w:eastAsia="zh-CN"/>
    </w:rPr>
  </w:style>
  <w:style w:type="character" w:customStyle="1" w:styleId="AllmrkusetekstMrk">
    <w:name w:val="Allmärkuse tekst Märk"/>
    <w:basedOn w:val="Liguvaikefont"/>
    <w:link w:val="Allmrkusetekst"/>
    <w:uiPriority w:val="99"/>
    <w:semiHidden/>
    <w:locked/>
    <w:rsid w:val="00103F5A"/>
    <w:rPr>
      <w:rFonts w:eastAsia="Times New Roman" w:cs="Times New Roman"/>
      <w:sz w:val="20"/>
      <w:szCs w:val="20"/>
      <w:lang w:val="et-EE" w:eastAsia="zh-CN"/>
    </w:rPr>
  </w:style>
  <w:style w:type="character" w:styleId="Allmrkuseviide">
    <w:name w:val="footnote reference"/>
    <w:basedOn w:val="Liguvaikefont"/>
    <w:uiPriority w:val="99"/>
    <w:semiHidden/>
    <w:rsid w:val="00103F5A"/>
    <w:rPr>
      <w:rFonts w:cs="Times New Roman"/>
      <w:vertAlign w:val="superscript"/>
    </w:rPr>
  </w:style>
  <w:style w:type="paragraph" w:customStyle="1" w:styleId="i-thtloeng">
    <w:name w:val="i-tähtloeng"/>
    <w:basedOn w:val="a-thtloend"/>
    <w:next w:val="kehatekst"/>
    <w:link w:val="i-thtloengMrk"/>
    <w:qFormat/>
    <w:rsid w:val="00103F5A"/>
    <w:pPr>
      <w:ind w:left="2127"/>
    </w:pPr>
  </w:style>
  <w:style w:type="character" w:customStyle="1" w:styleId="i-thtloengMrk">
    <w:name w:val="i-tähtloeng Märk"/>
    <w:basedOn w:val="a-thtloendMrk"/>
    <w:link w:val="i-thtloeng"/>
    <w:locked/>
    <w:rsid w:val="00103F5A"/>
    <w:rPr>
      <w:rFonts w:ascii="Cambria" w:hAnsi="Cambria" w:cs="Times New Roman"/>
      <w:sz w:val="21"/>
      <w:szCs w:val="21"/>
      <w:lang w:val="et-EE" w:eastAsia="zh-CN"/>
    </w:rPr>
  </w:style>
  <w:style w:type="paragraph" w:customStyle="1" w:styleId="A-pealkiri">
    <w:name w:val="A-pealkiri"/>
    <w:basedOn w:val="Pealkiri3"/>
    <w:link w:val="A-pealkiriMrk"/>
    <w:qFormat/>
    <w:rsid w:val="00103F5A"/>
    <w:pPr>
      <w:ind w:left="709" w:hanging="709"/>
    </w:pPr>
  </w:style>
  <w:style w:type="character" w:customStyle="1" w:styleId="A-pealkiriMrk">
    <w:name w:val="A-pealkiri Märk"/>
    <w:basedOn w:val="Pealkiri2Mrk"/>
    <w:link w:val="A-pealkiri"/>
    <w:locked/>
    <w:rsid w:val="00103F5A"/>
    <w:rPr>
      <w:rFonts w:eastAsia="Times New Roman" w:cs="Calibri"/>
      <w:b/>
      <w:color w:val="348093"/>
      <w:sz w:val="24"/>
      <w:szCs w:val="24"/>
      <w:lang w:val="et-EE" w:eastAsia="zh-CN"/>
    </w:rPr>
  </w:style>
  <w:style w:type="table" w:styleId="Kontuurtabel">
    <w:name w:val="Table Grid"/>
    <w:basedOn w:val="Normaaltabel"/>
    <w:uiPriority w:val="59"/>
    <w:rsid w:val="00103F5A"/>
    <w:rPr>
      <w:rFonts w:eastAsia="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K1">
    <w:name w:val="toc 1"/>
    <w:basedOn w:val="Normaallaad"/>
    <w:next w:val="Normaallaad"/>
    <w:autoRedefine/>
    <w:uiPriority w:val="39"/>
    <w:rsid w:val="00103F5A"/>
    <w:pPr>
      <w:spacing w:after="100"/>
    </w:pPr>
    <w:rPr>
      <w:rFonts w:eastAsia="Times New Roman"/>
      <w:lang w:val="et-EE" w:eastAsia="zh-CN"/>
    </w:rPr>
  </w:style>
  <w:style w:type="character" w:styleId="Hperlink">
    <w:name w:val="Hyperlink"/>
    <w:basedOn w:val="Liguvaikefont"/>
    <w:uiPriority w:val="99"/>
    <w:rsid w:val="00103F5A"/>
    <w:rPr>
      <w:rFonts w:cs="Times New Roman"/>
      <w:color w:val="0000FF"/>
      <w:u w:val="single"/>
    </w:rPr>
  </w:style>
  <w:style w:type="paragraph" w:customStyle="1" w:styleId="ii-thtloend">
    <w:name w:val="ii-tähtloend"/>
    <w:basedOn w:val="i-thtloeng"/>
    <w:link w:val="ii-thtloendMrk"/>
    <w:qFormat/>
    <w:rsid w:val="00103F5A"/>
    <w:pPr>
      <w:ind w:left="2694"/>
    </w:pPr>
  </w:style>
  <w:style w:type="character" w:customStyle="1" w:styleId="ii-thtloendMrk">
    <w:name w:val="ii-tähtloend Märk"/>
    <w:basedOn w:val="i-thtloengMrk"/>
    <w:link w:val="ii-thtloend"/>
    <w:locked/>
    <w:rsid w:val="00103F5A"/>
    <w:rPr>
      <w:rFonts w:ascii="Cambria" w:hAnsi="Cambria" w:cs="Times New Roman"/>
      <w:sz w:val="21"/>
      <w:szCs w:val="21"/>
      <w:lang w:val="et-EE" w:eastAsia="zh-CN"/>
    </w:rPr>
  </w:style>
  <w:style w:type="character" w:customStyle="1" w:styleId="st">
    <w:name w:val="st"/>
    <w:basedOn w:val="Liguvaikefont"/>
    <w:rsid w:val="00103F5A"/>
    <w:rPr>
      <w:rFonts w:cs="Times New Roman"/>
    </w:rPr>
  </w:style>
  <w:style w:type="character" w:styleId="Rhutus">
    <w:name w:val="Emphasis"/>
    <w:basedOn w:val="Liguvaikefont"/>
    <w:uiPriority w:val="20"/>
    <w:qFormat/>
    <w:rsid w:val="00103F5A"/>
    <w:rPr>
      <w:rFonts w:cs="Times New Roman"/>
      <w:i/>
      <w:iCs/>
    </w:rPr>
  </w:style>
  <w:style w:type="paragraph" w:styleId="Jutumullitekst">
    <w:name w:val="Balloon Text"/>
    <w:basedOn w:val="Normaallaad"/>
    <w:link w:val="JutumullitekstMrk"/>
    <w:uiPriority w:val="99"/>
    <w:semiHidden/>
    <w:rsid w:val="00F1548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DC1ABD"/>
    <w:rPr>
      <w:rFonts w:ascii="Times New Roman" w:hAnsi="Times New Roman" w:cs="Times New Roman"/>
      <w:sz w:val="2"/>
      <w:lang w:val="en-GB" w:eastAsia="en-US"/>
    </w:rPr>
  </w:style>
  <w:style w:type="character" w:styleId="Kommentaariviide">
    <w:name w:val="annotation reference"/>
    <w:basedOn w:val="Liguvaikefont"/>
    <w:uiPriority w:val="99"/>
    <w:semiHidden/>
    <w:rsid w:val="00F1548D"/>
    <w:rPr>
      <w:rFonts w:cs="Times New Roman"/>
      <w:sz w:val="16"/>
      <w:szCs w:val="16"/>
    </w:rPr>
  </w:style>
  <w:style w:type="paragraph" w:styleId="Kommentaaritekst">
    <w:name w:val="annotation text"/>
    <w:basedOn w:val="Normaallaad"/>
    <w:link w:val="KommentaaritekstMrk"/>
    <w:uiPriority w:val="99"/>
    <w:semiHidden/>
    <w:rsid w:val="00F1548D"/>
    <w:rPr>
      <w:sz w:val="20"/>
      <w:szCs w:val="20"/>
    </w:rPr>
  </w:style>
  <w:style w:type="character" w:customStyle="1" w:styleId="KommentaaritekstMrk">
    <w:name w:val="Kommentaari tekst Märk"/>
    <w:basedOn w:val="Liguvaikefont"/>
    <w:link w:val="Kommentaaritekst"/>
    <w:uiPriority w:val="99"/>
    <w:semiHidden/>
    <w:locked/>
    <w:rsid w:val="00DC1ABD"/>
    <w:rPr>
      <w:rFonts w:cs="Times New Roman"/>
      <w:sz w:val="20"/>
      <w:szCs w:val="20"/>
      <w:lang w:val="en-GB" w:eastAsia="en-US"/>
    </w:rPr>
  </w:style>
  <w:style w:type="paragraph" w:styleId="Kommentaariteema">
    <w:name w:val="annotation subject"/>
    <w:basedOn w:val="Kommentaaritekst"/>
    <w:next w:val="Kommentaaritekst"/>
    <w:link w:val="KommentaariteemaMrk"/>
    <w:uiPriority w:val="99"/>
    <w:semiHidden/>
    <w:rsid w:val="00F1548D"/>
    <w:rPr>
      <w:b/>
      <w:bCs/>
    </w:rPr>
  </w:style>
  <w:style w:type="character" w:customStyle="1" w:styleId="KommentaariteemaMrk">
    <w:name w:val="Kommentaari teema Märk"/>
    <w:basedOn w:val="KommentaaritekstMrk"/>
    <w:link w:val="Kommentaariteema"/>
    <w:uiPriority w:val="99"/>
    <w:semiHidden/>
    <w:locked/>
    <w:rsid w:val="00DC1ABD"/>
    <w:rPr>
      <w:rFonts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ar-SA"/>
      </w:rPr>
    </w:rPrDefault>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Normaallaad">
    <w:name w:val="Normal"/>
    <w:qFormat/>
    <w:rsid w:val="00F01773"/>
    <w:pPr>
      <w:spacing w:line="276" w:lineRule="auto"/>
    </w:pPr>
    <w:rPr>
      <w:lang w:val="en-GB" w:eastAsia="en-US"/>
    </w:rPr>
  </w:style>
  <w:style w:type="paragraph" w:styleId="Pealkiri1">
    <w:name w:val="heading 1"/>
    <w:basedOn w:val="Normaallaad"/>
    <w:next w:val="Normaallaad"/>
    <w:link w:val="Pealkiri1Mrk"/>
    <w:uiPriority w:val="9"/>
    <w:qFormat/>
    <w:rsid w:val="00103F5A"/>
    <w:pPr>
      <w:spacing w:after="360"/>
      <w:outlineLvl w:val="0"/>
    </w:pPr>
    <w:rPr>
      <w:rFonts w:cs="Calibri"/>
      <w:b/>
      <w:color w:val="348093"/>
      <w:sz w:val="32"/>
      <w:szCs w:val="32"/>
      <w:lang w:val="et-EE" w:eastAsia="zh-CN"/>
    </w:rPr>
  </w:style>
  <w:style w:type="paragraph" w:styleId="Pealkiri2">
    <w:name w:val="heading 2"/>
    <w:basedOn w:val="Normaallaad"/>
    <w:next w:val="Normaallaad"/>
    <w:link w:val="Pealkiri2Mrk"/>
    <w:uiPriority w:val="9"/>
    <w:qFormat/>
    <w:rsid w:val="00103F5A"/>
    <w:pPr>
      <w:spacing w:after="200"/>
      <w:contextualSpacing/>
      <w:outlineLvl w:val="1"/>
    </w:pPr>
    <w:rPr>
      <w:rFonts w:eastAsia="Times New Roman" w:cs="Calibri"/>
      <w:b/>
      <w:color w:val="348093"/>
      <w:sz w:val="28"/>
      <w:lang w:val="et-EE" w:eastAsia="zh-CN"/>
    </w:rPr>
  </w:style>
  <w:style w:type="paragraph" w:styleId="Pealkiri3">
    <w:name w:val="heading 3"/>
    <w:basedOn w:val="Pealkiri2"/>
    <w:next w:val="Normaallaad"/>
    <w:link w:val="Pealkiri3Mrk"/>
    <w:uiPriority w:val="9"/>
    <w:qFormat/>
    <w:rsid w:val="00103F5A"/>
    <w:pPr>
      <w:keepNext/>
      <w:spacing w:before="240" w:after="120"/>
      <w:outlineLvl w:val="2"/>
    </w:pPr>
    <w:rPr>
      <w:sz w:val="26"/>
      <w:szCs w:val="24"/>
    </w:rPr>
  </w:style>
  <w:style w:type="paragraph" w:styleId="Pealkiri4">
    <w:name w:val="heading 4"/>
    <w:basedOn w:val="Normaallaad"/>
    <w:next w:val="Normaallaad"/>
    <w:link w:val="Pealkiri4Mrk"/>
    <w:uiPriority w:val="9"/>
    <w:qFormat/>
    <w:rsid w:val="00103F5A"/>
    <w:pPr>
      <w:keepNext/>
      <w:keepLines/>
      <w:spacing w:before="200"/>
      <w:outlineLvl w:val="3"/>
    </w:pPr>
    <w:rPr>
      <w:rFonts w:eastAsia="Times New Roman" w:cs="Calibri"/>
      <w:b/>
      <w:bCs/>
      <w:iCs/>
      <w:color w:val="348093"/>
      <w:sz w:val="26"/>
      <w:szCs w:val="26"/>
      <w:lang w:val="et-EE"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03F5A"/>
    <w:rPr>
      <w:rFonts w:ascii="Calibri" w:hAnsi="Calibri" w:cs="Calibri"/>
      <w:b/>
      <w:color w:val="348093"/>
      <w:sz w:val="32"/>
      <w:szCs w:val="32"/>
      <w:lang w:val="et-EE" w:eastAsia="zh-CN"/>
    </w:rPr>
  </w:style>
  <w:style w:type="character" w:customStyle="1" w:styleId="Pealkiri2Mrk">
    <w:name w:val="Pealkiri 2 Märk"/>
    <w:basedOn w:val="Liguvaikefont"/>
    <w:link w:val="Pealkiri2"/>
    <w:uiPriority w:val="9"/>
    <w:locked/>
    <w:rsid w:val="00103F5A"/>
    <w:rPr>
      <w:rFonts w:eastAsia="Times New Roman" w:cs="Calibri"/>
      <w:b/>
      <w:color w:val="348093"/>
      <w:sz w:val="28"/>
      <w:lang w:val="et-EE" w:eastAsia="zh-CN"/>
    </w:rPr>
  </w:style>
  <w:style w:type="character" w:customStyle="1" w:styleId="Pealkiri3Mrk">
    <w:name w:val="Pealkiri 3 Märk"/>
    <w:basedOn w:val="Liguvaikefont"/>
    <w:link w:val="Pealkiri3"/>
    <w:uiPriority w:val="9"/>
    <w:locked/>
    <w:rsid w:val="00103F5A"/>
    <w:rPr>
      <w:rFonts w:eastAsia="Times New Roman" w:cs="Calibri"/>
      <w:b/>
      <w:color w:val="348093"/>
      <w:sz w:val="24"/>
      <w:szCs w:val="24"/>
      <w:lang w:val="et-EE" w:eastAsia="zh-CN"/>
    </w:rPr>
  </w:style>
  <w:style w:type="character" w:customStyle="1" w:styleId="Pealkiri4Mrk">
    <w:name w:val="Pealkiri 4 Märk"/>
    <w:basedOn w:val="Liguvaikefont"/>
    <w:link w:val="Pealkiri4"/>
    <w:uiPriority w:val="9"/>
    <w:locked/>
    <w:rsid w:val="00103F5A"/>
    <w:rPr>
      <w:rFonts w:eastAsia="Times New Roman" w:cs="Calibri"/>
      <w:b/>
      <w:bCs/>
      <w:iCs/>
      <w:color w:val="348093"/>
      <w:sz w:val="26"/>
      <w:szCs w:val="26"/>
      <w:lang w:val="et-EE" w:eastAsia="zh-CN"/>
    </w:rPr>
  </w:style>
  <w:style w:type="paragraph" w:styleId="Pis">
    <w:name w:val="header"/>
    <w:basedOn w:val="Normaallaad"/>
    <w:link w:val="PisMrk"/>
    <w:uiPriority w:val="99"/>
    <w:rsid w:val="00103F5A"/>
    <w:pPr>
      <w:tabs>
        <w:tab w:val="center" w:pos="4536"/>
        <w:tab w:val="right" w:pos="9072"/>
      </w:tabs>
      <w:spacing w:line="240" w:lineRule="auto"/>
    </w:pPr>
    <w:rPr>
      <w:rFonts w:eastAsia="Times New Roman"/>
      <w:lang w:val="et-EE" w:eastAsia="zh-CN"/>
    </w:rPr>
  </w:style>
  <w:style w:type="character" w:customStyle="1" w:styleId="PisMrk">
    <w:name w:val="Päis Märk"/>
    <w:basedOn w:val="Liguvaikefont"/>
    <w:link w:val="Pis"/>
    <w:uiPriority w:val="99"/>
    <w:locked/>
    <w:rsid w:val="00103F5A"/>
    <w:rPr>
      <w:rFonts w:eastAsia="Times New Roman" w:cs="Times New Roman"/>
      <w:lang w:val="et-EE" w:eastAsia="zh-CN"/>
    </w:rPr>
  </w:style>
  <w:style w:type="paragraph" w:styleId="Jalus">
    <w:name w:val="footer"/>
    <w:basedOn w:val="Normaallaad"/>
    <w:link w:val="JalusMrk"/>
    <w:uiPriority w:val="99"/>
    <w:rsid w:val="00103F5A"/>
    <w:pPr>
      <w:tabs>
        <w:tab w:val="center" w:pos="4536"/>
        <w:tab w:val="right" w:pos="9072"/>
      </w:tabs>
      <w:spacing w:line="240" w:lineRule="auto"/>
    </w:pPr>
    <w:rPr>
      <w:rFonts w:eastAsia="Times New Roman"/>
      <w:lang w:val="et-EE" w:eastAsia="zh-CN"/>
    </w:rPr>
  </w:style>
  <w:style w:type="character" w:customStyle="1" w:styleId="JalusMrk">
    <w:name w:val="Jalus Märk"/>
    <w:basedOn w:val="Liguvaikefont"/>
    <w:link w:val="Jalus"/>
    <w:uiPriority w:val="99"/>
    <w:locked/>
    <w:rsid w:val="00103F5A"/>
    <w:rPr>
      <w:rFonts w:eastAsia="Times New Roman" w:cs="Times New Roman"/>
      <w:lang w:val="et-EE" w:eastAsia="zh-CN"/>
    </w:rPr>
  </w:style>
  <w:style w:type="paragraph" w:styleId="Loendilik">
    <w:name w:val="List Paragraph"/>
    <w:basedOn w:val="Normaallaad"/>
    <w:link w:val="LoendilikMrk"/>
    <w:uiPriority w:val="34"/>
    <w:qFormat/>
    <w:rsid w:val="00103F5A"/>
    <w:pPr>
      <w:spacing w:after="200"/>
      <w:ind w:left="720"/>
      <w:contextualSpacing/>
    </w:pPr>
    <w:rPr>
      <w:rFonts w:eastAsia="Times New Roman"/>
      <w:lang w:val="et-EE" w:eastAsia="zh-CN"/>
    </w:rPr>
  </w:style>
  <w:style w:type="character" w:customStyle="1" w:styleId="LoendilikMrk">
    <w:name w:val="Loendi lõik Märk"/>
    <w:basedOn w:val="Liguvaikefont"/>
    <w:link w:val="Loendilik"/>
    <w:uiPriority w:val="34"/>
    <w:locked/>
    <w:rsid w:val="00103F5A"/>
    <w:rPr>
      <w:rFonts w:eastAsia="Times New Roman" w:cs="Times New Roman"/>
      <w:lang w:val="et-EE" w:eastAsia="zh-CN"/>
    </w:rPr>
  </w:style>
  <w:style w:type="paragraph" w:customStyle="1" w:styleId="kehatekst">
    <w:name w:val="kehatekst"/>
    <w:basedOn w:val="Normaallaad"/>
    <w:link w:val="kehatekstMrk"/>
    <w:qFormat/>
    <w:rsid w:val="00103F5A"/>
    <w:pPr>
      <w:spacing w:after="120"/>
      <w:ind w:left="709"/>
      <w:jc w:val="both"/>
    </w:pPr>
    <w:rPr>
      <w:rFonts w:ascii="Cambria" w:eastAsia="Times New Roman" w:hAnsi="Cambria"/>
      <w:sz w:val="24"/>
      <w:szCs w:val="21"/>
      <w:lang w:val="et-EE" w:eastAsia="zh-CN"/>
    </w:rPr>
  </w:style>
  <w:style w:type="character" w:customStyle="1" w:styleId="kehatekstMrk">
    <w:name w:val="kehatekst Märk"/>
    <w:basedOn w:val="Liguvaikefont"/>
    <w:link w:val="kehatekst"/>
    <w:locked/>
    <w:rsid w:val="00103F5A"/>
    <w:rPr>
      <w:rFonts w:ascii="Cambria" w:hAnsi="Cambria" w:cs="Times New Roman"/>
      <w:sz w:val="21"/>
      <w:szCs w:val="21"/>
      <w:lang w:val="et-EE" w:eastAsia="zh-CN"/>
    </w:rPr>
  </w:style>
  <w:style w:type="paragraph" w:customStyle="1" w:styleId="a-thtloend">
    <w:name w:val="a-tähtloend"/>
    <w:basedOn w:val="kehatekst"/>
    <w:link w:val="a-thtloendMrk"/>
    <w:qFormat/>
    <w:rsid w:val="00103F5A"/>
    <w:pPr>
      <w:ind w:left="1559" w:hanging="567"/>
    </w:pPr>
  </w:style>
  <w:style w:type="character" w:customStyle="1" w:styleId="a-thtloendMrk">
    <w:name w:val="a-tähtloend Märk"/>
    <w:basedOn w:val="kehatekstMrk"/>
    <w:link w:val="a-thtloend"/>
    <w:locked/>
    <w:rsid w:val="00103F5A"/>
    <w:rPr>
      <w:rFonts w:ascii="Cambria" w:hAnsi="Cambria" w:cs="Times New Roman"/>
      <w:sz w:val="21"/>
      <w:szCs w:val="21"/>
      <w:lang w:val="et-EE" w:eastAsia="zh-CN"/>
    </w:rPr>
  </w:style>
  <w:style w:type="paragraph" w:customStyle="1" w:styleId="Sinineloend">
    <w:name w:val="Sinineloend"/>
    <w:basedOn w:val="kehatekst"/>
    <w:link w:val="SinineloendMrk"/>
    <w:qFormat/>
    <w:rsid w:val="00103F5A"/>
    <w:pPr>
      <w:numPr>
        <w:numId w:val="1"/>
      </w:numPr>
      <w:ind w:left="2342" w:hanging="357"/>
      <w:contextualSpacing/>
    </w:pPr>
    <w:rPr>
      <w:szCs w:val="24"/>
    </w:rPr>
  </w:style>
  <w:style w:type="character" w:customStyle="1" w:styleId="SinineloendMrk">
    <w:name w:val="Sinineloend Märk"/>
    <w:basedOn w:val="LoendilikMrk"/>
    <w:link w:val="Sinineloend"/>
    <w:locked/>
    <w:rsid w:val="00103F5A"/>
    <w:rPr>
      <w:rFonts w:ascii="Cambria" w:eastAsia="Times New Roman" w:hAnsi="Cambria" w:cs="Times New Roman"/>
      <w:sz w:val="24"/>
      <w:szCs w:val="24"/>
      <w:lang w:val="et-EE" w:eastAsia="zh-CN"/>
    </w:rPr>
  </w:style>
  <w:style w:type="paragraph" w:customStyle="1" w:styleId="Kehatekstloend">
    <w:name w:val="Kehatekst loend"/>
    <w:basedOn w:val="kehatekst"/>
    <w:link w:val="KehatekstloendMrk"/>
    <w:qFormat/>
    <w:rsid w:val="00103F5A"/>
    <w:pPr>
      <w:ind w:hanging="709"/>
    </w:pPr>
  </w:style>
  <w:style w:type="character" w:customStyle="1" w:styleId="KehatekstloendMrk">
    <w:name w:val="Kehatekst loend Märk"/>
    <w:basedOn w:val="kehatekstMrk"/>
    <w:link w:val="Kehatekstloend"/>
    <w:locked/>
    <w:rsid w:val="00103F5A"/>
    <w:rPr>
      <w:rFonts w:ascii="Cambria" w:hAnsi="Cambria" w:cs="Times New Roman"/>
      <w:sz w:val="21"/>
      <w:szCs w:val="21"/>
      <w:lang w:val="et-EE" w:eastAsia="zh-CN"/>
    </w:rPr>
  </w:style>
  <w:style w:type="paragraph" w:styleId="Allmrkusetekst">
    <w:name w:val="footnote text"/>
    <w:basedOn w:val="Normaallaad"/>
    <w:link w:val="AllmrkusetekstMrk"/>
    <w:uiPriority w:val="99"/>
    <w:semiHidden/>
    <w:rsid w:val="00103F5A"/>
    <w:pPr>
      <w:spacing w:after="120" w:line="240" w:lineRule="auto"/>
    </w:pPr>
    <w:rPr>
      <w:rFonts w:eastAsia="Times New Roman"/>
      <w:sz w:val="20"/>
      <w:szCs w:val="20"/>
      <w:lang w:val="et-EE" w:eastAsia="zh-CN"/>
    </w:rPr>
  </w:style>
  <w:style w:type="character" w:customStyle="1" w:styleId="AllmrkusetekstMrk">
    <w:name w:val="Allmärkuse tekst Märk"/>
    <w:basedOn w:val="Liguvaikefont"/>
    <w:link w:val="Allmrkusetekst"/>
    <w:uiPriority w:val="99"/>
    <w:semiHidden/>
    <w:locked/>
    <w:rsid w:val="00103F5A"/>
    <w:rPr>
      <w:rFonts w:eastAsia="Times New Roman" w:cs="Times New Roman"/>
      <w:sz w:val="20"/>
      <w:szCs w:val="20"/>
      <w:lang w:val="et-EE" w:eastAsia="zh-CN"/>
    </w:rPr>
  </w:style>
  <w:style w:type="character" w:styleId="Allmrkuseviide">
    <w:name w:val="footnote reference"/>
    <w:basedOn w:val="Liguvaikefont"/>
    <w:uiPriority w:val="99"/>
    <w:semiHidden/>
    <w:rsid w:val="00103F5A"/>
    <w:rPr>
      <w:rFonts w:cs="Times New Roman"/>
      <w:vertAlign w:val="superscript"/>
    </w:rPr>
  </w:style>
  <w:style w:type="paragraph" w:customStyle="1" w:styleId="i-thtloeng">
    <w:name w:val="i-tähtloeng"/>
    <w:basedOn w:val="a-thtloend"/>
    <w:next w:val="kehatekst"/>
    <w:link w:val="i-thtloengMrk"/>
    <w:qFormat/>
    <w:rsid w:val="00103F5A"/>
    <w:pPr>
      <w:ind w:left="2127"/>
    </w:pPr>
  </w:style>
  <w:style w:type="character" w:customStyle="1" w:styleId="i-thtloengMrk">
    <w:name w:val="i-tähtloeng Märk"/>
    <w:basedOn w:val="a-thtloendMrk"/>
    <w:link w:val="i-thtloeng"/>
    <w:locked/>
    <w:rsid w:val="00103F5A"/>
    <w:rPr>
      <w:rFonts w:ascii="Cambria" w:hAnsi="Cambria" w:cs="Times New Roman"/>
      <w:sz w:val="21"/>
      <w:szCs w:val="21"/>
      <w:lang w:val="et-EE" w:eastAsia="zh-CN"/>
    </w:rPr>
  </w:style>
  <w:style w:type="paragraph" w:customStyle="1" w:styleId="A-pealkiri">
    <w:name w:val="A-pealkiri"/>
    <w:basedOn w:val="Pealkiri3"/>
    <w:link w:val="A-pealkiriMrk"/>
    <w:qFormat/>
    <w:rsid w:val="00103F5A"/>
    <w:pPr>
      <w:ind w:left="709" w:hanging="709"/>
    </w:pPr>
  </w:style>
  <w:style w:type="character" w:customStyle="1" w:styleId="A-pealkiriMrk">
    <w:name w:val="A-pealkiri Märk"/>
    <w:basedOn w:val="Pealkiri2Mrk"/>
    <w:link w:val="A-pealkiri"/>
    <w:locked/>
    <w:rsid w:val="00103F5A"/>
    <w:rPr>
      <w:rFonts w:eastAsia="Times New Roman" w:cs="Calibri"/>
      <w:b/>
      <w:color w:val="348093"/>
      <w:sz w:val="24"/>
      <w:szCs w:val="24"/>
      <w:lang w:val="et-EE" w:eastAsia="zh-CN"/>
    </w:rPr>
  </w:style>
  <w:style w:type="table" w:styleId="Kontuurtabel">
    <w:name w:val="Table Grid"/>
    <w:basedOn w:val="Normaaltabel"/>
    <w:uiPriority w:val="59"/>
    <w:rsid w:val="00103F5A"/>
    <w:rPr>
      <w:rFonts w:eastAsia="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K1">
    <w:name w:val="toc 1"/>
    <w:basedOn w:val="Normaallaad"/>
    <w:next w:val="Normaallaad"/>
    <w:autoRedefine/>
    <w:uiPriority w:val="39"/>
    <w:rsid w:val="00103F5A"/>
    <w:pPr>
      <w:spacing w:after="100"/>
    </w:pPr>
    <w:rPr>
      <w:rFonts w:eastAsia="Times New Roman"/>
      <w:lang w:val="et-EE" w:eastAsia="zh-CN"/>
    </w:rPr>
  </w:style>
  <w:style w:type="character" w:styleId="Hperlink">
    <w:name w:val="Hyperlink"/>
    <w:basedOn w:val="Liguvaikefont"/>
    <w:uiPriority w:val="99"/>
    <w:rsid w:val="00103F5A"/>
    <w:rPr>
      <w:rFonts w:cs="Times New Roman"/>
      <w:color w:val="0000FF"/>
      <w:u w:val="single"/>
    </w:rPr>
  </w:style>
  <w:style w:type="paragraph" w:customStyle="1" w:styleId="ii-thtloend">
    <w:name w:val="ii-tähtloend"/>
    <w:basedOn w:val="i-thtloeng"/>
    <w:link w:val="ii-thtloendMrk"/>
    <w:qFormat/>
    <w:rsid w:val="00103F5A"/>
    <w:pPr>
      <w:ind w:left="2694"/>
    </w:pPr>
  </w:style>
  <w:style w:type="character" w:customStyle="1" w:styleId="ii-thtloendMrk">
    <w:name w:val="ii-tähtloend Märk"/>
    <w:basedOn w:val="i-thtloengMrk"/>
    <w:link w:val="ii-thtloend"/>
    <w:locked/>
    <w:rsid w:val="00103F5A"/>
    <w:rPr>
      <w:rFonts w:ascii="Cambria" w:hAnsi="Cambria" w:cs="Times New Roman"/>
      <w:sz w:val="21"/>
      <w:szCs w:val="21"/>
      <w:lang w:val="et-EE" w:eastAsia="zh-CN"/>
    </w:rPr>
  </w:style>
  <w:style w:type="character" w:customStyle="1" w:styleId="st">
    <w:name w:val="st"/>
    <w:basedOn w:val="Liguvaikefont"/>
    <w:rsid w:val="00103F5A"/>
    <w:rPr>
      <w:rFonts w:cs="Times New Roman"/>
    </w:rPr>
  </w:style>
  <w:style w:type="character" w:styleId="Rhutus">
    <w:name w:val="Emphasis"/>
    <w:basedOn w:val="Liguvaikefont"/>
    <w:uiPriority w:val="20"/>
    <w:qFormat/>
    <w:rsid w:val="00103F5A"/>
    <w:rPr>
      <w:rFonts w:cs="Times New Roman"/>
      <w:i/>
      <w:iCs/>
    </w:rPr>
  </w:style>
  <w:style w:type="paragraph" w:styleId="Jutumullitekst">
    <w:name w:val="Balloon Text"/>
    <w:basedOn w:val="Normaallaad"/>
    <w:link w:val="JutumullitekstMrk"/>
    <w:uiPriority w:val="99"/>
    <w:semiHidden/>
    <w:rsid w:val="00F1548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DC1ABD"/>
    <w:rPr>
      <w:rFonts w:ascii="Times New Roman" w:hAnsi="Times New Roman" w:cs="Times New Roman"/>
      <w:sz w:val="2"/>
      <w:lang w:val="en-GB" w:eastAsia="en-US"/>
    </w:rPr>
  </w:style>
  <w:style w:type="character" w:styleId="Kommentaariviide">
    <w:name w:val="annotation reference"/>
    <w:basedOn w:val="Liguvaikefont"/>
    <w:uiPriority w:val="99"/>
    <w:semiHidden/>
    <w:rsid w:val="00F1548D"/>
    <w:rPr>
      <w:rFonts w:cs="Times New Roman"/>
      <w:sz w:val="16"/>
      <w:szCs w:val="16"/>
    </w:rPr>
  </w:style>
  <w:style w:type="paragraph" w:styleId="Kommentaaritekst">
    <w:name w:val="annotation text"/>
    <w:basedOn w:val="Normaallaad"/>
    <w:link w:val="KommentaaritekstMrk"/>
    <w:uiPriority w:val="99"/>
    <w:semiHidden/>
    <w:rsid w:val="00F1548D"/>
    <w:rPr>
      <w:sz w:val="20"/>
      <w:szCs w:val="20"/>
    </w:rPr>
  </w:style>
  <w:style w:type="character" w:customStyle="1" w:styleId="KommentaaritekstMrk">
    <w:name w:val="Kommentaari tekst Märk"/>
    <w:basedOn w:val="Liguvaikefont"/>
    <w:link w:val="Kommentaaritekst"/>
    <w:uiPriority w:val="99"/>
    <w:semiHidden/>
    <w:locked/>
    <w:rsid w:val="00DC1ABD"/>
    <w:rPr>
      <w:rFonts w:cs="Times New Roman"/>
      <w:sz w:val="20"/>
      <w:szCs w:val="20"/>
      <w:lang w:val="en-GB" w:eastAsia="en-US"/>
    </w:rPr>
  </w:style>
  <w:style w:type="paragraph" w:styleId="Kommentaariteema">
    <w:name w:val="annotation subject"/>
    <w:basedOn w:val="Kommentaaritekst"/>
    <w:next w:val="Kommentaaritekst"/>
    <w:link w:val="KommentaariteemaMrk"/>
    <w:uiPriority w:val="99"/>
    <w:semiHidden/>
    <w:rsid w:val="00F1548D"/>
    <w:rPr>
      <w:b/>
      <w:bCs/>
    </w:rPr>
  </w:style>
  <w:style w:type="character" w:customStyle="1" w:styleId="KommentaariteemaMrk">
    <w:name w:val="Kommentaari teema Märk"/>
    <w:basedOn w:val="KommentaaritekstMrk"/>
    <w:link w:val="Kommentaariteema"/>
    <w:uiPriority w:val="99"/>
    <w:semiHidden/>
    <w:locked/>
    <w:rsid w:val="00DC1ABD"/>
    <w:rPr>
      <w:rFonts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5343">
      <w:bodyDiv w:val="1"/>
      <w:marLeft w:val="0"/>
      <w:marRight w:val="0"/>
      <w:marTop w:val="0"/>
      <w:marBottom w:val="0"/>
      <w:divBdr>
        <w:top w:val="none" w:sz="0" w:space="0" w:color="auto"/>
        <w:left w:val="none" w:sz="0" w:space="0" w:color="auto"/>
        <w:bottom w:val="none" w:sz="0" w:space="0" w:color="auto"/>
        <w:right w:val="none" w:sz="0" w:space="0" w:color="auto"/>
      </w:divBdr>
      <w:divsChild>
        <w:div w:id="2118058383">
          <w:marLeft w:val="0"/>
          <w:marRight w:val="0"/>
          <w:marTop w:val="0"/>
          <w:marBottom w:val="0"/>
          <w:divBdr>
            <w:top w:val="none" w:sz="0" w:space="0" w:color="auto"/>
            <w:left w:val="none" w:sz="0" w:space="0" w:color="auto"/>
            <w:bottom w:val="none" w:sz="0" w:space="0" w:color="auto"/>
            <w:right w:val="none" w:sz="0" w:space="0" w:color="auto"/>
          </w:divBdr>
          <w:divsChild>
            <w:div w:id="1853375222">
              <w:marLeft w:val="0"/>
              <w:marRight w:val="0"/>
              <w:marTop w:val="0"/>
              <w:marBottom w:val="0"/>
              <w:divBdr>
                <w:top w:val="none" w:sz="0" w:space="0" w:color="auto"/>
                <w:left w:val="none" w:sz="0" w:space="0" w:color="auto"/>
                <w:bottom w:val="none" w:sz="0" w:space="0" w:color="auto"/>
                <w:right w:val="none" w:sz="0" w:space="0" w:color="auto"/>
              </w:divBdr>
              <w:divsChild>
                <w:div w:id="12746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fi.ee/public/aml/FATF_Recommendations_approved_February_2012_reprint_May_2012_web_version.pdf"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fi.ee/public/aml/FATF_Recommendations_approved_February_2012_reprint_May_2012_web_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2909-895D-4794-9FAC-BD5F289F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137</Pages>
  <Words>37569</Words>
  <Characters>217902</Characters>
  <Application>Microsoft Office Word</Application>
  <DocSecurity>0</DocSecurity>
  <Lines>1815</Lines>
  <Paragraphs>509</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FATF</vt:lpstr>
      <vt:lpstr>FATF</vt:lpstr>
    </vt:vector>
  </TitlesOfParts>
  <Company>Grizli777</Company>
  <LinksUpToDate>false</LinksUpToDate>
  <CharactersWithSpaces>254962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FATF</dc:title>
  <dc:creator>A&amp;A Lingua OÜ</dc:creator>
  <cp:lastModifiedBy>Matis Mäeker</cp:lastModifiedBy>
  <cp:revision>7</cp:revision>
  <dcterms:created xsi:type="dcterms:W3CDTF">2013-04-15T08:38:00Z</dcterms:created>
  <dcterms:modified xsi:type="dcterms:W3CDTF">2013-06-04T12:45:00Z</dcterms:modified>
</cp:coreProperties>
</file>