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5B" w:rsidRPr="00EB771D" w:rsidRDefault="009C185B" w:rsidP="009C185B">
      <w:pPr>
        <w:pStyle w:val="Heading1"/>
        <w:rPr>
          <w:rFonts w:ascii="Publico Headline" w:hAnsi="Publico Headline"/>
          <w:sz w:val="21"/>
          <w:szCs w:val="21"/>
        </w:rPr>
      </w:pPr>
      <w:bookmarkStart w:id="0" w:name="_Toc477508438"/>
      <w:bookmarkStart w:id="1" w:name="_Toc497464175"/>
      <w:bookmarkStart w:id="2" w:name="_Toc497464409"/>
      <w:bookmarkStart w:id="3" w:name="_Toc507671951"/>
      <w:bookmarkStart w:id="4" w:name="_Toc511977581"/>
      <w:r>
        <w:rPr>
          <w:rFonts w:ascii="Publico Headline" w:hAnsi="Publico Headline"/>
          <w:sz w:val="28"/>
          <w:szCs w:val="28"/>
        </w:rPr>
        <w:t>Fondivalitsejate IV kvartali 2017 ülevaade</w:t>
      </w:r>
    </w:p>
    <w:tbl>
      <w:tblPr>
        <w:tblStyle w:val="TableGrid"/>
        <w:tblpPr w:leftFromText="180" w:rightFromText="180" w:vertAnchor="text" w:tblpY="1"/>
        <w:tblW w:w="47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1480"/>
        <w:gridCol w:w="451"/>
        <w:gridCol w:w="1711"/>
      </w:tblGrid>
      <w:tr w:rsidR="009C185B" w:rsidRPr="00EB771D" w:rsidTr="006B37B0">
        <w:tc>
          <w:tcPr>
            <w:tcW w:w="2957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</w:p>
        </w:tc>
        <w:tc>
          <w:tcPr>
            <w:tcW w:w="83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  <w:t>III kv 2017</w:t>
            </w:r>
          </w:p>
        </w:tc>
        <w:tc>
          <w:tcPr>
            <w:tcW w:w="253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</w:p>
        </w:tc>
        <w:tc>
          <w:tcPr>
            <w:tcW w:w="96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  <w:t>IV kv 2017</w:t>
            </w:r>
          </w:p>
        </w:tc>
      </w:tr>
      <w:tr w:rsidR="009C185B" w:rsidRPr="00EB771D" w:rsidTr="006B37B0">
        <w:tc>
          <w:tcPr>
            <w:tcW w:w="2957" w:type="pct"/>
          </w:tcPr>
          <w:p w:rsidR="009C185B" w:rsidRPr="00EB771D" w:rsidRDefault="009C185B" w:rsidP="006B37B0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Hallatavate varade maht</w:t>
            </w:r>
          </w:p>
          <w:p w:rsidR="009C185B" w:rsidRPr="00EB771D" w:rsidRDefault="009C185B" w:rsidP="006B37B0">
            <w:pPr>
              <w:spacing w:before="0" w:after="0" w:line="276" w:lineRule="auto"/>
              <w:ind w:left="15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sh fondide varade maht</w:t>
            </w:r>
            <w:r w:rsidR="007C5750" w:rsidRPr="00EB771D">
              <w:rPr>
                <w:rFonts w:asciiTheme="minorHAnsi" w:hAnsiTheme="minorHAnsi"/>
                <w:szCs w:val="21"/>
              </w:rPr>
              <w:t xml:space="preserve"> (k.a</w:t>
            </w:r>
            <w:r w:rsidRPr="00EB771D">
              <w:rPr>
                <w:rFonts w:asciiTheme="minorHAnsi" w:hAnsiTheme="minorHAnsi"/>
                <w:szCs w:val="21"/>
              </w:rPr>
              <w:t xml:space="preserve"> mitteavalikud fondid)</w:t>
            </w:r>
          </w:p>
        </w:tc>
        <w:tc>
          <w:tcPr>
            <w:tcW w:w="83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 xml:space="preserve">6,0 </w:t>
            </w:r>
          </w:p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4,5</w:t>
            </w:r>
          </w:p>
        </w:tc>
        <w:tc>
          <w:tcPr>
            <w:tcW w:w="253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b/>
                <w:bCs/>
                <w:smallCaps/>
                <w:color w:val="500778" w:themeColor="accent1"/>
                <w:spacing w:val="5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6,1 mlrd eurot</w:t>
            </w:r>
          </w:p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4,7 mlrd eurot</w:t>
            </w:r>
          </w:p>
        </w:tc>
      </w:tr>
      <w:tr w:rsidR="009C185B" w:rsidRPr="00EB771D" w:rsidTr="006B37B0">
        <w:tc>
          <w:tcPr>
            <w:tcW w:w="2957" w:type="pct"/>
          </w:tcPr>
          <w:p w:rsidR="009C185B" w:rsidRPr="00EB771D" w:rsidRDefault="009C185B" w:rsidP="006B37B0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Fondide turuväärtuse kvartalikasv</w:t>
            </w:r>
          </w:p>
        </w:tc>
        <w:tc>
          <w:tcPr>
            <w:tcW w:w="83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4,6%</w:t>
            </w:r>
          </w:p>
        </w:tc>
        <w:tc>
          <w:tcPr>
            <w:tcW w:w="253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FA5C1D" w:themeColor="accent3"/>
                <w:spacing w:val="5"/>
                <w:szCs w:val="21"/>
              </w:rPr>
              <w:t>↓</w:t>
            </w:r>
          </w:p>
        </w:tc>
        <w:tc>
          <w:tcPr>
            <w:tcW w:w="96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3,6%</w:t>
            </w:r>
          </w:p>
        </w:tc>
      </w:tr>
      <w:tr w:rsidR="009C185B" w:rsidRPr="00EB771D" w:rsidTr="006B37B0">
        <w:tc>
          <w:tcPr>
            <w:tcW w:w="2957" w:type="pct"/>
          </w:tcPr>
          <w:p w:rsidR="009C185B" w:rsidRPr="00EB771D" w:rsidRDefault="009C185B" w:rsidP="006B37B0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Fondivalitsejate varade maht</w:t>
            </w:r>
          </w:p>
        </w:tc>
        <w:tc>
          <w:tcPr>
            <w:tcW w:w="83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121</w:t>
            </w:r>
          </w:p>
        </w:tc>
        <w:tc>
          <w:tcPr>
            <w:tcW w:w="253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  <w:lang w:val="en-US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129 mln eurot</w:t>
            </w:r>
          </w:p>
        </w:tc>
      </w:tr>
      <w:tr w:rsidR="009C185B" w:rsidRPr="00EB771D" w:rsidTr="006B37B0">
        <w:tc>
          <w:tcPr>
            <w:tcW w:w="2957" w:type="pct"/>
          </w:tcPr>
          <w:p w:rsidR="009C185B" w:rsidRPr="00EB771D" w:rsidRDefault="009C185B" w:rsidP="006B37B0">
            <w:pPr>
              <w:numPr>
                <w:ilvl w:val="0"/>
                <w:numId w:val="13"/>
              </w:numPr>
              <w:tabs>
                <w:tab w:val="left" w:pos="375"/>
              </w:tabs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Kasum</w:t>
            </w:r>
          </w:p>
        </w:tc>
        <w:tc>
          <w:tcPr>
            <w:tcW w:w="83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5,0</w:t>
            </w:r>
          </w:p>
        </w:tc>
        <w:tc>
          <w:tcPr>
            <w:tcW w:w="253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color w:val="00BB4A" w:themeColor="accent2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9C185B" w:rsidRPr="00EB771D" w:rsidRDefault="009C185B" w:rsidP="006B37B0">
            <w:pPr>
              <w:spacing w:before="0" w:after="0" w:line="276" w:lineRule="auto"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6,3 mln eurot</w:t>
            </w:r>
          </w:p>
        </w:tc>
      </w:tr>
      <w:tr w:rsidR="009C185B" w:rsidRPr="00EB771D" w:rsidTr="006B37B0">
        <w:tc>
          <w:tcPr>
            <w:tcW w:w="2957" w:type="pct"/>
          </w:tcPr>
          <w:p w:rsidR="009C185B" w:rsidRPr="00EB771D" w:rsidRDefault="007C5750" w:rsidP="006B37B0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jc w:val="left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Omakapitali tootlikkus</w:t>
            </w:r>
          </w:p>
        </w:tc>
        <w:tc>
          <w:tcPr>
            <w:tcW w:w="830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16%</w:t>
            </w:r>
          </w:p>
        </w:tc>
        <w:tc>
          <w:tcPr>
            <w:tcW w:w="253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color w:val="00BB4A" w:themeColor="accent2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00BB4A" w:themeColor="accent2"/>
                <w:spacing w:val="5"/>
                <w:szCs w:val="21"/>
              </w:rPr>
              <w:t>↑</w:t>
            </w:r>
          </w:p>
        </w:tc>
        <w:tc>
          <w:tcPr>
            <w:tcW w:w="960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17%</w:t>
            </w:r>
          </w:p>
        </w:tc>
      </w:tr>
      <w:tr w:rsidR="009C185B" w:rsidRPr="00EB771D" w:rsidTr="006B37B0">
        <w:tc>
          <w:tcPr>
            <w:tcW w:w="2957" w:type="pct"/>
          </w:tcPr>
          <w:p w:rsidR="009C185B" w:rsidRPr="00EB771D" w:rsidRDefault="009C185B" w:rsidP="006B37B0">
            <w:pPr>
              <w:numPr>
                <w:ilvl w:val="0"/>
                <w:numId w:val="13"/>
              </w:numPr>
              <w:spacing w:before="0" w:after="0" w:line="276" w:lineRule="auto"/>
              <w:ind w:left="150" w:hanging="270"/>
              <w:contextualSpacing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Omavahendite nõude kaetus</w:t>
            </w:r>
          </w:p>
        </w:tc>
        <w:tc>
          <w:tcPr>
            <w:tcW w:w="830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515%</w:t>
            </w:r>
          </w:p>
        </w:tc>
        <w:tc>
          <w:tcPr>
            <w:tcW w:w="253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b/>
                <w:bCs/>
                <w:smallCaps/>
                <w:color w:val="FA5C1D" w:themeColor="accent3"/>
                <w:spacing w:val="5"/>
                <w:szCs w:val="21"/>
              </w:rPr>
              <w:t>↓</w:t>
            </w:r>
          </w:p>
        </w:tc>
        <w:tc>
          <w:tcPr>
            <w:tcW w:w="960" w:type="pct"/>
          </w:tcPr>
          <w:p w:rsidR="009C185B" w:rsidRPr="00EB771D" w:rsidRDefault="009C185B" w:rsidP="006B37B0">
            <w:pPr>
              <w:spacing w:before="0" w:after="0" w:line="276" w:lineRule="auto"/>
              <w:rPr>
                <w:rFonts w:asciiTheme="minorHAnsi" w:hAnsiTheme="minorHAnsi"/>
                <w:szCs w:val="21"/>
              </w:rPr>
            </w:pPr>
            <w:r w:rsidRPr="00EB771D">
              <w:rPr>
                <w:rFonts w:asciiTheme="minorHAnsi" w:hAnsiTheme="minorHAnsi"/>
                <w:szCs w:val="21"/>
              </w:rPr>
              <w:t>511%</w:t>
            </w:r>
          </w:p>
        </w:tc>
      </w:tr>
    </w:tbl>
    <w:p w:rsidR="009C185B" w:rsidRDefault="009C185B" w:rsidP="009C185B">
      <w:pPr>
        <w:tabs>
          <w:tab w:val="left" w:pos="284"/>
        </w:tabs>
        <w:spacing w:after="120"/>
      </w:pPr>
    </w:p>
    <w:p w:rsidR="009C185B" w:rsidRPr="001B5B35" w:rsidRDefault="009C185B" w:rsidP="009C185B">
      <w:pPr>
        <w:tabs>
          <w:tab w:val="left" w:pos="284"/>
        </w:tabs>
        <w:spacing w:after="120"/>
      </w:pPr>
    </w:p>
    <w:p w:rsidR="009C185B" w:rsidRPr="00EB771D" w:rsidRDefault="009C185B" w:rsidP="009C185B">
      <w:pPr>
        <w:pStyle w:val="MainText"/>
        <w:spacing w:after="120"/>
        <w:jc w:val="both"/>
        <w:rPr>
          <w:sz w:val="21"/>
          <w:szCs w:val="21"/>
        </w:rPr>
      </w:pPr>
      <w:r w:rsidRPr="00EB771D">
        <w:rPr>
          <w:noProof/>
          <w:sz w:val="21"/>
          <w:szCs w:val="21"/>
          <w:lang w:eastAsia="et-EE"/>
        </w:rPr>
        <w:drawing>
          <wp:anchor distT="0" distB="0" distL="114300" distR="114300" simplePos="0" relativeHeight="251659264" behindDoc="0" locked="0" layoutInCell="1" allowOverlap="1" wp14:anchorId="78D223B0" wp14:editId="30B00B4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600000" cy="2160000"/>
            <wp:effectExtent l="0" t="0" r="635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71D">
        <w:rPr>
          <w:sz w:val="21"/>
          <w:szCs w:val="21"/>
        </w:rPr>
        <w:t>Eestis tegutsevate fondivalitsejate hallatavate varade maht kasvas, kuid vähem kui kolmandas kvartalis. 2017. aasta neljandas kvartalis lisandus hallatavatele varadele 0,09 miljardit eurot, kogumaht oli aasta lõpus 6,1 miljardit eurot.</w:t>
      </w:r>
    </w:p>
    <w:p w:rsidR="009C185B" w:rsidRPr="00EB771D" w:rsidRDefault="007C5750" w:rsidP="009C185B">
      <w:pPr>
        <w:pStyle w:val="MainText"/>
        <w:spacing w:after="120"/>
        <w:jc w:val="both"/>
        <w:rPr>
          <w:sz w:val="21"/>
          <w:szCs w:val="21"/>
        </w:rPr>
      </w:pPr>
      <w:r w:rsidRPr="00EB771D">
        <w:rPr>
          <w:sz w:val="21"/>
          <w:szCs w:val="21"/>
        </w:rPr>
        <w:t xml:space="preserve">Suurem osa </w:t>
      </w:r>
      <w:r w:rsidR="009C185B" w:rsidRPr="00EB771D">
        <w:rPr>
          <w:sz w:val="21"/>
          <w:szCs w:val="21"/>
        </w:rPr>
        <w:t>kasvust tuli fondide varade mahu kasvust.</w:t>
      </w:r>
      <w:r w:rsidR="009C185B" w:rsidRPr="00EB771D">
        <w:rPr>
          <w:color w:val="FF0000"/>
          <w:sz w:val="21"/>
          <w:szCs w:val="21"/>
        </w:rPr>
        <w:t xml:space="preserve"> </w:t>
      </w:r>
      <w:r w:rsidR="009C185B" w:rsidRPr="00EB771D">
        <w:rPr>
          <w:sz w:val="21"/>
          <w:szCs w:val="21"/>
        </w:rPr>
        <w:t xml:space="preserve">Lisaks enda fondide valitsemisele on Eestis tegutsevatele fondivalitsejatele oluline äriliin </w:t>
      </w:r>
      <w:proofErr w:type="spellStart"/>
      <w:r w:rsidR="009C185B" w:rsidRPr="00EB771D">
        <w:rPr>
          <w:sz w:val="21"/>
          <w:szCs w:val="21"/>
        </w:rPr>
        <w:t>allhanke</w:t>
      </w:r>
      <w:proofErr w:type="spellEnd"/>
      <w:r w:rsidR="009C185B" w:rsidRPr="00EB771D">
        <w:rPr>
          <w:sz w:val="21"/>
          <w:szCs w:val="21"/>
        </w:rPr>
        <w:t xml:space="preserve"> korras investeeringute juhtimise teenuse osutamine välismaistele fondidele. Kõnealune hallatavate varade maht kasvas </w:t>
      </w:r>
      <w:r w:rsidR="00DE77E8" w:rsidRPr="00EB771D">
        <w:rPr>
          <w:sz w:val="21"/>
          <w:szCs w:val="21"/>
        </w:rPr>
        <w:t>neljanda kvartaliga 0,1 miljardi euro võrra,</w:t>
      </w:r>
      <w:r w:rsidR="009C185B" w:rsidRPr="00EB771D">
        <w:rPr>
          <w:sz w:val="21"/>
          <w:szCs w:val="21"/>
        </w:rPr>
        <w:t xml:space="preserve"> 1,3 miljardi euroni.  </w:t>
      </w:r>
    </w:p>
    <w:p w:rsidR="009C185B" w:rsidRPr="00EB771D" w:rsidRDefault="009C185B" w:rsidP="009C185B">
      <w:pPr>
        <w:pStyle w:val="MainText"/>
        <w:spacing w:after="120"/>
        <w:jc w:val="both"/>
        <w:rPr>
          <w:sz w:val="21"/>
          <w:szCs w:val="21"/>
        </w:rPr>
      </w:pPr>
      <w:r w:rsidRPr="00EB771D">
        <w:rPr>
          <w:sz w:val="21"/>
          <w:szCs w:val="21"/>
        </w:rPr>
        <w:t>Fondide kogumahule lisandus neljandas kvartalis 0,16 miljardit eurot, mi</w:t>
      </w:r>
      <w:r w:rsidR="00DE77E8" w:rsidRPr="00EB771D">
        <w:rPr>
          <w:sz w:val="21"/>
          <w:szCs w:val="21"/>
        </w:rPr>
        <w:t>da</w:t>
      </w:r>
      <w:r w:rsidRPr="00EB771D">
        <w:rPr>
          <w:sz w:val="21"/>
          <w:szCs w:val="21"/>
        </w:rPr>
        <w:t xml:space="preserve"> on vähem kui eelmises kvartalis. P</w:t>
      </w:r>
      <w:r w:rsidR="00DE77E8" w:rsidRPr="00EB771D">
        <w:rPr>
          <w:sz w:val="21"/>
          <w:szCs w:val="21"/>
        </w:rPr>
        <w:t>eamiselt</w:t>
      </w:r>
      <w:r w:rsidRPr="00EB771D">
        <w:rPr>
          <w:sz w:val="21"/>
          <w:szCs w:val="21"/>
        </w:rPr>
        <w:t xml:space="preserve"> kasvas kohustuslik</w:t>
      </w:r>
      <w:r w:rsidR="00DE77E8" w:rsidRPr="00EB771D">
        <w:rPr>
          <w:sz w:val="21"/>
          <w:szCs w:val="21"/>
        </w:rPr>
        <w:t>e pensionifondide turuväärtus ning</w:t>
      </w:r>
      <w:r w:rsidRPr="00EB771D">
        <w:rPr>
          <w:sz w:val="21"/>
          <w:szCs w:val="21"/>
        </w:rPr>
        <w:t xml:space="preserve"> nende kogumaht ulatus kvartali lõpus 3,6 miljardi euroni.</w:t>
      </w:r>
    </w:p>
    <w:p w:rsidR="00EB771D" w:rsidRDefault="009C185B" w:rsidP="009C185B">
      <w:pPr>
        <w:pStyle w:val="MainText"/>
        <w:spacing w:after="120"/>
        <w:jc w:val="both"/>
        <w:rPr>
          <w:sz w:val="21"/>
          <w:szCs w:val="21"/>
        </w:rPr>
      </w:pPr>
      <w:r w:rsidRPr="00EB771D">
        <w:rPr>
          <w:sz w:val="21"/>
          <w:szCs w:val="21"/>
        </w:rPr>
        <w:t xml:space="preserve">Fondivalitsejate varade kogumaht </w:t>
      </w:r>
      <w:r w:rsidR="00DE77E8" w:rsidRPr="00EB771D">
        <w:rPr>
          <w:sz w:val="21"/>
          <w:szCs w:val="21"/>
        </w:rPr>
        <w:t>kasvas</w:t>
      </w:r>
      <w:r w:rsidRPr="00EB771D">
        <w:rPr>
          <w:sz w:val="21"/>
          <w:szCs w:val="21"/>
        </w:rPr>
        <w:t xml:space="preserve"> neljandas kvartalis 7,8 miljoni</w:t>
      </w:r>
      <w:r w:rsidR="00DE77E8" w:rsidRPr="00EB771D">
        <w:rPr>
          <w:sz w:val="21"/>
          <w:szCs w:val="21"/>
        </w:rPr>
        <w:t>t</w:t>
      </w:r>
      <w:r w:rsidRPr="00EB771D">
        <w:rPr>
          <w:sz w:val="21"/>
          <w:szCs w:val="21"/>
        </w:rPr>
        <w:t xml:space="preserve"> euro</w:t>
      </w:r>
      <w:r w:rsidR="00DE77E8" w:rsidRPr="00EB771D">
        <w:rPr>
          <w:sz w:val="21"/>
          <w:szCs w:val="21"/>
        </w:rPr>
        <w:t>t ja</w:t>
      </w:r>
      <w:r w:rsidRPr="00EB771D">
        <w:rPr>
          <w:sz w:val="21"/>
          <w:szCs w:val="21"/>
        </w:rPr>
        <w:t xml:space="preserve"> moodustas kvartali lõpus 128,6 miljonit eurot. Kasvu </w:t>
      </w:r>
      <w:r w:rsidR="00DE77E8" w:rsidRPr="00EB771D">
        <w:rPr>
          <w:sz w:val="21"/>
          <w:szCs w:val="21"/>
        </w:rPr>
        <w:t>taga on</w:t>
      </w:r>
      <w:r w:rsidRPr="00EB771D">
        <w:rPr>
          <w:sz w:val="21"/>
          <w:szCs w:val="21"/>
        </w:rPr>
        <w:t xml:space="preserve"> eelmiste perioodide jaotamata kasumi su</w:t>
      </w:r>
      <w:r w:rsidR="00DE77E8" w:rsidRPr="00EB771D">
        <w:rPr>
          <w:sz w:val="21"/>
          <w:szCs w:val="21"/>
        </w:rPr>
        <w:t>urenemine. Sektori koondbilansi</w:t>
      </w:r>
      <w:r w:rsidRPr="00EB771D">
        <w:rPr>
          <w:sz w:val="21"/>
          <w:szCs w:val="21"/>
        </w:rPr>
        <w:t xml:space="preserve">mahust moodustasid </w:t>
      </w:r>
      <w:r w:rsidR="00DE77E8" w:rsidRPr="00EB771D">
        <w:rPr>
          <w:sz w:val="21"/>
          <w:szCs w:val="21"/>
        </w:rPr>
        <w:t xml:space="preserve">enam kui </w:t>
      </w:r>
      <w:r w:rsidRPr="00EB771D">
        <w:rPr>
          <w:sz w:val="21"/>
          <w:szCs w:val="21"/>
        </w:rPr>
        <w:t>poole raha ja rahalähendid ning umbes neljandiku pensionifondide valitsejate omaosakud. Viimased moodustasid üht</w:t>
      </w:r>
      <w:r w:rsidR="00EB771D">
        <w:rPr>
          <w:sz w:val="21"/>
          <w:szCs w:val="21"/>
        </w:rPr>
        <w:t>lasi tururiskile avatuima osa</w:t>
      </w:r>
      <w:r w:rsidRPr="00EB771D">
        <w:rPr>
          <w:noProof/>
          <w:sz w:val="21"/>
          <w:szCs w:val="21"/>
          <w:lang w:eastAsia="et-EE"/>
        </w:rPr>
        <w:drawing>
          <wp:anchor distT="0" distB="0" distL="114300" distR="114300" simplePos="0" relativeHeight="251660288" behindDoc="0" locked="0" layoutInCell="1" allowOverlap="1" wp14:anchorId="6CAE6642" wp14:editId="7995D148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3600000" cy="2160000"/>
            <wp:effectExtent l="0" t="0" r="635" b="0"/>
            <wp:wrapSquare wrapText="bothSides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="00EB771D">
        <w:rPr>
          <w:sz w:val="21"/>
          <w:szCs w:val="21"/>
        </w:rPr>
        <w:t xml:space="preserve">. </w:t>
      </w:r>
    </w:p>
    <w:p w:rsidR="009C185B" w:rsidRPr="00EB771D" w:rsidRDefault="009C185B" w:rsidP="009C185B">
      <w:pPr>
        <w:pStyle w:val="MainText"/>
        <w:spacing w:after="120"/>
        <w:jc w:val="both"/>
        <w:rPr>
          <w:color w:val="00B0F0"/>
          <w:sz w:val="21"/>
          <w:szCs w:val="21"/>
        </w:rPr>
      </w:pPr>
      <w:r w:rsidRPr="00EB771D">
        <w:rPr>
          <w:sz w:val="21"/>
          <w:szCs w:val="21"/>
        </w:rPr>
        <w:t xml:space="preserve">Fondivalitsejate puhaskasum </w:t>
      </w:r>
      <w:r w:rsidR="00DE77E8" w:rsidRPr="00EB771D">
        <w:rPr>
          <w:sz w:val="21"/>
          <w:szCs w:val="21"/>
        </w:rPr>
        <w:t>kasvas neljandas kvartalis 6,3 miljoni</w:t>
      </w:r>
      <w:r w:rsidRPr="00EB771D">
        <w:rPr>
          <w:sz w:val="21"/>
          <w:szCs w:val="21"/>
        </w:rPr>
        <w:t xml:space="preserve"> euro</w:t>
      </w:r>
      <w:r w:rsidR="00DE77E8" w:rsidRPr="00EB771D">
        <w:rPr>
          <w:sz w:val="21"/>
          <w:szCs w:val="21"/>
        </w:rPr>
        <w:t>ni.</w:t>
      </w:r>
      <w:r w:rsidRPr="00EB771D">
        <w:rPr>
          <w:sz w:val="21"/>
          <w:szCs w:val="21"/>
        </w:rPr>
        <w:t xml:space="preserve"> </w:t>
      </w:r>
    </w:p>
    <w:p w:rsidR="00D35BA1" w:rsidRPr="00EB771D" w:rsidRDefault="00DE77E8" w:rsidP="009C185B">
      <w:pPr>
        <w:pStyle w:val="MainText"/>
        <w:spacing w:after="120"/>
        <w:jc w:val="both"/>
        <w:rPr>
          <w:sz w:val="21"/>
          <w:szCs w:val="21"/>
        </w:rPr>
      </w:pPr>
      <w:r w:rsidRPr="00EB771D">
        <w:rPr>
          <w:sz w:val="21"/>
          <w:szCs w:val="21"/>
        </w:rPr>
        <w:lastRenderedPageBreak/>
        <w:t>2017. a</w:t>
      </w:r>
      <w:r w:rsidR="009C185B" w:rsidRPr="00EB771D">
        <w:rPr>
          <w:sz w:val="21"/>
          <w:szCs w:val="21"/>
        </w:rPr>
        <w:t xml:space="preserve">asta kokkuvõttes teenisid </w:t>
      </w:r>
      <w:r w:rsidR="00D35BA1" w:rsidRPr="00EB771D">
        <w:rPr>
          <w:sz w:val="21"/>
          <w:szCs w:val="21"/>
        </w:rPr>
        <w:t xml:space="preserve">fondivalitsejad kasumit 19,6 miljoni euro ulatuses ehk ligi 11 protsenti rohkem kui 2016. aastal. Kasvu toetas muu hulgas finantsinvesteeringutelt teenitud kasum. Kaks </w:t>
      </w:r>
      <w:r w:rsidR="009C185B" w:rsidRPr="00EB771D">
        <w:rPr>
          <w:sz w:val="21"/>
          <w:szCs w:val="21"/>
        </w:rPr>
        <w:t>fondivalitsejat</w:t>
      </w:r>
      <w:r w:rsidR="00D35BA1" w:rsidRPr="00EB771D">
        <w:rPr>
          <w:sz w:val="21"/>
          <w:szCs w:val="21"/>
        </w:rPr>
        <w:t xml:space="preserve"> teenisid kahjumit</w:t>
      </w:r>
      <w:r w:rsidR="009C185B" w:rsidRPr="00EB771D">
        <w:rPr>
          <w:sz w:val="21"/>
          <w:szCs w:val="21"/>
        </w:rPr>
        <w:t xml:space="preserve">. </w:t>
      </w:r>
    </w:p>
    <w:p w:rsidR="009C185B" w:rsidRPr="00EB771D" w:rsidRDefault="00D35BA1" w:rsidP="009C185B">
      <w:pPr>
        <w:pStyle w:val="MainText"/>
        <w:spacing w:after="120"/>
        <w:jc w:val="both"/>
        <w:rPr>
          <w:sz w:val="21"/>
          <w:szCs w:val="21"/>
        </w:rPr>
      </w:pPr>
      <w:r w:rsidRPr="00EB771D">
        <w:rPr>
          <w:sz w:val="21"/>
          <w:szCs w:val="21"/>
        </w:rPr>
        <w:t xml:space="preserve">Sektori </w:t>
      </w:r>
      <w:r w:rsidR="009C185B" w:rsidRPr="00EB771D">
        <w:rPr>
          <w:sz w:val="21"/>
          <w:szCs w:val="21"/>
        </w:rPr>
        <w:t>omakapitali tootlikkus</w:t>
      </w:r>
      <w:r w:rsidRPr="00EB771D">
        <w:rPr>
          <w:sz w:val="21"/>
          <w:szCs w:val="21"/>
        </w:rPr>
        <w:t xml:space="preserve"> kerkis 2017. aastal ühe protsendi võrra, 2016. aasta 16%lt 17%ni.</w:t>
      </w:r>
      <w:r w:rsidR="009C185B" w:rsidRPr="00EB771D">
        <w:rPr>
          <w:sz w:val="21"/>
          <w:szCs w:val="21"/>
        </w:rPr>
        <w:t xml:space="preserve"> </w:t>
      </w:r>
    </w:p>
    <w:p w:rsidR="009C185B" w:rsidRPr="00EB771D" w:rsidRDefault="009C185B" w:rsidP="00F052D1">
      <w:pPr>
        <w:pStyle w:val="MainText"/>
        <w:spacing w:after="120"/>
        <w:jc w:val="both"/>
        <w:rPr>
          <w:sz w:val="21"/>
          <w:szCs w:val="21"/>
        </w:rPr>
      </w:pPr>
      <w:r w:rsidRPr="00EB771D">
        <w:rPr>
          <w:sz w:val="21"/>
          <w:szCs w:val="21"/>
        </w:rPr>
        <w:t xml:space="preserve">Fondivalitsejatele seatud usaldatavusnõudeid täitsid neljanda kvartali lõpus kõik turuosalised. </w:t>
      </w:r>
      <w:r w:rsidR="00F052D1" w:rsidRPr="00EB771D">
        <w:rPr>
          <w:sz w:val="21"/>
          <w:szCs w:val="21"/>
        </w:rPr>
        <w:t>Sektori o</w:t>
      </w:r>
      <w:r w:rsidRPr="00EB771D">
        <w:rPr>
          <w:sz w:val="21"/>
          <w:szCs w:val="21"/>
        </w:rPr>
        <w:t xml:space="preserve">mavahendite nõude kaetus </w:t>
      </w:r>
      <w:r w:rsidR="00F052D1" w:rsidRPr="00EB771D">
        <w:rPr>
          <w:sz w:val="21"/>
          <w:szCs w:val="21"/>
        </w:rPr>
        <w:t>märkimisväärselt ei muutunud ja oli</w:t>
      </w:r>
      <w:r w:rsidRPr="00EB771D">
        <w:rPr>
          <w:sz w:val="21"/>
          <w:szCs w:val="21"/>
        </w:rPr>
        <w:t xml:space="preserve"> 511%. </w:t>
      </w:r>
      <w:bookmarkStart w:id="5" w:name="_Toc507671952"/>
    </w:p>
    <w:p w:rsidR="00F052D1" w:rsidRDefault="00F052D1" w:rsidP="009C185B">
      <w:pPr>
        <w:pStyle w:val="Heading3"/>
        <w:spacing w:before="0" w:after="120" w:line="300" w:lineRule="auto"/>
        <w:rPr>
          <w:rFonts w:ascii="Publico Headline" w:hAnsi="Publico Headline"/>
          <w:sz w:val="24"/>
        </w:rPr>
      </w:pPr>
    </w:p>
    <w:p w:rsidR="009C185B" w:rsidRPr="002E6399" w:rsidRDefault="009C185B" w:rsidP="009C185B">
      <w:pPr>
        <w:pStyle w:val="Heading3"/>
        <w:spacing w:before="0" w:after="120" w:line="300" w:lineRule="auto"/>
        <w:rPr>
          <w:rFonts w:ascii="Publico Headline" w:hAnsi="Publico Headline"/>
          <w:sz w:val="24"/>
        </w:rPr>
      </w:pPr>
      <w:r w:rsidRPr="002E6399">
        <w:rPr>
          <w:rFonts w:ascii="Publico Headline" w:hAnsi="Publico Headline"/>
          <w:sz w:val="24"/>
        </w:rPr>
        <w:t>Peamised arengusuunad ja riskid</w:t>
      </w:r>
      <w:bookmarkEnd w:id="5"/>
    </w:p>
    <w:p w:rsidR="002A6CFD" w:rsidRDefault="009C185B" w:rsidP="002A6CFD">
      <w:pPr>
        <w:pStyle w:val="ListParagraph"/>
        <w:numPr>
          <w:ilvl w:val="0"/>
          <w:numId w:val="13"/>
        </w:numPr>
        <w:tabs>
          <w:tab w:val="left" w:pos="284"/>
        </w:tabs>
        <w:spacing w:after="120" w:line="300" w:lineRule="auto"/>
        <w:contextualSpacing w:val="0"/>
        <w:rPr>
          <w:szCs w:val="21"/>
        </w:rPr>
      </w:pPr>
      <w:r w:rsidRPr="00EB771D">
        <w:rPr>
          <w:szCs w:val="21"/>
        </w:rPr>
        <w:t>Fondi</w:t>
      </w:r>
      <w:r w:rsidR="00F052D1" w:rsidRPr="00EB771D">
        <w:rPr>
          <w:szCs w:val="21"/>
        </w:rPr>
        <w:t xml:space="preserve">valitsejate </w:t>
      </w:r>
      <w:r w:rsidRPr="00EB771D">
        <w:rPr>
          <w:szCs w:val="21"/>
        </w:rPr>
        <w:t xml:space="preserve">sektor püsib kasumlik, viimasel kahel aastal on suudetud kasvatada nii kasumeid kui ka omakapitali tootlikkust. Koondbilansis on suur osakaal likviidsetel varadel. </w:t>
      </w:r>
    </w:p>
    <w:p w:rsidR="009C185B" w:rsidRPr="002A6CFD" w:rsidRDefault="009C185B" w:rsidP="002A6CFD">
      <w:pPr>
        <w:pStyle w:val="ListParagraph"/>
        <w:numPr>
          <w:ilvl w:val="0"/>
          <w:numId w:val="13"/>
        </w:numPr>
        <w:tabs>
          <w:tab w:val="left" w:pos="284"/>
        </w:tabs>
        <w:spacing w:after="120" w:line="300" w:lineRule="auto"/>
        <w:contextualSpacing w:val="0"/>
        <w:rPr>
          <w:szCs w:val="21"/>
        </w:rPr>
      </w:pPr>
      <w:bookmarkStart w:id="6" w:name="_GoBack"/>
      <w:bookmarkEnd w:id="6"/>
      <w:r w:rsidRPr="002A6CFD">
        <w:rPr>
          <w:szCs w:val="21"/>
        </w:rPr>
        <w:t>Sektori omavahend</w:t>
      </w:r>
      <w:r w:rsidR="00F052D1" w:rsidRPr="002A6CFD">
        <w:rPr>
          <w:szCs w:val="21"/>
        </w:rPr>
        <w:t>ite nõue on kaetud viiekordselt. T</w:t>
      </w:r>
      <w:r w:rsidRPr="002A6CFD">
        <w:rPr>
          <w:szCs w:val="21"/>
        </w:rPr>
        <w:t>eravdatud tähelepanu all on üksikud fondivalitsejad, sh jooksvalt kahjumit teenivad fondivalitsejad.</w:t>
      </w:r>
    </w:p>
    <w:bookmarkEnd w:id="0"/>
    <w:bookmarkEnd w:id="1"/>
    <w:bookmarkEnd w:id="2"/>
    <w:bookmarkEnd w:id="3"/>
    <w:bookmarkEnd w:id="4"/>
    <w:p w:rsidR="00B93C43" w:rsidRDefault="00B93C43">
      <w:pPr>
        <w:spacing w:after="160" w:line="259" w:lineRule="auto"/>
        <w:rPr>
          <w:rFonts w:ascii="Publico Light" w:eastAsiaTheme="majorEastAsia" w:hAnsi="Publico Light" w:cstheme="majorBidi"/>
          <w:color w:val="500778"/>
          <w:sz w:val="30"/>
          <w:szCs w:val="32"/>
        </w:rPr>
      </w:pPr>
    </w:p>
    <w:sectPr w:rsidR="00B93C43" w:rsidSect="009C185B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851" w:right="851" w:bottom="851" w:left="1701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DD" w:rsidRDefault="00551DDD" w:rsidP="00DD5C49">
      <w:r>
        <w:separator/>
      </w:r>
    </w:p>
    <w:p w:rsidR="00551DDD" w:rsidRDefault="00551DDD"/>
  </w:endnote>
  <w:endnote w:type="continuationSeparator" w:id="0">
    <w:p w:rsidR="00551DDD" w:rsidRDefault="00551DDD" w:rsidP="00DD5C49">
      <w:r>
        <w:continuationSeparator/>
      </w:r>
    </w:p>
    <w:p w:rsidR="00551DDD" w:rsidRDefault="00551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tlas Grotes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ublico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o Headline"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32102"/>
      <w:docPartObj>
        <w:docPartGallery w:val="Page Numbers (Bottom of Page)"/>
        <w:docPartUnique/>
      </w:docPartObj>
    </w:sdtPr>
    <w:sdtEndPr/>
    <w:sdtContent>
      <w:sdt>
        <w:sdtPr>
          <w:id w:val="-1308784095"/>
          <w:docPartObj>
            <w:docPartGallery w:val="Page Numbers (Top of Page)"/>
            <w:docPartUnique/>
          </w:docPartObj>
        </w:sdtPr>
        <w:sdtEndPr/>
        <w:sdtContent>
          <w:p w:rsidR="00115410" w:rsidRDefault="00115410" w:rsidP="00447F54">
            <w:pPr>
              <w:pStyle w:val="Footer"/>
              <w:jc w:val="right"/>
            </w:pPr>
            <w:r>
              <w:rPr>
                <w:noProof/>
                <w:lang w:eastAsia="et-EE"/>
              </w:rPr>
              <w:drawing>
                <wp:anchor distT="180340" distB="0" distL="114300" distR="114300" simplePos="0" relativeHeight="251662336" behindDoc="0" locked="0" layoutInCell="1" allowOverlap="1" wp14:anchorId="2C7D0297" wp14:editId="52D914C6">
                  <wp:simplePos x="0" y="0"/>
                  <wp:positionH relativeFrom="column">
                    <wp:align>left</wp:align>
                  </wp:positionH>
                  <wp:positionV relativeFrom="page">
                    <wp:posOffset>10081260</wp:posOffset>
                  </wp:positionV>
                  <wp:extent cx="1077480" cy="122040"/>
                  <wp:effectExtent l="0" t="0" r="8890" b="0"/>
                  <wp:wrapNone/>
                  <wp:docPr id="4" name="Picture 4" descr="C:\Users\i7design\AppData\Local\Microsoft\Windows\INetCache\Content.Word\logo_top_small_test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i7design\AppData\Local\Microsoft\Windows\INetCache\Content.Word\logo_top_small_test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80" cy="12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begin"/>
            </w:r>
            <w:r w:rsidRPr="00FF5F65">
              <w:rPr>
                <w:bCs/>
                <w:color w:val="500778"/>
                <w:sz w:val="14"/>
                <w:szCs w:val="14"/>
              </w:rPr>
              <w:instrText xml:space="preserve"> PAGE </w:instrTex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separate"/>
            </w:r>
            <w:r w:rsidR="00BB14E7">
              <w:rPr>
                <w:bCs/>
                <w:noProof/>
                <w:color w:val="500778"/>
                <w:sz w:val="14"/>
                <w:szCs w:val="14"/>
              </w:rPr>
              <w:t>2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end"/>
            </w:r>
            <w:r w:rsidRPr="00FF5F65">
              <w:rPr>
                <w:color w:val="500778"/>
                <w:sz w:val="14"/>
                <w:szCs w:val="14"/>
              </w:rPr>
              <w:t xml:space="preserve"> / 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begin"/>
            </w:r>
            <w:r w:rsidRPr="00FF5F65">
              <w:rPr>
                <w:bCs/>
                <w:color w:val="500778"/>
                <w:sz w:val="14"/>
                <w:szCs w:val="14"/>
              </w:rPr>
              <w:instrText xml:space="preserve"> NUMPAGES  </w:instrTex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separate"/>
            </w:r>
            <w:r w:rsidR="00BB14E7">
              <w:rPr>
                <w:bCs/>
                <w:noProof/>
                <w:color w:val="500778"/>
                <w:sz w:val="14"/>
                <w:szCs w:val="14"/>
              </w:rPr>
              <w:t>2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DD" w:rsidRPr="003010D2" w:rsidRDefault="00551DDD" w:rsidP="00DD5C49">
      <w:pPr>
        <w:rPr>
          <w:color w:val="500778"/>
        </w:rPr>
      </w:pPr>
      <w:r w:rsidRPr="003010D2">
        <w:rPr>
          <w:color w:val="500778"/>
        </w:rPr>
        <w:separator/>
      </w:r>
    </w:p>
    <w:p w:rsidR="00551DDD" w:rsidRDefault="00551DDD"/>
  </w:footnote>
  <w:footnote w:type="continuationSeparator" w:id="0">
    <w:p w:rsidR="00551DDD" w:rsidRDefault="00551DDD" w:rsidP="00DD5C49">
      <w:r>
        <w:continuationSeparator/>
      </w:r>
    </w:p>
    <w:p w:rsidR="00551DDD" w:rsidRDefault="00551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99" w:rsidRDefault="002E6399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 wp14:anchorId="0A110DA3" wp14:editId="4B44CEC0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77120" cy="122040"/>
          <wp:effectExtent l="0" t="0" r="0" b="0"/>
          <wp:wrapNone/>
          <wp:docPr id="6" name="Picture 6" descr="C:\Users\i7design\AppData\Local\Microsoft\Windows\INetCache\Content.Word\logo_top_small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:\Users\i7design\AppData\Local\Microsoft\Windows\INetCache\Content.Word\logo_top_small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120" cy="12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5410" w:rsidRPr="0015129C" w:rsidRDefault="00115410" w:rsidP="00151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10" w:rsidRPr="00812B47" w:rsidRDefault="00115410" w:rsidP="004C0791">
    <w:pPr>
      <w:pStyle w:val="Header"/>
      <w:spacing w:after="1701"/>
    </w:pPr>
    <w:r w:rsidRPr="00812B47">
      <w:rPr>
        <w:noProof/>
        <w:lang w:eastAsia="et-E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4386</wp:posOffset>
          </wp:positionH>
          <wp:positionV relativeFrom="paragraph">
            <wp:posOffset>1875</wp:posOffset>
          </wp:positionV>
          <wp:extent cx="3959225" cy="603885"/>
          <wp:effectExtent l="0" t="0" r="3175" b="5715"/>
          <wp:wrapNone/>
          <wp:docPr id="5" name="Picture 5" descr="C:\Users\i7design\AppData\Local\Microsoft\Windows\INetCache\Content.Word\logo_top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i7design\AppData\Local\Microsoft\Windows\INetCache\Content.Word\logo_top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2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F06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0D49FE"/>
    <w:multiLevelType w:val="hybridMultilevel"/>
    <w:tmpl w:val="426A6320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56E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B7770"/>
    <w:multiLevelType w:val="hybridMultilevel"/>
    <w:tmpl w:val="9C0E5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302F"/>
    <w:multiLevelType w:val="multilevel"/>
    <w:tmpl w:val="C248D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C5007"/>
    <w:multiLevelType w:val="hybridMultilevel"/>
    <w:tmpl w:val="0A82912C"/>
    <w:lvl w:ilvl="0" w:tplc="CA28E1D2">
      <w:numFmt w:val="bullet"/>
      <w:pStyle w:val="MainGrayBoxBulletlist"/>
      <w:lvlText w:val="•"/>
      <w:lvlJc w:val="left"/>
      <w:pPr>
        <w:ind w:left="3101" w:hanging="360"/>
      </w:pPr>
      <w:rPr>
        <w:rFonts w:ascii="Atlas Grotesk" w:eastAsiaTheme="minorHAnsi" w:hAnsi="Atlas Grotes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abstractNum w:abstractNumId="7" w15:restartNumberingAfterBreak="0">
    <w:nsid w:val="2DCF0B11"/>
    <w:multiLevelType w:val="hybridMultilevel"/>
    <w:tmpl w:val="5824C4F0"/>
    <w:lvl w:ilvl="0" w:tplc="8796F4F0">
      <w:numFmt w:val="bullet"/>
      <w:lvlText w:val="•"/>
      <w:lvlJc w:val="left"/>
      <w:pPr>
        <w:ind w:left="720" w:hanging="360"/>
      </w:pPr>
      <w:rPr>
        <w:rFonts w:ascii="Atlas Grotesk" w:eastAsiaTheme="minorHAnsi" w:hAnsi="Atlas Grotes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02B6"/>
    <w:multiLevelType w:val="hybridMultilevel"/>
    <w:tmpl w:val="121E880C"/>
    <w:lvl w:ilvl="0" w:tplc="B95A4A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8C1699"/>
    <w:multiLevelType w:val="hybridMultilevel"/>
    <w:tmpl w:val="427C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2964"/>
    <w:multiLevelType w:val="hybridMultilevel"/>
    <w:tmpl w:val="3116A29C"/>
    <w:lvl w:ilvl="0" w:tplc="D142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5F23"/>
    <w:multiLevelType w:val="hybridMultilevel"/>
    <w:tmpl w:val="638AFD80"/>
    <w:lvl w:ilvl="0" w:tplc="B95A4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7DF9"/>
    <w:multiLevelType w:val="hybridMultilevel"/>
    <w:tmpl w:val="36B890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1A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BB63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C56625"/>
    <w:multiLevelType w:val="hybridMultilevel"/>
    <w:tmpl w:val="66A074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3F2D"/>
    <w:multiLevelType w:val="hybridMultilevel"/>
    <w:tmpl w:val="96CA322A"/>
    <w:lvl w:ilvl="0" w:tplc="D0F26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F16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B452BE"/>
    <w:multiLevelType w:val="hybridMultilevel"/>
    <w:tmpl w:val="DA22E356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E5D1C"/>
    <w:multiLevelType w:val="hybridMultilevel"/>
    <w:tmpl w:val="27A2E3DE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8"/>
  </w:num>
  <w:num w:numId="14">
    <w:abstractNumId w:val="11"/>
  </w:num>
  <w:num w:numId="15">
    <w:abstractNumId w:val="8"/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1B"/>
    <w:rsid w:val="000014CC"/>
    <w:rsid w:val="00005089"/>
    <w:rsid w:val="00005B3E"/>
    <w:rsid w:val="00011CD9"/>
    <w:rsid w:val="0002047D"/>
    <w:rsid w:val="00022657"/>
    <w:rsid w:val="000233CC"/>
    <w:rsid w:val="0003000E"/>
    <w:rsid w:val="0004478E"/>
    <w:rsid w:val="00045665"/>
    <w:rsid w:val="00087B78"/>
    <w:rsid w:val="0009671A"/>
    <w:rsid w:val="000A2680"/>
    <w:rsid w:val="000B1684"/>
    <w:rsid w:val="000C5091"/>
    <w:rsid w:val="000D165A"/>
    <w:rsid w:val="000D509E"/>
    <w:rsid w:val="000E201C"/>
    <w:rsid w:val="000E5BB8"/>
    <w:rsid w:val="000F162F"/>
    <w:rsid w:val="000F1AEF"/>
    <w:rsid w:val="000F4687"/>
    <w:rsid w:val="001127A8"/>
    <w:rsid w:val="00115410"/>
    <w:rsid w:val="00130577"/>
    <w:rsid w:val="00137C90"/>
    <w:rsid w:val="0015072C"/>
    <w:rsid w:val="0015129C"/>
    <w:rsid w:val="00154E93"/>
    <w:rsid w:val="00162479"/>
    <w:rsid w:val="00170A82"/>
    <w:rsid w:val="00176DDC"/>
    <w:rsid w:val="001A6DA7"/>
    <w:rsid w:val="001B287A"/>
    <w:rsid w:val="001B2D51"/>
    <w:rsid w:val="001B3A22"/>
    <w:rsid w:val="001C3BE9"/>
    <w:rsid w:val="001C4F14"/>
    <w:rsid w:val="001C579F"/>
    <w:rsid w:val="001D611A"/>
    <w:rsid w:val="001E1FBB"/>
    <w:rsid w:val="001F2E4C"/>
    <w:rsid w:val="00225666"/>
    <w:rsid w:val="002261FE"/>
    <w:rsid w:val="00226E54"/>
    <w:rsid w:val="00234BEA"/>
    <w:rsid w:val="00242638"/>
    <w:rsid w:val="002512AA"/>
    <w:rsid w:val="002626B6"/>
    <w:rsid w:val="00262828"/>
    <w:rsid w:val="00283690"/>
    <w:rsid w:val="00292CFF"/>
    <w:rsid w:val="002964EC"/>
    <w:rsid w:val="00297FB8"/>
    <w:rsid w:val="002A1DA1"/>
    <w:rsid w:val="002A3D01"/>
    <w:rsid w:val="002A69DF"/>
    <w:rsid w:val="002A6CFD"/>
    <w:rsid w:val="002B4131"/>
    <w:rsid w:val="002C1614"/>
    <w:rsid w:val="002C70CC"/>
    <w:rsid w:val="002E6399"/>
    <w:rsid w:val="002F58A1"/>
    <w:rsid w:val="002F6FF2"/>
    <w:rsid w:val="003010D2"/>
    <w:rsid w:val="0030173F"/>
    <w:rsid w:val="00314DD4"/>
    <w:rsid w:val="00331AA9"/>
    <w:rsid w:val="0033263C"/>
    <w:rsid w:val="00341820"/>
    <w:rsid w:val="003459F8"/>
    <w:rsid w:val="003461FD"/>
    <w:rsid w:val="0035134A"/>
    <w:rsid w:val="00362712"/>
    <w:rsid w:val="00364603"/>
    <w:rsid w:val="00387A01"/>
    <w:rsid w:val="0039144F"/>
    <w:rsid w:val="00397BFB"/>
    <w:rsid w:val="003A472D"/>
    <w:rsid w:val="003B291D"/>
    <w:rsid w:val="003B3C64"/>
    <w:rsid w:val="003B47E0"/>
    <w:rsid w:val="003B5CD2"/>
    <w:rsid w:val="00416BE0"/>
    <w:rsid w:val="00434700"/>
    <w:rsid w:val="004355B6"/>
    <w:rsid w:val="00447F54"/>
    <w:rsid w:val="004500DE"/>
    <w:rsid w:val="004524AF"/>
    <w:rsid w:val="0046078E"/>
    <w:rsid w:val="00471A0B"/>
    <w:rsid w:val="00481144"/>
    <w:rsid w:val="00493E0D"/>
    <w:rsid w:val="00496240"/>
    <w:rsid w:val="004A348C"/>
    <w:rsid w:val="004B4C7B"/>
    <w:rsid w:val="004C0791"/>
    <w:rsid w:val="004D4037"/>
    <w:rsid w:val="004D6AE5"/>
    <w:rsid w:val="004E0AE8"/>
    <w:rsid w:val="004F71BC"/>
    <w:rsid w:val="0051065D"/>
    <w:rsid w:val="0051369B"/>
    <w:rsid w:val="00517E8A"/>
    <w:rsid w:val="005237D6"/>
    <w:rsid w:val="00525943"/>
    <w:rsid w:val="00536E25"/>
    <w:rsid w:val="0053770C"/>
    <w:rsid w:val="00550B68"/>
    <w:rsid w:val="00551DDD"/>
    <w:rsid w:val="00557346"/>
    <w:rsid w:val="00557490"/>
    <w:rsid w:val="0056613C"/>
    <w:rsid w:val="00567569"/>
    <w:rsid w:val="005701AD"/>
    <w:rsid w:val="00582086"/>
    <w:rsid w:val="00592E07"/>
    <w:rsid w:val="00593306"/>
    <w:rsid w:val="005B52FA"/>
    <w:rsid w:val="005B6467"/>
    <w:rsid w:val="005C36E5"/>
    <w:rsid w:val="005C52F5"/>
    <w:rsid w:val="005D0053"/>
    <w:rsid w:val="005F15E6"/>
    <w:rsid w:val="006058C9"/>
    <w:rsid w:val="0060724F"/>
    <w:rsid w:val="00613B48"/>
    <w:rsid w:val="006316F9"/>
    <w:rsid w:val="006363B9"/>
    <w:rsid w:val="00642971"/>
    <w:rsid w:val="006446C5"/>
    <w:rsid w:val="00647B73"/>
    <w:rsid w:val="006507FB"/>
    <w:rsid w:val="00653DE1"/>
    <w:rsid w:val="0065579B"/>
    <w:rsid w:val="006604D8"/>
    <w:rsid w:val="006633D8"/>
    <w:rsid w:val="006957FA"/>
    <w:rsid w:val="006965B2"/>
    <w:rsid w:val="006D46B2"/>
    <w:rsid w:val="006E2A08"/>
    <w:rsid w:val="006E2F49"/>
    <w:rsid w:val="006F3569"/>
    <w:rsid w:val="007046C1"/>
    <w:rsid w:val="00713047"/>
    <w:rsid w:val="007233F3"/>
    <w:rsid w:val="0073678A"/>
    <w:rsid w:val="00745F96"/>
    <w:rsid w:val="00750F9A"/>
    <w:rsid w:val="00783D8F"/>
    <w:rsid w:val="007B2875"/>
    <w:rsid w:val="007C1062"/>
    <w:rsid w:val="007C5750"/>
    <w:rsid w:val="007C6630"/>
    <w:rsid w:val="007D75EC"/>
    <w:rsid w:val="007E1049"/>
    <w:rsid w:val="007E2D15"/>
    <w:rsid w:val="007F180D"/>
    <w:rsid w:val="007F4C07"/>
    <w:rsid w:val="00807BEE"/>
    <w:rsid w:val="00812B47"/>
    <w:rsid w:val="00813D65"/>
    <w:rsid w:val="00816748"/>
    <w:rsid w:val="008265FC"/>
    <w:rsid w:val="00841F41"/>
    <w:rsid w:val="008665F1"/>
    <w:rsid w:val="00870A54"/>
    <w:rsid w:val="00884656"/>
    <w:rsid w:val="008B0F2F"/>
    <w:rsid w:val="008C3007"/>
    <w:rsid w:val="008C4BEF"/>
    <w:rsid w:val="008E628E"/>
    <w:rsid w:val="008F1574"/>
    <w:rsid w:val="008F5088"/>
    <w:rsid w:val="009025C8"/>
    <w:rsid w:val="00911842"/>
    <w:rsid w:val="00913474"/>
    <w:rsid w:val="00933E8C"/>
    <w:rsid w:val="00952602"/>
    <w:rsid w:val="009555A2"/>
    <w:rsid w:val="009572EC"/>
    <w:rsid w:val="00957D9A"/>
    <w:rsid w:val="00965A95"/>
    <w:rsid w:val="00980D5E"/>
    <w:rsid w:val="00981C83"/>
    <w:rsid w:val="00987C41"/>
    <w:rsid w:val="009940B2"/>
    <w:rsid w:val="009B2F76"/>
    <w:rsid w:val="009C185B"/>
    <w:rsid w:val="009C1BF2"/>
    <w:rsid w:val="009D0862"/>
    <w:rsid w:val="009F1363"/>
    <w:rsid w:val="009F1F98"/>
    <w:rsid w:val="00A02BF6"/>
    <w:rsid w:val="00A22AFE"/>
    <w:rsid w:val="00A40F77"/>
    <w:rsid w:val="00A44487"/>
    <w:rsid w:val="00A56945"/>
    <w:rsid w:val="00A7281F"/>
    <w:rsid w:val="00A75FB7"/>
    <w:rsid w:val="00A80BC0"/>
    <w:rsid w:val="00A92A27"/>
    <w:rsid w:val="00A92F74"/>
    <w:rsid w:val="00AB1162"/>
    <w:rsid w:val="00AB51FC"/>
    <w:rsid w:val="00AB5BD0"/>
    <w:rsid w:val="00AF787B"/>
    <w:rsid w:val="00B01374"/>
    <w:rsid w:val="00B21DBF"/>
    <w:rsid w:val="00B22B97"/>
    <w:rsid w:val="00B26FBD"/>
    <w:rsid w:val="00B44B2C"/>
    <w:rsid w:val="00B719EB"/>
    <w:rsid w:val="00B93C43"/>
    <w:rsid w:val="00B948E7"/>
    <w:rsid w:val="00BA0506"/>
    <w:rsid w:val="00BA5E1B"/>
    <w:rsid w:val="00BA6221"/>
    <w:rsid w:val="00BB06C2"/>
    <w:rsid w:val="00BB0C28"/>
    <w:rsid w:val="00BB14E7"/>
    <w:rsid w:val="00BB5F40"/>
    <w:rsid w:val="00BB6F28"/>
    <w:rsid w:val="00BD771A"/>
    <w:rsid w:val="00BE215F"/>
    <w:rsid w:val="00BF161E"/>
    <w:rsid w:val="00C05214"/>
    <w:rsid w:val="00C12531"/>
    <w:rsid w:val="00C333FB"/>
    <w:rsid w:val="00C77BE3"/>
    <w:rsid w:val="00C91757"/>
    <w:rsid w:val="00C933D2"/>
    <w:rsid w:val="00CB25D1"/>
    <w:rsid w:val="00CC72D6"/>
    <w:rsid w:val="00CC78A5"/>
    <w:rsid w:val="00CD1C6A"/>
    <w:rsid w:val="00CD22E1"/>
    <w:rsid w:val="00CD5EF7"/>
    <w:rsid w:val="00CE1C61"/>
    <w:rsid w:val="00CE3A53"/>
    <w:rsid w:val="00CF2305"/>
    <w:rsid w:val="00CF47D8"/>
    <w:rsid w:val="00D032CA"/>
    <w:rsid w:val="00D04BC3"/>
    <w:rsid w:val="00D158DA"/>
    <w:rsid w:val="00D206FA"/>
    <w:rsid w:val="00D22995"/>
    <w:rsid w:val="00D2733A"/>
    <w:rsid w:val="00D35BA1"/>
    <w:rsid w:val="00D403BE"/>
    <w:rsid w:val="00D76AEC"/>
    <w:rsid w:val="00D8700D"/>
    <w:rsid w:val="00D94D26"/>
    <w:rsid w:val="00DA6829"/>
    <w:rsid w:val="00DC2B6D"/>
    <w:rsid w:val="00DD4A27"/>
    <w:rsid w:val="00DD5C49"/>
    <w:rsid w:val="00DD735D"/>
    <w:rsid w:val="00DE3816"/>
    <w:rsid w:val="00DE77E8"/>
    <w:rsid w:val="00DF087F"/>
    <w:rsid w:val="00E10AA9"/>
    <w:rsid w:val="00E16041"/>
    <w:rsid w:val="00E2081C"/>
    <w:rsid w:val="00E23536"/>
    <w:rsid w:val="00E24CEF"/>
    <w:rsid w:val="00E345E9"/>
    <w:rsid w:val="00E45B16"/>
    <w:rsid w:val="00E54D00"/>
    <w:rsid w:val="00E64ED7"/>
    <w:rsid w:val="00E64EFE"/>
    <w:rsid w:val="00EB771D"/>
    <w:rsid w:val="00ED3A3C"/>
    <w:rsid w:val="00ED5BDF"/>
    <w:rsid w:val="00ED6F20"/>
    <w:rsid w:val="00F0345C"/>
    <w:rsid w:val="00F0483B"/>
    <w:rsid w:val="00F052D1"/>
    <w:rsid w:val="00F2586E"/>
    <w:rsid w:val="00F27AE5"/>
    <w:rsid w:val="00F3070F"/>
    <w:rsid w:val="00F41502"/>
    <w:rsid w:val="00F4316D"/>
    <w:rsid w:val="00F44EDC"/>
    <w:rsid w:val="00F456F0"/>
    <w:rsid w:val="00F50979"/>
    <w:rsid w:val="00F610D1"/>
    <w:rsid w:val="00F655A8"/>
    <w:rsid w:val="00F75AF0"/>
    <w:rsid w:val="00F822B0"/>
    <w:rsid w:val="00FA7D85"/>
    <w:rsid w:val="00FC29EA"/>
    <w:rsid w:val="00FD12AF"/>
    <w:rsid w:val="00FD1B44"/>
    <w:rsid w:val="00FD3A7E"/>
    <w:rsid w:val="00FE4FD9"/>
    <w:rsid w:val="00FE6308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C582A0"/>
  <w15:chartTrackingRefBased/>
  <w15:docId w15:val="{AF7C9D03-F51B-40E9-9DE6-312DE436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_INFO"/>
    <w:qFormat/>
    <w:rsid w:val="00BB5F40"/>
    <w:pPr>
      <w:spacing w:after="240" w:line="240" w:lineRule="auto"/>
      <w:jc w:val="both"/>
    </w:pPr>
    <w:rPr>
      <w:sz w:val="21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C41"/>
    <w:pPr>
      <w:keepNext/>
      <w:keepLines/>
      <w:pageBreakBefore/>
      <w:spacing w:before="240" w:after="360"/>
      <w:outlineLvl w:val="0"/>
    </w:pPr>
    <w:rPr>
      <w:rFonts w:asciiTheme="majorHAnsi" w:eastAsiaTheme="majorEastAsia" w:hAnsiTheme="majorHAnsi" w:cstheme="majorBidi"/>
      <w:color w:val="500778"/>
      <w:sz w:val="30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B5F40"/>
    <w:pPr>
      <w:numPr>
        <w:ilvl w:val="1"/>
        <w:numId w:val="8"/>
      </w:numPr>
      <w:spacing w:before="360" w:after="240"/>
      <w:ind w:left="425" w:hanging="425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6C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50077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B05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55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4CC"/>
    <w:pPr>
      <w:tabs>
        <w:tab w:val="center" w:pos="4513"/>
        <w:tab w:val="right" w:pos="9026"/>
      </w:tabs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0014CC"/>
    <w:rPr>
      <w:rFonts w:ascii="Atlas Grotesk Light" w:hAnsi="Atlas Grotesk Light"/>
      <w:sz w:val="17"/>
      <w:lang w:val="et-EE"/>
    </w:rPr>
  </w:style>
  <w:style w:type="paragraph" w:styleId="Footer">
    <w:name w:val="footer"/>
    <w:link w:val="FooterChar"/>
    <w:uiPriority w:val="99"/>
    <w:unhideWhenUsed/>
    <w:rsid w:val="00AB51FC"/>
    <w:pPr>
      <w:spacing w:before="300" w:after="0" w:line="240" w:lineRule="auto"/>
    </w:pPr>
    <w:rPr>
      <w:sz w:val="18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AB51FC"/>
    <w:rPr>
      <w:sz w:val="18"/>
      <w:lang w:val="et-EE"/>
    </w:rPr>
  </w:style>
  <w:style w:type="paragraph" w:customStyle="1" w:styleId="MainGrayboxParagraph">
    <w:name w:val="Main_Graybox_Paragraph"/>
    <w:link w:val="MainGrayboxParagraphChar"/>
    <w:qFormat/>
    <w:rsid w:val="00BB5F40"/>
    <w:pPr>
      <w:pBdr>
        <w:top w:val="single" w:sz="4" w:space="15" w:color="F6F6F6"/>
        <w:left w:val="single" w:sz="4" w:space="15" w:color="F6F6F6"/>
        <w:bottom w:val="single" w:sz="4" w:space="15" w:color="F6F6F6"/>
        <w:right w:val="single" w:sz="4" w:space="15" w:color="F6F6F6"/>
      </w:pBdr>
      <w:shd w:val="clear" w:color="auto" w:fill="F6F6F6"/>
      <w:spacing w:line="300" w:lineRule="auto"/>
      <w:ind w:left="284" w:right="284"/>
    </w:pPr>
    <w:rPr>
      <w:sz w:val="21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987C41"/>
    <w:rPr>
      <w:rFonts w:asciiTheme="majorHAnsi" w:eastAsiaTheme="majorEastAsia" w:hAnsiTheme="majorHAnsi" w:cstheme="majorBidi"/>
      <w:color w:val="500778"/>
      <w:sz w:val="30"/>
      <w:szCs w:val="32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BB5F40"/>
    <w:rPr>
      <w:rFonts w:asciiTheme="majorHAnsi" w:eastAsiaTheme="majorEastAsia" w:hAnsiTheme="majorHAnsi" w:cstheme="majorBidi"/>
      <w:color w:val="500778"/>
      <w:sz w:val="30"/>
      <w:szCs w:val="26"/>
      <w:lang w:val="et-EE"/>
    </w:rPr>
  </w:style>
  <w:style w:type="paragraph" w:styleId="Title">
    <w:name w:val="Title"/>
    <w:basedOn w:val="Normal"/>
    <w:next w:val="Default"/>
    <w:link w:val="TitleChar"/>
    <w:uiPriority w:val="10"/>
    <w:qFormat/>
    <w:rsid w:val="00BB5F40"/>
    <w:pPr>
      <w:ind w:left="2381"/>
      <w:contextualSpacing/>
    </w:pPr>
    <w:rPr>
      <w:rFonts w:asciiTheme="majorHAnsi" w:eastAsiaTheme="majorEastAsia" w:hAnsiTheme="majorHAnsi" w:cstheme="majorBidi"/>
      <w:color w:val="50077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F40"/>
    <w:rPr>
      <w:rFonts w:asciiTheme="majorHAnsi" w:eastAsiaTheme="majorEastAsia" w:hAnsiTheme="majorHAnsi" w:cstheme="majorBidi"/>
      <w:color w:val="500778"/>
      <w:sz w:val="7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rsid w:val="00AB51FC"/>
    <w:pPr>
      <w:numPr>
        <w:ilvl w:val="1"/>
      </w:numPr>
      <w:spacing w:after="160"/>
      <w:ind w:left="2381"/>
    </w:pPr>
    <w:rPr>
      <w:rFonts w:eastAsiaTheme="minorEastAsia"/>
      <w:color w:val="500778" w:themeColor="accent6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B51FC"/>
    <w:rPr>
      <w:rFonts w:eastAsiaTheme="minorEastAsia"/>
      <w:color w:val="500778" w:themeColor="accent6"/>
      <w:spacing w:val="15"/>
      <w:lang w:val="et-EE"/>
    </w:rPr>
  </w:style>
  <w:style w:type="paragraph" w:customStyle="1" w:styleId="Default">
    <w:name w:val="Default"/>
    <w:rsid w:val="00BB5F40"/>
    <w:pPr>
      <w:autoSpaceDE w:val="0"/>
      <w:autoSpaceDN w:val="0"/>
      <w:adjustRightInd w:val="0"/>
      <w:spacing w:after="240" w:line="300" w:lineRule="auto"/>
    </w:pPr>
    <w:rPr>
      <w:rFonts w:cs="Publico Light"/>
      <w:color w:val="000000"/>
      <w:sz w:val="18"/>
      <w:szCs w:val="24"/>
    </w:rPr>
  </w:style>
  <w:style w:type="paragraph" w:customStyle="1" w:styleId="PageTitleTableOfContent">
    <w:name w:val="Page_Title_TableOfContent"/>
    <w:qFormat/>
    <w:rsid w:val="00AB51FC"/>
    <w:pPr>
      <w:pBdr>
        <w:bottom w:val="single" w:sz="4" w:space="8" w:color="auto"/>
      </w:pBdr>
      <w:spacing w:after="360" w:line="300" w:lineRule="auto"/>
    </w:pPr>
    <w:rPr>
      <w:rFonts w:asciiTheme="majorHAnsi" w:hAnsiTheme="majorHAnsi"/>
      <w:color w:val="5B027A"/>
      <w:sz w:val="30"/>
      <w:szCs w:val="30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2964EC"/>
    <w:pPr>
      <w:ind w:left="720"/>
      <w:contextualSpacing/>
    </w:pPr>
  </w:style>
  <w:style w:type="paragraph" w:styleId="TOC1">
    <w:name w:val="toc 1"/>
    <w:basedOn w:val="Normal"/>
    <w:next w:val="Default"/>
    <w:link w:val="TOC1Char"/>
    <w:autoRedefine/>
    <w:uiPriority w:val="39"/>
    <w:unhideWhenUsed/>
    <w:rsid w:val="00BB5F40"/>
    <w:pPr>
      <w:tabs>
        <w:tab w:val="left" w:pos="284"/>
        <w:tab w:val="right" w:pos="9344"/>
      </w:tabs>
      <w:spacing w:after="360"/>
    </w:pPr>
    <w:rPr>
      <w:rFonts w:asciiTheme="majorHAnsi" w:hAnsiTheme="majorHAnsi"/>
      <w:color w:val="500778"/>
      <w:sz w:val="30"/>
    </w:rPr>
  </w:style>
  <w:style w:type="character" w:styleId="Hyperlink">
    <w:name w:val="Hyperlink"/>
    <w:basedOn w:val="DefaultParagraphFont"/>
    <w:uiPriority w:val="99"/>
    <w:unhideWhenUsed/>
    <w:rsid w:val="002964EC"/>
    <w:rPr>
      <w:color w:val="500778" w:themeColor="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BB5F40"/>
    <w:rPr>
      <w:rFonts w:asciiTheme="majorHAnsi" w:hAnsiTheme="majorHAnsi"/>
      <w:color w:val="500778"/>
      <w:sz w:val="30"/>
      <w:lang w:val="et-EE"/>
    </w:rPr>
  </w:style>
  <w:style w:type="paragraph" w:styleId="TOCHeading">
    <w:name w:val="TOC Heading"/>
    <w:basedOn w:val="Heading1"/>
    <w:next w:val="Normal"/>
    <w:uiPriority w:val="39"/>
    <w:unhideWhenUsed/>
    <w:qFormat/>
    <w:rsid w:val="00AB51FC"/>
    <w:pPr>
      <w:spacing w:line="259" w:lineRule="auto"/>
      <w:outlineLvl w:val="9"/>
    </w:pPr>
    <w:rPr>
      <w:color w:val="3B0559" w:themeColor="accent1" w:themeShade="BF"/>
      <w:sz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B51FC"/>
    <w:pPr>
      <w:spacing w:after="100" w:line="259" w:lineRule="auto"/>
      <w:ind w:left="440"/>
    </w:pPr>
    <w:rPr>
      <w:rFonts w:asciiTheme="majorHAnsi" w:eastAsiaTheme="minorEastAsia" w:hAnsiTheme="majorHAnsi" w:cs="Times New Roman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B5F40"/>
    <w:pPr>
      <w:tabs>
        <w:tab w:val="left" w:pos="993"/>
        <w:tab w:val="right" w:pos="9344"/>
      </w:tabs>
      <w:spacing w:after="360"/>
      <w:ind w:left="426"/>
      <w:contextualSpacing/>
    </w:pPr>
    <w:rPr>
      <w:rFonts w:asciiTheme="majorHAnsi" w:hAnsiTheme="majorHAnsi"/>
      <w:color w:val="500778"/>
      <w:sz w:val="30"/>
    </w:rPr>
  </w:style>
  <w:style w:type="paragraph" w:customStyle="1" w:styleId="MainGrayBoxBulletlist">
    <w:name w:val="Main_GrayBox_Bulletlist"/>
    <w:basedOn w:val="ListParagraph"/>
    <w:link w:val="MainGrayBoxBulletlistChar"/>
    <w:qFormat/>
    <w:rsid w:val="00BB5F40"/>
    <w:pPr>
      <w:numPr>
        <w:numId w:val="11"/>
      </w:numPr>
      <w:pBdr>
        <w:top w:val="single" w:sz="2" w:space="15" w:color="F6F6F6"/>
        <w:left w:val="single" w:sz="2" w:space="15" w:color="F6F6F6"/>
        <w:bottom w:val="single" w:sz="2" w:space="15" w:color="F6F6F6"/>
        <w:right w:val="single" w:sz="2" w:space="15" w:color="F6F6F6"/>
      </w:pBdr>
      <w:shd w:val="clear" w:color="auto" w:fill="F6F6F6"/>
      <w:ind w:left="641" w:right="284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6446C5"/>
    <w:rPr>
      <w:rFonts w:asciiTheme="majorHAnsi" w:eastAsiaTheme="majorEastAsia" w:hAnsiTheme="majorHAnsi" w:cstheme="majorBidi"/>
      <w:color w:val="500778"/>
      <w:sz w:val="21"/>
      <w:szCs w:val="24"/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345C"/>
    <w:rPr>
      <w:rFonts w:ascii="Atlas Grotesk" w:hAnsi="Atlas Grotesk"/>
      <w:sz w:val="17"/>
      <w:lang w:val="et-EE"/>
    </w:rPr>
  </w:style>
  <w:style w:type="character" w:customStyle="1" w:styleId="MainGrayBoxBulletlistChar">
    <w:name w:val="Main_GrayBox_Bulletlist Char"/>
    <w:basedOn w:val="ListParagraphChar"/>
    <w:link w:val="MainGrayBoxBulletlist"/>
    <w:rsid w:val="00BB5F40"/>
    <w:rPr>
      <w:rFonts w:ascii="Atlas Grotesk" w:hAnsi="Atlas Grotesk"/>
      <w:sz w:val="21"/>
      <w:shd w:val="clear" w:color="auto" w:fill="F6F6F6"/>
      <w:lang w:val="et-EE"/>
    </w:rPr>
  </w:style>
  <w:style w:type="character" w:styleId="SubtleReference">
    <w:name w:val="Subtle Reference"/>
    <w:basedOn w:val="DefaultParagraphFont"/>
    <w:uiPriority w:val="31"/>
    <w:qFormat/>
    <w:rsid w:val="00262828"/>
    <w:rPr>
      <w:smallCaps/>
      <w:color w:val="500778" w:themeColor="accent6"/>
    </w:rPr>
  </w:style>
  <w:style w:type="character" w:styleId="IntenseReference">
    <w:name w:val="Intense Reference"/>
    <w:basedOn w:val="DefaultParagraphFont"/>
    <w:uiPriority w:val="32"/>
    <w:qFormat/>
    <w:rsid w:val="00D22995"/>
    <w:rPr>
      <w:b/>
      <w:bCs/>
      <w:smallCaps/>
      <w:color w:val="500778" w:themeColor="accent1"/>
      <w:spacing w:val="5"/>
    </w:rPr>
  </w:style>
  <w:style w:type="paragraph" w:styleId="NoSpacing">
    <w:name w:val="No Spacing"/>
    <w:uiPriority w:val="1"/>
    <w:rsid w:val="00BB5F40"/>
    <w:pPr>
      <w:spacing w:after="0" w:line="240" w:lineRule="auto"/>
    </w:pPr>
    <w:rPr>
      <w:sz w:val="21"/>
      <w:lang w:val="et-EE"/>
    </w:rPr>
  </w:style>
  <w:style w:type="character" w:customStyle="1" w:styleId="MainGrayboxParagraphChar">
    <w:name w:val="Main_Graybox_Paragraph Char"/>
    <w:basedOn w:val="DefaultParagraphFont"/>
    <w:link w:val="MainGrayboxParagraph"/>
    <w:rsid w:val="00BB5F40"/>
    <w:rPr>
      <w:sz w:val="21"/>
      <w:shd w:val="clear" w:color="auto" w:fill="F6F6F6"/>
      <w:lang w:val="et-EE"/>
    </w:rPr>
  </w:style>
  <w:style w:type="paragraph" w:styleId="Quote">
    <w:name w:val="Quote"/>
    <w:basedOn w:val="Normal"/>
    <w:next w:val="Normal"/>
    <w:link w:val="QuoteChar"/>
    <w:uiPriority w:val="29"/>
    <w:rsid w:val="00262828"/>
    <w:pPr>
      <w:spacing w:before="200" w:after="160"/>
      <w:ind w:left="864" w:right="864"/>
      <w:jc w:val="center"/>
    </w:pPr>
    <w:rPr>
      <w:i/>
      <w:iCs/>
      <w:color w:val="500778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262828"/>
    <w:rPr>
      <w:rFonts w:ascii="Atlas Grotesk Light" w:hAnsi="Atlas Grotesk Light"/>
      <w:i/>
      <w:iCs/>
      <w:color w:val="500778" w:themeColor="accent6"/>
      <w:sz w:val="18"/>
      <w:lang w:val="et-EE"/>
    </w:rPr>
  </w:style>
  <w:style w:type="character" w:styleId="Strong">
    <w:name w:val="Strong"/>
    <w:basedOn w:val="DefaultParagraphFont"/>
    <w:uiPriority w:val="22"/>
    <w:qFormat/>
    <w:rsid w:val="00D229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22995"/>
    <w:rPr>
      <w:i/>
      <w:iCs/>
      <w:color w:val="500778" w:themeColor="accent1"/>
    </w:rPr>
  </w:style>
  <w:style w:type="character" w:styleId="Emphasis">
    <w:name w:val="Emphasis"/>
    <w:basedOn w:val="DefaultParagraphFont"/>
    <w:uiPriority w:val="20"/>
    <w:qFormat/>
    <w:rsid w:val="00D2299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62828"/>
    <w:rPr>
      <w:i/>
      <w:iCs/>
      <w:color w:val="500778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AB51FC"/>
    <w:rPr>
      <w:rFonts w:asciiTheme="majorHAnsi" w:eastAsiaTheme="majorEastAsia" w:hAnsiTheme="majorHAnsi" w:cstheme="majorBidi"/>
      <w:i/>
      <w:iCs/>
      <w:color w:val="3B0559" w:themeColor="accent1" w:themeShade="BF"/>
      <w:sz w:val="21"/>
      <w:lang w:val="et-EE"/>
    </w:rPr>
  </w:style>
  <w:style w:type="paragraph" w:customStyle="1" w:styleId="Image">
    <w:name w:val="Image"/>
    <w:link w:val="ImageChar"/>
    <w:qFormat/>
    <w:rsid w:val="00AB51FC"/>
    <w:rPr>
      <w:rFonts w:cs="Publico Light"/>
      <w:color w:val="000000"/>
      <w:sz w:val="21"/>
      <w:szCs w:val="24"/>
    </w:rPr>
  </w:style>
  <w:style w:type="paragraph" w:customStyle="1" w:styleId="MainFootnote">
    <w:name w:val="Main_Footnote"/>
    <w:basedOn w:val="Normal"/>
    <w:link w:val="MainFootnoteChar"/>
    <w:qFormat/>
    <w:rsid w:val="00AB51FC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0D2"/>
    <w:rPr>
      <w:sz w:val="20"/>
      <w:szCs w:val="20"/>
    </w:rPr>
  </w:style>
  <w:style w:type="character" w:customStyle="1" w:styleId="MainFootnoteChar">
    <w:name w:val="Main_Footnote Char"/>
    <w:basedOn w:val="DefaultParagraphFont"/>
    <w:link w:val="MainFootnote"/>
    <w:rsid w:val="00AB51FC"/>
    <w:rPr>
      <w:sz w:val="18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0D2"/>
    <w:rPr>
      <w:rFonts w:ascii="Atlas Grotesk" w:hAnsi="Atlas Grotesk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3010D2"/>
    <w:rPr>
      <w:vertAlign w:val="superscript"/>
    </w:rPr>
  </w:style>
  <w:style w:type="character" w:customStyle="1" w:styleId="ImageChar">
    <w:name w:val="Image Char"/>
    <w:basedOn w:val="DefaultParagraphFont"/>
    <w:link w:val="Image"/>
    <w:rsid w:val="00AB51FC"/>
    <w:rPr>
      <w:rFonts w:cs="Publico Light"/>
      <w:color w:val="000000"/>
      <w:sz w:val="21"/>
      <w:szCs w:val="24"/>
    </w:rPr>
  </w:style>
  <w:style w:type="paragraph" w:customStyle="1" w:styleId="ChartTitleFull">
    <w:name w:val="Chart_Title_Full"/>
    <w:basedOn w:val="Normal"/>
    <w:link w:val="ChartTitleFullChar"/>
    <w:qFormat/>
    <w:rsid w:val="00AB51FC"/>
    <w:pPr>
      <w:pBdr>
        <w:bottom w:val="single" w:sz="4" w:space="5" w:color="5B027A"/>
      </w:pBdr>
      <w:spacing w:after="360"/>
    </w:pPr>
    <w:rPr>
      <w:color w:val="5B027A"/>
      <w:sz w:val="16"/>
    </w:rPr>
  </w:style>
  <w:style w:type="paragraph" w:customStyle="1" w:styleId="ChartTitleRight">
    <w:name w:val="Chart_Title_Right"/>
    <w:basedOn w:val="ChartTitleFull"/>
    <w:link w:val="ChartTitleRightChar"/>
    <w:qFormat/>
    <w:rsid w:val="00BB5F40"/>
  </w:style>
  <w:style w:type="character" w:customStyle="1" w:styleId="ChartTitleFullChar">
    <w:name w:val="Chart_Title_Full Char"/>
    <w:basedOn w:val="DefaultParagraphFont"/>
    <w:link w:val="ChartTitleFull"/>
    <w:rsid w:val="00AB51FC"/>
    <w:rPr>
      <w:color w:val="5B027A"/>
      <w:sz w:val="16"/>
      <w:lang w:val="et-EE"/>
    </w:rPr>
  </w:style>
  <w:style w:type="character" w:customStyle="1" w:styleId="ChartTitleRightChar">
    <w:name w:val="Chart_Title_Right Char"/>
    <w:basedOn w:val="ChartTitleFullChar"/>
    <w:link w:val="ChartTitleRight"/>
    <w:rsid w:val="00BB5F40"/>
    <w:rPr>
      <w:color w:val="5B027A"/>
      <w:sz w:val="16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FC"/>
    <w:rPr>
      <w:rFonts w:asciiTheme="majorHAnsi" w:eastAsiaTheme="majorEastAsia" w:hAnsiTheme="majorHAnsi" w:cstheme="majorBidi"/>
      <w:color w:val="3B0559" w:themeColor="accent1" w:themeShade="BF"/>
      <w:sz w:val="21"/>
      <w:lang w:val="et-EE"/>
    </w:rPr>
  </w:style>
  <w:style w:type="paragraph" w:customStyle="1" w:styleId="MainText">
    <w:name w:val="Main_Text"/>
    <w:basedOn w:val="Normal"/>
    <w:link w:val="MainTextChar"/>
    <w:qFormat/>
    <w:rsid w:val="00DD4A27"/>
    <w:pPr>
      <w:spacing w:line="300" w:lineRule="auto"/>
      <w:jc w:val="left"/>
    </w:pPr>
    <w:rPr>
      <w:sz w:val="20"/>
    </w:rPr>
  </w:style>
  <w:style w:type="character" w:customStyle="1" w:styleId="MainTextChar">
    <w:name w:val="Main_Text Char"/>
    <w:basedOn w:val="DefaultParagraphFont"/>
    <w:link w:val="MainText"/>
    <w:rsid w:val="00DD4A27"/>
    <w:rPr>
      <w:sz w:val="20"/>
      <w:lang w:val="et-EE"/>
    </w:rPr>
  </w:style>
  <w:style w:type="table" w:styleId="TableGrid">
    <w:name w:val="Table Grid"/>
    <w:basedOn w:val="TableNormal"/>
    <w:uiPriority w:val="39"/>
    <w:rsid w:val="008F508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D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E1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lebov\Documents\Custom%20Office%20Templates\FI%20mallid\Raport_Long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rahu\Desktop\joonis_fondivalitseja4_n&#245;ukog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rahu\Desktop\joonis_fondivalitseja4_n&#245;ukogu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t-EE" sz="1100"/>
              <a:t>Hallatavate varade maht äriliinide kaupa</a:t>
            </a:r>
          </a:p>
        </c:rich>
      </c:tx>
      <c:layout>
        <c:manualLayout>
          <c:xMode val="edge"/>
          <c:yMode val="edge"/>
          <c:x val="0.14294845707348852"/>
          <c:y val="2.46694464573874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9.5807843731072068E-2"/>
          <c:y val="0.15830221729075369"/>
          <c:w val="0.65566272965879269"/>
          <c:h val="0.5543339514993058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Joonis_hv!$B$5</c:f>
              <c:strCache>
                <c:ptCount val="1"/>
                <c:pt idx="0">
                  <c:v>fondid, IFS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Joonis_hv!$C$4:$L$4</c:f>
              <c:strCache>
                <c:ptCount val="10"/>
                <c:pt idx="0">
                  <c:v>31.12.11</c:v>
                </c:pt>
                <c:pt idx="1">
                  <c:v>31.12.12</c:v>
                </c:pt>
                <c:pt idx="2">
                  <c:v>31.12.13</c:v>
                </c:pt>
                <c:pt idx="3">
                  <c:v>31.12.14</c:v>
                </c:pt>
                <c:pt idx="4">
                  <c:v>31.12.15</c:v>
                </c:pt>
                <c:pt idx="5">
                  <c:v>31.12.16</c:v>
                </c:pt>
                <c:pt idx="6">
                  <c:v>31.03.16</c:v>
                </c:pt>
                <c:pt idx="7">
                  <c:v>30.06.17</c:v>
                </c:pt>
                <c:pt idx="8">
                  <c:v>30.09.17</c:v>
                </c:pt>
                <c:pt idx="9">
                  <c:v>31.12.17</c:v>
                </c:pt>
              </c:strCache>
            </c:strRef>
          </c:cat>
          <c:val>
            <c:numRef>
              <c:f>Joonis_hv!$C$5:$L$5</c:f>
              <c:numCache>
                <c:formatCode>#,##0</c:formatCode>
                <c:ptCount val="10"/>
                <c:pt idx="0">
                  <c:v>1705879.54</c:v>
                </c:pt>
                <c:pt idx="1">
                  <c:v>2090540.9649999996</c:v>
                </c:pt>
                <c:pt idx="2">
                  <c:v>2488172.2830000003</c:v>
                </c:pt>
                <c:pt idx="3">
                  <c:v>2894375.9759999993</c:v>
                </c:pt>
                <c:pt idx="4">
                  <c:v>3344537.159</c:v>
                </c:pt>
                <c:pt idx="5">
                  <c:v>3980436.1439999999</c:v>
                </c:pt>
                <c:pt idx="6">
                  <c:v>4154210.355</c:v>
                </c:pt>
                <c:pt idx="7">
                  <c:v>4241654.6349999998</c:v>
                </c:pt>
                <c:pt idx="8">
                  <c:v>4449214.2620000001</c:v>
                </c:pt>
                <c:pt idx="9">
                  <c:v>4626397.0159999998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8E-4B20-8E94-D31439A09815}"/>
            </c:ext>
          </c:extLst>
        </c:ser>
        <c:ser>
          <c:idx val="1"/>
          <c:order val="1"/>
          <c:tx>
            <c:strRef>
              <c:f>Joonis_hv!$B$6</c:f>
              <c:strCache>
                <c:ptCount val="1"/>
                <c:pt idx="0">
                  <c:v>välisfondid</c:v>
                </c:pt>
              </c:strCache>
            </c:strRef>
          </c:tx>
          <c:spPr>
            <a:solidFill>
              <a:srgbClr val="A317F1"/>
            </a:solidFill>
            <a:ln>
              <a:noFill/>
            </a:ln>
            <a:effectLst/>
          </c:spPr>
          <c:invertIfNegative val="0"/>
          <c:cat>
            <c:strRef>
              <c:f>Joonis_hv!$C$4:$L$4</c:f>
              <c:strCache>
                <c:ptCount val="10"/>
                <c:pt idx="0">
                  <c:v>31.12.11</c:v>
                </c:pt>
                <c:pt idx="1">
                  <c:v>31.12.12</c:v>
                </c:pt>
                <c:pt idx="2">
                  <c:v>31.12.13</c:v>
                </c:pt>
                <c:pt idx="3">
                  <c:v>31.12.14</c:v>
                </c:pt>
                <c:pt idx="4">
                  <c:v>31.12.15</c:v>
                </c:pt>
                <c:pt idx="5">
                  <c:v>31.12.16</c:v>
                </c:pt>
                <c:pt idx="6">
                  <c:v>31.03.16</c:v>
                </c:pt>
                <c:pt idx="7">
                  <c:v>30.06.17</c:v>
                </c:pt>
                <c:pt idx="8">
                  <c:v>30.09.17</c:v>
                </c:pt>
                <c:pt idx="9">
                  <c:v>31.12.17</c:v>
                </c:pt>
              </c:strCache>
            </c:strRef>
          </c:cat>
          <c:val>
            <c:numRef>
              <c:f>Joonis_hv!$C$6:$L$6</c:f>
              <c:numCache>
                <c:formatCode>General</c:formatCode>
                <c:ptCount val="10"/>
                <c:pt idx="4" formatCode="#,##0">
                  <c:v>65825.275999999998</c:v>
                </c:pt>
                <c:pt idx="5" formatCode="#,##0">
                  <c:v>58797.868000000002</c:v>
                </c:pt>
                <c:pt idx="6" formatCode="#,##0">
                  <c:v>58538.186999999998</c:v>
                </c:pt>
                <c:pt idx="7" formatCode="#,##0">
                  <c:v>52543.898999999998</c:v>
                </c:pt>
                <c:pt idx="8" formatCode="#,##0">
                  <c:v>42502.118999999999</c:v>
                </c:pt>
                <c:pt idx="9" formatCode="#,##0">
                  <c:v>27175.125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8E-4B20-8E94-D31439A09815}"/>
            </c:ext>
          </c:extLst>
        </c:ser>
        <c:ser>
          <c:idx val="3"/>
          <c:order val="2"/>
          <c:tx>
            <c:strRef>
              <c:f>Joonis_hv!$B$7</c:f>
              <c:strCache>
                <c:ptCount val="1"/>
                <c:pt idx="0">
                  <c:v>allhange</c:v>
                </c:pt>
              </c:strCache>
            </c:strRef>
          </c:tx>
          <c:spPr>
            <a:solidFill>
              <a:srgbClr val="FA5C1D"/>
            </a:solidFill>
            <a:ln>
              <a:noFill/>
            </a:ln>
            <a:effectLst/>
          </c:spPr>
          <c:invertIfNegative val="0"/>
          <c:cat>
            <c:strRef>
              <c:f>Joonis_hv!$C$4:$L$4</c:f>
              <c:strCache>
                <c:ptCount val="10"/>
                <c:pt idx="0">
                  <c:v>31.12.11</c:v>
                </c:pt>
                <c:pt idx="1">
                  <c:v>31.12.12</c:v>
                </c:pt>
                <c:pt idx="2">
                  <c:v>31.12.13</c:v>
                </c:pt>
                <c:pt idx="3">
                  <c:v>31.12.14</c:v>
                </c:pt>
                <c:pt idx="4">
                  <c:v>31.12.15</c:v>
                </c:pt>
                <c:pt idx="5">
                  <c:v>31.12.16</c:v>
                </c:pt>
                <c:pt idx="6">
                  <c:v>31.03.16</c:v>
                </c:pt>
                <c:pt idx="7">
                  <c:v>30.06.17</c:v>
                </c:pt>
                <c:pt idx="8">
                  <c:v>30.09.17</c:v>
                </c:pt>
                <c:pt idx="9">
                  <c:v>31.12.17</c:v>
                </c:pt>
              </c:strCache>
            </c:strRef>
          </c:cat>
          <c:val>
            <c:numRef>
              <c:f>Joonis_hv!$C$7:$L$7</c:f>
              <c:numCache>
                <c:formatCode>#,##0</c:formatCode>
                <c:ptCount val="10"/>
                <c:pt idx="0">
                  <c:v>1051285.5190000001</c:v>
                </c:pt>
                <c:pt idx="1">
                  <c:v>1251863.1099999999</c:v>
                </c:pt>
                <c:pt idx="2">
                  <c:v>1211362</c:v>
                </c:pt>
                <c:pt idx="3">
                  <c:v>823932.82631999999</c:v>
                </c:pt>
                <c:pt idx="4">
                  <c:v>1000712.441</c:v>
                </c:pt>
                <c:pt idx="5">
                  <c:v>1223780.723</c:v>
                </c:pt>
                <c:pt idx="6">
                  <c:v>1085471.1169999999</c:v>
                </c:pt>
                <c:pt idx="7">
                  <c:v>1037589.921</c:v>
                </c:pt>
                <c:pt idx="8">
                  <c:v>1185775.433</c:v>
                </c:pt>
                <c:pt idx="9">
                  <c:v>1319087.8770000001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8E-4B20-8E94-D31439A09815}"/>
            </c:ext>
          </c:extLst>
        </c:ser>
        <c:ser>
          <c:idx val="5"/>
          <c:order val="3"/>
          <c:tx>
            <c:strRef>
              <c:f>Joonis_hv!$B$8</c:f>
              <c:strCache>
                <c:ptCount val="1"/>
                <c:pt idx="0">
                  <c:v>individuaal- portfell</c:v>
                </c:pt>
              </c:strCache>
            </c:strRef>
          </c:tx>
          <c:spPr>
            <a:solidFill>
              <a:srgbClr val="0037F5"/>
            </a:solidFill>
            <a:ln>
              <a:noFill/>
            </a:ln>
            <a:effectLst/>
          </c:spPr>
          <c:invertIfNegative val="0"/>
          <c:cat>
            <c:strRef>
              <c:f>Joonis_hv!$C$4:$L$4</c:f>
              <c:strCache>
                <c:ptCount val="10"/>
                <c:pt idx="0">
                  <c:v>31.12.11</c:v>
                </c:pt>
                <c:pt idx="1">
                  <c:v>31.12.12</c:v>
                </c:pt>
                <c:pt idx="2">
                  <c:v>31.12.13</c:v>
                </c:pt>
                <c:pt idx="3">
                  <c:v>31.12.14</c:v>
                </c:pt>
                <c:pt idx="4">
                  <c:v>31.12.15</c:v>
                </c:pt>
                <c:pt idx="5">
                  <c:v>31.12.16</c:v>
                </c:pt>
                <c:pt idx="6">
                  <c:v>31.03.16</c:v>
                </c:pt>
                <c:pt idx="7">
                  <c:v>30.06.17</c:v>
                </c:pt>
                <c:pt idx="8">
                  <c:v>30.09.17</c:v>
                </c:pt>
                <c:pt idx="9">
                  <c:v>31.12.17</c:v>
                </c:pt>
              </c:strCache>
            </c:strRef>
          </c:cat>
          <c:val>
            <c:numRef>
              <c:f>Joonis_hv!$C$8:$L$8</c:f>
              <c:numCache>
                <c:formatCode>#,##0</c:formatCode>
                <c:ptCount val="10"/>
                <c:pt idx="0">
                  <c:v>566396.72900000005</c:v>
                </c:pt>
                <c:pt idx="1">
                  <c:v>581161.20900000003</c:v>
                </c:pt>
                <c:pt idx="2">
                  <c:v>621201.64199999999</c:v>
                </c:pt>
                <c:pt idx="3">
                  <c:v>557735.70900000003</c:v>
                </c:pt>
                <c:pt idx="4">
                  <c:v>171051.15800000002</c:v>
                </c:pt>
                <c:pt idx="5">
                  <c:v>186141.05799999999</c:v>
                </c:pt>
                <c:pt idx="6">
                  <c:v>282675.22399999999</c:v>
                </c:pt>
                <c:pt idx="7">
                  <c:v>291150.95799999998</c:v>
                </c:pt>
                <c:pt idx="8">
                  <c:v>324226.54499999998</c:v>
                </c:pt>
                <c:pt idx="9">
                  <c:v>142576.323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8E-4B20-8E94-D31439A09815}"/>
            </c:ext>
          </c:extLst>
        </c:ser>
        <c:ser>
          <c:idx val="2"/>
          <c:order val="4"/>
          <c:tx>
            <c:strRef>
              <c:f>Joonis_hv!$B$9</c:f>
              <c:strCache>
                <c:ptCount val="1"/>
                <c:pt idx="0">
                  <c:v>hoidmine</c:v>
                </c:pt>
              </c:strCache>
            </c:strRef>
          </c:tx>
          <c:spPr>
            <a:solidFill>
              <a:srgbClr val="00BB4A"/>
            </a:solidFill>
            <a:ln>
              <a:noFill/>
            </a:ln>
            <a:effectLst/>
          </c:spPr>
          <c:invertIfNegative val="0"/>
          <c:cat>
            <c:strRef>
              <c:f>Joonis_hv!$C$4:$L$4</c:f>
              <c:strCache>
                <c:ptCount val="10"/>
                <c:pt idx="0">
                  <c:v>31.12.11</c:v>
                </c:pt>
                <c:pt idx="1">
                  <c:v>31.12.12</c:v>
                </c:pt>
                <c:pt idx="2">
                  <c:v>31.12.13</c:v>
                </c:pt>
                <c:pt idx="3">
                  <c:v>31.12.14</c:v>
                </c:pt>
                <c:pt idx="4">
                  <c:v>31.12.15</c:v>
                </c:pt>
                <c:pt idx="5">
                  <c:v>31.12.16</c:v>
                </c:pt>
                <c:pt idx="6">
                  <c:v>31.03.16</c:v>
                </c:pt>
                <c:pt idx="7">
                  <c:v>30.06.17</c:v>
                </c:pt>
                <c:pt idx="8">
                  <c:v>30.09.17</c:v>
                </c:pt>
                <c:pt idx="9">
                  <c:v>31.12.17</c:v>
                </c:pt>
              </c:strCache>
            </c:strRef>
          </c:cat>
          <c:val>
            <c:numRef>
              <c:f>Joonis_hv!$C$9:$L$9</c:f>
              <c:numCache>
                <c:formatCode>#,##0</c:formatCode>
                <c:ptCount val="10"/>
                <c:pt idx="0">
                  <c:v>1294</c:v>
                </c:pt>
                <c:pt idx="1">
                  <c:v>2625</c:v>
                </c:pt>
                <c:pt idx="2">
                  <c:v>2712.884</c:v>
                </c:pt>
                <c:pt idx="3">
                  <c:v>2185.5899999999997</c:v>
                </c:pt>
                <c:pt idx="4">
                  <c:v>3814.1950000000002</c:v>
                </c:pt>
                <c:pt idx="5">
                  <c:v>22324.274000000001</c:v>
                </c:pt>
                <c:pt idx="6">
                  <c:v>13351.853999999999</c:v>
                </c:pt>
                <c:pt idx="7">
                  <c:v>7979.5029999999997</c:v>
                </c:pt>
                <c:pt idx="8">
                  <c:v>24695.883000000002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8E-4B20-8E94-D31439A09815}"/>
            </c:ext>
          </c:extLst>
        </c:ser>
        <c:ser>
          <c:idx val="6"/>
          <c:order val="5"/>
          <c:tx>
            <c:strRef>
              <c:f>Joonis_hv!$B$10</c:f>
              <c:strCache>
                <c:ptCount val="1"/>
                <c:pt idx="0">
                  <c:v>muu vara</c:v>
                </c:pt>
              </c:strCache>
            </c:strRef>
          </c:tx>
          <c:spPr>
            <a:solidFill>
              <a:srgbClr val="7F7F7F"/>
            </a:solidFill>
            <a:ln>
              <a:noFill/>
            </a:ln>
            <a:effectLst/>
          </c:spPr>
          <c:invertIfNegative val="0"/>
          <c:cat>
            <c:strRef>
              <c:f>Joonis_hv!$C$4:$L$4</c:f>
              <c:strCache>
                <c:ptCount val="10"/>
                <c:pt idx="0">
                  <c:v>31.12.11</c:v>
                </c:pt>
                <c:pt idx="1">
                  <c:v>31.12.12</c:v>
                </c:pt>
                <c:pt idx="2">
                  <c:v>31.12.13</c:v>
                </c:pt>
                <c:pt idx="3">
                  <c:v>31.12.14</c:v>
                </c:pt>
                <c:pt idx="4">
                  <c:v>31.12.15</c:v>
                </c:pt>
                <c:pt idx="5">
                  <c:v>31.12.16</c:v>
                </c:pt>
                <c:pt idx="6">
                  <c:v>31.03.16</c:v>
                </c:pt>
                <c:pt idx="7">
                  <c:v>30.06.17</c:v>
                </c:pt>
                <c:pt idx="8">
                  <c:v>30.09.17</c:v>
                </c:pt>
                <c:pt idx="9">
                  <c:v>31.12.17</c:v>
                </c:pt>
              </c:strCache>
            </c:strRef>
          </c:cat>
          <c:val>
            <c:numRef>
              <c:f>Joonis_hv!$C$10:$L$10</c:f>
              <c:numCache>
                <c:formatCode>#,##0</c:formatCode>
                <c:ptCount val="10"/>
                <c:pt idx="0">
                  <c:v>183764</c:v>
                </c:pt>
                <c:pt idx="1">
                  <c:v>67959</c:v>
                </c:pt>
                <c:pt idx="2">
                  <c:v>67920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18E-4B20-8E94-D31439A098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00"/>
        <c:axId val="343881528"/>
        <c:axId val="343881920"/>
      </c:barChart>
      <c:catAx>
        <c:axId val="343881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43881920"/>
        <c:crosses val="autoZero"/>
        <c:auto val="1"/>
        <c:lblAlgn val="ctr"/>
        <c:lblOffset val="100"/>
        <c:noMultiLvlLbl val="0"/>
      </c:catAx>
      <c:valAx>
        <c:axId val="343881920"/>
        <c:scaling>
          <c:orientation val="minMax"/>
          <c:max val="6300000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dash"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43881528"/>
        <c:crosses val="autoZero"/>
        <c:crossBetween val="between"/>
        <c:majorUnit val="1000000"/>
        <c:minorUnit val="4000"/>
        <c:dispUnits>
          <c:builtInUnit val="millions"/>
          <c:dispUnitsLbl>
            <c:layout>
              <c:manualLayout>
                <c:xMode val="edge"/>
                <c:yMode val="edge"/>
                <c:x val="4.0944881889763774E-3"/>
                <c:y val="0.30413573303337083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t-EE" b="0"/>
                    <a:t>mld eurot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</c:dispUnitsLbl>
        </c:dispUnits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59163638199071"/>
          <c:y val="0.15712577594467358"/>
          <c:w val="0.26114400363416113"/>
          <c:h val="0.676363787859850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zero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900">
          <a:solidFill>
            <a:schemeClr val="tx2"/>
          </a:solidFill>
        </a:defRPr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t-EE" sz="1100" b="1"/>
              <a:t>Fondivalitsejate</a:t>
            </a:r>
            <a:r>
              <a:rPr lang="et-EE" sz="1100" b="1" baseline="0"/>
              <a:t> kasum ja omakapitalitootlus</a:t>
            </a:r>
            <a:endParaRPr lang="et-EE" sz="1100" b="1"/>
          </a:p>
        </c:rich>
      </c:tx>
      <c:layout>
        <c:manualLayout>
          <c:xMode val="edge"/>
          <c:yMode val="edge"/>
          <c:x val="0.16547016999484698"/>
          <c:y val="2.35224933842987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1201631194936407"/>
          <c:y val="0.19138187703014628"/>
          <c:w val="0.79561949711304614"/>
          <c:h val="0.50010626795731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K_ROE!$B$6</c:f>
              <c:strCache>
                <c:ptCount val="1"/>
                <c:pt idx="0">
                  <c:v>Kasum</c:v>
                </c:pt>
              </c:strCache>
            </c:strRef>
          </c:tx>
          <c:spPr>
            <a:solidFill>
              <a:srgbClr val="610892"/>
            </a:solidFill>
            <a:ln>
              <a:noFill/>
            </a:ln>
            <a:effectLst/>
          </c:spPr>
          <c:invertIfNegative val="0"/>
          <c:cat>
            <c:numRef>
              <c:f>K_ROE!$C$5:$O$5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K_ROE!$C$6:$O$6</c:f>
              <c:numCache>
                <c:formatCode>#,##0</c:formatCode>
                <c:ptCount val="13"/>
                <c:pt idx="0">
                  <c:v>11806.015364360308</c:v>
                </c:pt>
                <c:pt idx="1">
                  <c:v>13626.666496235604</c:v>
                </c:pt>
                <c:pt idx="2">
                  <c:v>21841.997622486677</c:v>
                </c:pt>
                <c:pt idx="3" formatCode="#,###">
                  <c:v>6753.5560952539208</c:v>
                </c:pt>
                <c:pt idx="4">
                  <c:v>2342.7836079403833</c:v>
                </c:pt>
                <c:pt idx="5">
                  <c:v>11307.859999999999</c:v>
                </c:pt>
                <c:pt idx="6">
                  <c:v>8534.9950000000008</c:v>
                </c:pt>
                <c:pt idx="7">
                  <c:v>11992.182000000001</c:v>
                </c:pt>
                <c:pt idx="8">
                  <c:v>13363.23</c:v>
                </c:pt>
                <c:pt idx="9">
                  <c:v>15791.180999999999</c:v>
                </c:pt>
                <c:pt idx="10">
                  <c:v>15401.703</c:v>
                </c:pt>
                <c:pt idx="11">
                  <c:v>17513.185000000001</c:v>
                </c:pt>
                <c:pt idx="12">
                  <c:v>19569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1-4083-B41F-409EC56D8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3882704"/>
        <c:axId val="343883096"/>
      </c:barChart>
      <c:lineChart>
        <c:grouping val="stacked"/>
        <c:varyColors val="0"/>
        <c:ser>
          <c:idx val="4"/>
          <c:order val="1"/>
          <c:tx>
            <c:strRef>
              <c:f>K_ROE!$B$7</c:f>
              <c:strCache>
                <c:ptCount val="1"/>
                <c:pt idx="0">
                  <c:v>Omakapitali tulukus (aasta baasil)</c:v>
                </c:pt>
              </c:strCache>
            </c:strRef>
          </c:tx>
          <c:spPr>
            <a:ln w="19050" cap="rnd" cmpd="sng" algn="ctr">
              <a:solidFill>
                <a:srgbClr val="00BB4A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K_ROE!$C$5:$O$5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K_ROE!$C$7:$O$7</c:f>
              <c:numCache>
                <c:formatCode>0%</c:formatCode>
                <c:ptCount val="13"/>
                <c:pt idx="0">
                  <c:v>0.45436857860391439</c:v>
                </c:pt>
                <c:pt idx="1">
                  <c:v>0.35369064696585328</c:v>
                </c:pt>
                <c:pt idx="2">
                  <c:v>0.36838017983010651</c:v>
                </c:pt>
                <c:pt idx="3">
                  <c:v>8.8730651731687371E-2</c:v>
                </c:pt>
                <c:pt idx="4">
                  <c:v>2.7354414234606748E-2</c:v>
                </c:pt>
                <c:pt idx="5">
                  <c:v>0.11996514322750813</c:v>
                </c:pt>
                <c:pt idx="6">
                  <c:v>8.0719356573573584E-2</c:v>
                </c:pt>
                <c:pt idx="7">
                  <c:v>0.10060169962318806</c:v>
                </c:pt>
                <c:pt idx="8">
                  <c:v>0.10237406330981814</c:v>
                </c:pt>
                <c:pt idx="9">
                  <c:v>0.1125017170546067</c:v>
                </c:pt>
                <c:pt idx="10">
                  <c:v>0.10369039355349736</c:v>
                </c:pt>
                <c:pt idx="11" formatCode="0.0%">
                  <c:v>0.16176570617295774</c:v>
                </c:pt>
                <c:pt idx="12" formatCode="0.0%">
                  <c:v>0.16760683532176202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61-4083-B41F-409EC56D8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0783016"/>
        <c:axId val="280782624"/>
      </c:lineChart>
      <c:catAx>
        <c:axId val="34388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43883096"/>
        <c:crosses val="autoZero"/>
        <c:auto val="1"/>
        <c:lblAlgn val="ctr"/>
        <c:lblOffset val="100"/>
        <c:tickLblSkip val="1"/>
        <c:noMultiLvlLbl val="0"/>
      </c:catAx>
      <c:valAx>
        <c:axId val="343883096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dash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43882704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1.4936878700711007E-3"/>
                <c:y val="0.30895868977859686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t-EE" sz="900" b="0">
                      <a:solidFill>
                        <a:schemeClr val="tx2"/>
                      </a:solidFill>
                    </a:rPr>
                    <a:t>mln</a:t>
                  </a:r>
                  <a:r>
                    <a:rPr lang="et-EE" sz="900" b="0" baseline="0">
                      <a:solidFill>
                        <a:schemeClr val="tx2"/>
                      </a:solidFill>
                    </a:rPr>
                    <a:t> eurodes</a:t>
                  </a:r>
                  <a:endParaRPr lang="et-EE" sz="900" b="0">
                    <a:solidFill>
                      <a:schemeClr val="tx2"/>
                    </a:solidFill>
                  </a:endParaRP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</c:dispUnitsLbl>
        </c:dispUnits>
      </c:valAx>
      <c:valAx>
        <c:axId val="280782624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280783016"/>
        <c:crosses val="max"/>
        <c:crossBetween val="between"/>
        <c:majorUnit val="0.1"/>
      </c:valAx>
      <c:catAx>
        <c:axId val="280783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80782624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zero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rgbClr val="500778"/>
      </a:dk1>
      <a:lt1>
        <a:sysClr val="window" lastClr="FFFFFF"/>
      </a:lt1>
      <a:dk2>
        <a:srgbClr val="500778"/>
      </a:dk2>
      <a:lt2>
        <a:srgbClr val="FFFFFF"/>
      </a:lt2>
      <a:accent1>
        <a:srgbClr val="500778"/>
      </a:accent1>
      <a:accent2>
        <a:srgbClr val="00BB4A"/>
      </a:accent2>
      <a:accent3>
        <a:srgbClr val="FA5C1D"/>
      </a:accent3>
      <a:accent4>
        <a:srgbClr val="0037F5"/>
      </a:accent4>
      <a:accent5>
        <a:srgbClr val="C66EF6"/>
      </a:accent5>
      <a:accent6>
        <a:srgbClr val="500778"/>
      </a:accent6>
      <a:hlink>
        <a:srgbClr val="500778"/>
      </a:hlink>
      <a:folHlink>
        <a:srgbClr val="500778"/>
      </a:folHlink>
    </a:clrScheme>
    <a:fontScheme name="FI_Georgia+CalibriLight">
      <a:majorFont>
        <a:latin typeface="Georgia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C256-8F37-42D8-9411-8EEC6CE7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Raport_Long</Template>
  <TotalTime>34</TotalTime>
  <Pages>2</Pages>
  <Words>372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Hlebov</dc:creator>
  <cp:keywords/>
  <dc:description/>
  <cp:lastModifiedBy>Piret Lakson</cp:lastModifiedBy>
  <cp:revision>6</cp:revision>
  <cp:lastPrinted>2018-04-26T11:35:00Z</cp:lastPrinted>
  <dcterms:created xsi:type="dcterms:W3CDTF">2018-04-26T08:17:00Z</dcterms:created>
  <dcterms:modified xsi:type="dcterms:W3CDTF">2018-04-26T11:36:00Z</dcterms:modified>
</cp:coreProperties>
</file>