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E0" w:rsidRPr="00453AE0" w:rsidRDefault="00453AE0" w:rsidP="00453AE0">
      <w:pPr>
        <w:pStyle w:val="Heading1"/>
        <w:rPr>
          <w:rFonts w:ascii="Publico Headline" w:hAnsi="Publico Headline"/>
          <w:sz w:val="28"/>
          <w:szCs w:val="28"/>
        </w:rPr>
      </w:pPr>
      <w:bookmarkStart w:id="0" w:name="_Toc507671957"/>
      <w:bookmarkStart w:id="1" w:name="_Toc511977584"/>
      <w:r w:rsidRPr="00453AE0">
        <w:rPr>
          <w:rFonts w:ascii="Publico Headline" w:hAnsi="Publico Headline"/>
          <w:sz w:val="28"/>
          <w:szCs w:val="28"/>
        </w:rPr>
        <w:t>Investeerimisühingu</w:t>
      </w:r>
      <w:bookmarkEnd w:id="0"/>
      <w:bookmarkEnd w:id="1"/>
      <w:r>
        <w:rPr>
          <w:rFonts w:ascii="Publico Headline" w:hAnsi="Publico Headline"/>
          <w:sz w:val="28"/>
          <w:szCs w:val="28"/>
        </w:rPr>
        <w:t>te IV kvartali 2017 ülevaade</w:t>
      </w:r>
    </w:p>
    <w:tbl>
      <w:tblPr>
        <w:tblStyle w:val="TableGrid"/>
        <w:tblW w:w="47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1480"/>
        <w:gridCol w:w="451"/>
        <w:gridCol w:w="1711"/>
      </w:tblGrid>
      <w:tr w:rsidR="00453AE0" w:rsidRPr="00816748" w:rsidTr="002320CD">
        <w:tc>
          <w:tcPr>
            <w:tcW w:w="2957"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ab/>
            </w:r>
          </w:p>
        </w:tc>
        <w:tc>
          <w:tcPr>
            <w:tcW w:w="830" w:type="pct"/>
          </w:tcPr>
          <w:p w:rsidR="00453AE0" w:rsidRPr="00453AE0" w:rsidRDefault="00453AE0" w:rsidP="002320CD">
            <w:pPr>
              <w:spacing w:before="0" w:after="0"/>
              <w:jc w:val="left"/>
              <w:rPr>
                <w:rStyle w:val="IntenseReference"/>
                <w:rFonts w:asciiTheme="minorHAnsi" w:hAnsiTheme="minorHAnsi" w:cstheme="minorHAnsi"/>
                <w:szCs w:val="21"/>
              </w:rPr>
            </w:pPr>
            <w:r w:rsidRPr="00453AE0">
              <w:rPr>
                <w:rStyle w:val="IntenseReference"/>
                <w:rFonts w:asciiTheme="minorHAnsi" w:hAnsiTheme="minorHAnsi" w:cstheme="minorHAnsi"/>
                <w:szCs w:val="21"/>
              </w:rPr>
              <w:t>III kv 2017</w:t>
            </w:r>
          </w:p>
        </w:tc>
        <w:tc>
          <w:tcPr>
            <w:tcW w:w="253" w:type="pct"/>
          </w:tcPr>
          <w:p w:rsidR="00453AE0" w:rsidRPr="00453AE0" w:rsidRDefault="00453AE0" w:rsidP="002320CD">
            <w:pPr>
              <w:spacing w:before="0" w:after="0"/>
              <w:rPr>
                <w:rFonts w:asciiTheme="minorHAnsi" w:hAnsiTheme="minorHAnsi" w:cstheme="minorHAnsi"/>
                <w:szCs w:val="21"/>
              </w:rPr>
            </w:pPr>
          </w:p>
        </w:tc>
        <w:tc>
          <w:tcPr>
            <w:tcW w:w="960" w:type="pct"/>
          </w:tcPr>
          <w:p w:rsidR="00453AE0" w:rsidRPr="00453AE0" w:rsidRDefault="00453AE0" w:rsidP="002320CD">
            <w:pPr>
              <w:spacing w:before="0" w:after="0"/>
              <w:jc w:val="left"/>
              <w:rPr>
                <w:rStyle w:val="IntenseReference"/>
                <w:rFonts w:asciiTheme="minorHAnsi" w:hAnsiTheme="minorHAnsi" w:cstheme="minorHAnsi"/>
                <w:szCs w:val="21"/>
              </w:rPr>
            </w:pPr>
            <w:r w:rsidRPr="00453AE0">
              <w:rPr>
                <w:rStyle w:val="IntenseReference"/>
                <w:rFonts w:asciiTheme="minorHAnsi" w:hAnsiTheme="minorHAnsi" w:cstheme="minorHAnsi"/>
                <w:szCs w:val="21"/>
              </w:rPr>
              <w:t>IV kv 2017</w:t>
            </w:r>
          </w:p>
        </w:tc>
      </w:tr>
      <w:tr w:rsidR="00453AE0" w:rsidRPr="00816748" w:rsidTr="002320CD">
        <w:tc>
          <w:tcPr>
            <w:tcW w:w="2957" w:type="pct"/>
          </w:tcPr>
          <w:p w:rsidR="00453AE0" w:rsidRPr="00453AE0" w:rsidRDefault="00453AE0" w:rsidP="002320CD">
            <w:pPr>
              <w:pStyle w:val="ListParagraph"/>
              <w:numPr>
                <w:ilvl w:val="0"/>
                <w:numId w:val="13"/>
              </w:numPr>
              <w:spacing w:before="0" w:after="0"/>
              <w:ind w:left="150" w:hanging="270"/>
              <w:jc w:val="left"/>
              <w:rPr>
                <w:rFonts w:asciiTheme="minorHAnsi" w:hAnsiTheme="minorHAnsi" w:cstheme="minorHAnsi"/>
                <w:szCs w:val="21"/>
              </w:rPr>
            </w:pPr>
            <w:r w:rsidRPr="00453AE0">
              <w:rPr>
                <w:rFonts w:asciiTheme="minorHAnsi" w:hAnsiTheme="minorHAnsi" w:cstheme="minorHAnsi"/>
                <w:szCs w:val="21"/>
              </w:rPr>
              <w:t>Klientide varade maht</w:t>
            </w:r>
          </w:p>
        </w:tc>
        <w:tc>
          <w:tcPr>
            <w:tcW w:w="83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0,95</w:t>
            </w:r>
          </w:p>
        </w:tc>
        <w:tc>
          <w:tcPr>
            <w:tcW w:w="253" w:type="pct"/>
          </w:tcPr>
          <w:p w:rsidR="00453AE0" w:rsidRPr="00453AE0" w:rsidRDefault="00453AE0" w:rsidP="002320CD">
            <w:pPr>
              <w:spacing w:before="0" w:after="0"/>
              <w:rPr>
                <w:rStyle w:val="IntenseReference"/>
                <w:rFonts w:asciiTheme="minorHAnsi" w:hAnsiTheme="minorHAnsi" w:cstheme="minorHAnsi"/>
                <w:color w:val="FA5C1D" w:themeColor="accent3"/>
                <w:szCs w:val="21"/>
              </w:rPr>
            </w:pPr>
            <w:r w:rsidRPr="00453AE0">
              <w:rPr>
                <w:rStyle w:val="IntenseReference"/>
                <w:rFonts w:asciiTheme="minorHAnsi" w:hAnsiTheme="minorHAnsi" w:cstheme="minorHAnsi"/>
                <w:color w:val="FA5C1D" w:themeColor="accent3"/>
                <w:szCs w:val="21"/>
              </w:rPr>
              <w:t>↓</w:t>
            </w:r>
          </w:p>
        </w:tc>
        <w:tc>
          <w:tcPr>
            <w:tcW w:w="96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0,93 mlrd eurot</w:t>
            </w:r>
          </w:p>
        </w:tc>
      </w:tr>
      <w:tr w:rsidR="00453AE0" w:rsidRPr="00816748" w:rsidTr="002320CD">
        <w:tc>
          <w:tcPr>
            <w:tcW w:w="2957" w:type="pct"/>
          </w:tcPr>
          <w:p w:rsidR="00453AE0" w:rsidRPr="00453AE0" w:rsidRDefault="00453AE0" w:rsidP="002320CD">
            <w:pPr>
              <w:pStyle w:val="ListParagraph"/>
              <w:numPr>
                <w:ilvl w:val="0"/>
                <w:numId w:val="13"/>
              </w:numPr>
              <w:spacing w:before="0" w:after="0"/>
              <w:ind w:left="150" w:hanging="270"/>
              <w:jc w:val="left"/>
              <w:rPr>
                <w:rFonts w:asciiTheme="minorHAnsi" w:hAnsiTheme="minorHAnsi" w:cstheme="minorHAnsi"/>
                <w:szCs w:val="21"/>
              </w:rPr>
            </w:pPr>
            <w:r w:rsidRPr="00453AE0">
              <w:rPr>
                <w:rFonts w:asciiTheme="minorHAnsi" w:hAnsiTheme="minorHAnsi" w:cstheme="minorHAnsi"/>
                <w:szCs w:val="21"/>
              </w:rPr>
              <w:t>Investeerimisühingute varade maht</w:t>
            </w:r>
          </w:p>
        </w:tc>
        <w:tc>
          <w:tcPr>
            <w:tcW w:w="83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53</w:t>
            </w:r>
          </w:p>
        </w:tc>
        <w:tc>
          <w:tcPr>
            <w:tcW w:w="253" w:type="pct"/>
          </w:tcPr>
          <w:p w:rsidR="00453AE0" w:rsidRPr="00453AE0" w:rsidRDefault="00453AE0" w:rsidP="002320CD">
            <w:pPr>
              <w:spacing w:before="0" w:after="0"/>
              <w:rPr>
                <w:rFonts w:asciiTheme="minorHAnsi" w:hAnsiTheme="minorHAnsi" w:cstheme="minorHAnsi"/>
                <w:color w:val="FA5C1D" w:themeColor="accent3"/>
                <w:szCs w:val="21"/>
              </w:rPr>
            </w:pPr>
            <w:r w:rsidRPr="00453AE0">
              <w:rPr>
                <w:rStyle w:val="IntenseReference"/>
                <w:rFonts w:asciiTheme="minorHAnsi" w:hAnsiTheme="minorHAnsi" w:cstheme="minorHAnsi"/>
                <w:color w:val="FA5C1D" w:themeColor="accent3"/>
                <w:szCs w:val="21"/>
              </w:rPr>
              <w:t>↓</w:t>
            </w:r>
          </w:p>
        </w:tc>
        <w:tc>
          <w:tcPr>
            <w:tcW w:w="96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49 mln eurot</w:t>
            </w:r>
          </w:p>
        </w:tc>
      </w:tr>
      <w:tr w:rsidR="00453AE0" w:rsidRPr="00816748" w:rsidTr="002320CD">
        <w:tc>
          <w:tcPr>
            <w:tcW w:w="2957" w:type="pct"/>
          </w:tcPr>
          <w:p w:rsidR="00453AE0" w:rsidRPr="00453AE0" w:rsidRDefault="00453AE0" w:rsidP="002320CD">
            <w:pPr>
              <w:pStyle w:val="ListParagraph"/>
              <w:numPr>
                <w:ilvl w:val="0"/>
                <w:numId w:val="13"/>
              </w:numPr>
              <w:spacing w:before="0" w:after="0"/>
              <w:ind w:left="150" w:hanging="270"/>
              <w:jc w:val="left"/>
              <w:rPr>
                <w:rFonts w:asciiTheme="minorHAnsi" w:hAnsiTheme="minorHAnsi" w:cstheme="minorHAnsi"/>
                <w:szCs w:val="21"/>
              </w:rPr>
            </w:pPr>
            <w:r w:rsidRPr="00453AE0">
              <w:rPr>
                <w:rFonts w:asciiTheme="minorHAnsi" w:hAnsiTheme="minorHAnsi" w:cstheme="minorHAnsi"/>
                <w:szCs w:val="21"/>
              </w:rPr>
              <w:t>Likviidsuskattekordaja</w:t>
            </w:r>
          </w:p>
        </w:tc>
        <w:tc>
          <w:tcPr>
            <w:tcW w:w="83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343</w:t>
            </w:r>
          </w:p>
        </w:tc>
        <w:tc>
          <w:tcPr>
            <w:tcW w:w="253" w:type="pct"/>
          </w:tcPr>
          <w:p w:rsidR="00453AE0" w:rsidRPr="00453AE0" w:rsidRDefault="00453AE0" w:rsidP="002320CD">
            <w:pPr>
              <w:spacing w:before="0" w:after="0"/>
              <w:rPr>
                <w:rStyle w:val="IntenseReference"/>
                <w:rFonts w:asciiTheme="minorHAnsi" w:hAnsiTheme="minorHAnsi" w:cstheme="minorHAnsi"/>
                <w:szCs w:val="21"/>
              </w:rPr>
            </w:pPr>
            <w:r w:rsidRPr="00453AE0">
              <w:rPr>
                <w:rStyle w:val="IntenseReference"/>
                <w:rFonts w:asciiTheme="minorHAnsi" w:hAnsiTheme="minorHAnsi" w:cstheme="minorHAnsi"/>
                <w:color w:val="00BB4A" w:themeColor="accent2"/>
                <w:szCs w:val="21"/>
              </w:rPr>
              <w:t>↑</w:t>
            </w:r>
          </w:p>
        </w:tc>
        <w:tc>
          <w:tcPr>
            <w:tcW w:w="96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796%</w:t>
            </w:r>
          </w:p>
        </w:tc>
      </w:tr>
      <w:tr w:rsidR="00453AE0" w:rsidRPr="00816748" w:rsidTr="002320CD">
        <w:tc>
          <w:tcPr>
            <w:tcW w:w="2957" w:type="pct"/>
          </w:tcPr>
          <w:p w:rsidR="00453AE0" w:rsidRPr="00453AE0" w:rsidRDefault="00453AE0" w:rsidP="002320CD">
            <w:pPr>
              <w:pStyle w:val="ListParagraph"/>
              <w:numPr>
                <w:ilvl w:val="0"/>
                <w:numId w:val="13"/>
              </w:numPr>
              <w:tabs>
                <w:tab w:val="left" w:pos="375"/>
              </w:tabs>
              <w:spacing w:before="0" w:after="0"/>
              <w:ind w:left="150" w:hanging="270"/>
              <w:jc w:val="left"/>
              <w:rPr>
                <w:rFonts w:asciiTheme="minorHAnsi" w:hAnsiTheme="minorHAnsi" w:cstheme="minorHAnsi"/>
                <w:szCs w:val="21"/>
              </w:rPr>
            </w:pPr>
            <w:r w:rsidRPr="00453AE0">
              <w:rPr>
                <w:rFonts w:asciiTheme="minorHAnsi" w:hAnsiTheme="minorHAnsi" w:cstheme="minorHAnsi"/>
                <w:szCs w:val="21"/>
              </w:rPr>
              <w:t>Kasum/kahjum</w:t>
            </w:r>
          </w:p>
        </w:tc>
        <w:tc>
          <w:tcPr>
            <w:tcW w:w="830" w:type="pct"/>
          </w:tcPr>
          <w:p w:rsidR="00453AE0" w:rsidRPr="00453AE0" w:rsidRDefault="00453AE0" w:rsidP="002320CD">
            <w:pPr>
              <w:spacing w:before="0" w:after="0"/>
              <w:jc w:val="left"/>
              <w:rPr>
                <w:rFonts w:asciiTheme="minorHAnsi" w:hAnsiTheme="minorHAnsi" w:cstheme="minorHAnsi"/>
                <w:szCs w:val="21"/>
              </w:rPr>
            </w:pPr>
            <w:r>
              <w:rPr>
                <w:rFonts w:asciiTheme="minorHAnsi" w:hAnsiTheme="minorHAnsi" w:cstheme="minorHAnsi"/>
                <w:szCs w:val="21"/>
              </w:rPr>
              <w:t>3</w:t>
            </w:r>
          </w:p>
        </w:tc>
        <w:tc>
          <w:tcPr>
            <w:tcW w:w="253" w:type="pct"/>
          </w:tcPr>
          <w:p w:rsidR="00453AE0" w:rsidRPr="00453AE0" w:rsidRDefault="00453AE0" w:rsidP="002320CD">
            <w:pPr>
              <w:spacing w:before="0" w:after="0"/>
              <w:rPr>
                <w:rFonts w:asciiTheme="minorHAnsi" w:hAnsiTheme="minorHAnsi" w:cstheme="minorHAnsi"/>
                <w:color w:val="FA5C1D" w:themeColor="accent3"/>
                <w:szCs w:val="21"/>
              </w:rPr>
            </w:pPr>
            <w:r w:rsidRPr="00453AE0">
              <w:rPr>
                <w:rStyle w:val="IntenseReference"/>
                <w:rFonts w:asciiTheme="minorHAnsi" w:hAnsiTheme="minorHAnsi" w:cstheme="minorHAnsi"/>
                <w:color w:val="FA5C1D" w:themeColor="accent3"/>
                <w:szCs w:val="21"/>
              </w:rPr>
              <w:t>↓</w:t>
            </w:r>
          </w:p>
        </w:tc>
        <w:tc>
          <w:tcPr>
            <w:tcW w:w="960" w:type="pct"/>
          </w:tcPr>
          <w:p w:rsidR="00453AE0" w:rsidRPr="00453AE0" w:rsidRDefault="00453AE0" w:rsidP="002320CD">
            <w:pPr>
              <w:spacing w:before="0" w:after="0"/>
              <w:jc w:val="left"/>
              <w:rPr>
                <w:rFonts w:asciiTheme="minorHAnsi" w:hAnsiTheme="minorHAnsi" w:cstheme="minorHAnsi"/>
                <w:szCs w:val="21"/>
              </w:rPr>
            </w:pPr>
            <w:r w:rsidRPr="00453AE0">
              <w:rPr>
                <w:rFonts w:asciiTheme="minorHAnsi" w:hAnsiTheme="minorHAnsi" w:cstheme="minorHAnsi"/>
                <w:szCs w:val="21"/>
              </w:rPr>
              <w:t>0,7 mln eurot</w:t>
            </w:r>
          </w:p>
        </w:tc>
      </w:tr>
      <w:tr w:rsidR="00453AE0" w:rsidRPr="00816748" w:rsidTr="002320CD">
        <w:tc>
          <w:tcPr>
            <w:tcW w:w="2957" w:type="pct"/>
          </w:tcPr>
          <w:p w:rsidR="00453AE0" w:rsidRPr="00453AE0" w:rsidRDefault="00453AE0" w:rsidP="002320CD">
            <w:pPr>
              <w:pStyle w:val="ListParagraph"/>
              <w:numPr>
                <w:ilvl w:val="0"/>
                <w:numId w:val="13"/>
              </w:numPr>
              <w:spacing w:before="0" w:after="0"/>
              <w:ind w:left="150" w:hanging="270"/>
              <w:jc w:val="left"/>
              <w:rPr>
                <w:rFonts w:asciiTheme="minorHAnsi" w:hAnsiTheme="minorHAnsi" w:cstheme="minorHAnsi"/>
                <w:szCs w:val="21"/>
              </w:rPr>
            </w:pPr>
            <w:r w:rsidRPr="00453AE0">
              <w:rPr>
                <w:rFonts w:asciiTheme="minorHAnsi" w:hAnsiTheme="minorHAnsi" w:cstheme="minorHAnsi"/>
                <w:szCs w:val="21"/>
              </w:rPr>
              <w:t>Neto</w:t>
            </w:r>
            <w:r>
              <w:rPr>
                <w:rFonts w:asciiTheme="minorHAnsi" w:hAnsiTheme="minorHAnsi" w:cstheme="minorHAnsi"/>
                <w:szCs w:val="21"/>
              </w:rPr>
              <w:t xml:space="preserve"> teenustasu</w:t>
            </w:r>
            <w:r w:rsidRPr="00453AE0">
              <w:rPr>
                <w:rFonts w:asciiTheme="minorHAnsi" w:hAnsiTheme="minorHAnsi" w:cstheme="minorHAnsi"/>
                <w:szCs w:val="21"/>
              </w:rPr>
              <w:t>tulud</w:t>
            </w:r>
          </w:p>
        </w:tc>
        <w:tc>
          <w:tcPr>
            <w:tcW w:w="83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6,4</w:t>
            </w:r>
          </w:p>
        </w:tc>
        <w:tc>
          <w:tcPr>
            <w:tcW w:w="253" w:type="pct"/>
          </w:tcPr>
          <w:p w:rsidR="00453AE0" w:rsidRPr="00453AE0" w:rsidRDefault="00453AE0" w:rsidP="002320CD">
            <w:pPr>
              <w:spacing w:before="0" w:after="0"/>
              <w:rPr>
                <w:rFonts w:asciiTheme="minorHAnsi" w:hAnsiTheme="minorHAnsi" w:cstheme="minorHAnsi"/>
                <w:color w:val="FA5C1D" w:themeColor="accent3"/>
                <w:szCs w:val="21"/>
              </w:rPr>
            </w:pPr>
            <w:r w:rsidRPr="00453AE0">
              <w:rPr>
                <w:rStyle w:val="IntenseReference"/>
                <w:rFonts w:asciiTheme="minorHAnsi" w:hAnsiTheme="minorHAnsi" w:cstheme="minorHAnsi"/>
                <w:color w:val="FA5C1D" w:themeColor="accent3"/>
                <w:szCs w:val="21"/>
              </w:rPr>
              <w:t>↓</w:t>
            </w:r>
          </w:p>
        </w:tc>
        <w:tc>
          <w:tcPr>
            <w:tcW w:w="96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4,8 mln eurot</w:t>
            </w:r>
          </w:p>
        </w:tc>
      </w:tr>
      <w:tr w:rsidR="00453AE0" w:rsidRPr="00816748" w:rsidTr="002320CD">
        <w:tc>
          <w:tcPr>
            <w:tcW w:w="2957" w:type="pct"/>
          </w:tcPr>
          <w:p w:rsidR="00453AE0" w:rsidRPr="00453AE0" w:rsidRDefault="00453AE0" w:rsidP="00453AE0">
            <w:pPr>
              <w:pStyle w:val="ListParagraph"/>
              <w:numPr>
                <w:ilvl w:val="0"/>
                <w:numId w:val="13"/>
              </w:numPr>
              <w:spacing w:before="0" w:after="0"/>
              <w:ind w:left="150" w:hanging="270"/>
              <w:rPr>
                <w:rFonts w:asciiTheme="minorHAnsi" w:hAnsiTheme="minorHAnsi" w:cstheme="minorHAnsi"/>
                <w:szCs w:val="21"/>
              </w:rPr>
            </w:pPr>
            <w:r>
              <w:rPr>
                <w:rFonts w:asciiTheme="minorHAnsi" w:hAnsiTheme="minorHAnsi" w:cstheme="minorHAnsi"/>
                <w:szCs w:val="21"/>
              </w:rPr>
              <w:t>Omakapitali tootlikkus</w:t>
            </w:r>
          </w:p>
        </w:tc>
        <w:tc>
          <w:tcPr>
            <w:tcW w:w="83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17,6</w:t>
            </w:r>
          </w:p>
        </w:tc>
        <w:tc>
          <w:tcPr>
            <w:tcW w:w="253" w:type="pct"/>
          </w:tcPr>
          <w:p w:rsidR="00453AE0" w:rsidRPr="00453AE0" w:rsidRDefault="00453AE0" w:rsidP="002320CD">
            <w:pPr>
              <w:spacing w:before="0" w:after="0"/>
              <w:rPr>
                <w:rFonts w:asciiTheme="minorHAnsi" w:hAnsiTheme="minorHAnsi" w:cstheme="minorHAnsi"/>
                <w:color w:val="FA5C1D" w:themeColor="accent3"/>
                <w:szCs w:val="21"/>
              </w:rPr>
            </w:pPr>
            <w:r w:rsidRPr="00453AE0">
              <w:rPr>
                <w:rStyle w:val="IntenseReference"/>
                <w:rFonts w:asciiTheme="minorHAnsi" w:hAnsiTheme="minorHAnsi" w:cstheme="minorHAnsi"/>
                <w:color w:val="FA5C1D" w:themeColor="accent3"/>
                <w:szCs w:val="21"/>
              </w:rPr>
              <w:t>↓</w:t>
            </w:r>
          </w:p>
        </w:tc>
        <w:tc>
          <w:tcPr>
            <w:tcW w:w="96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14,6%</w:t>
            </w:r>
          </w:p>
        </w:tc>
      </w:tr>
      <w:tr w:rsidR="00453AE0" w:rsidRPr="00816748" w:rsidTr="002320CD">
        <w:tc>
          <w:tcPr>
            <w:tcW w:w="2957" w:type="pct"/>
          </w:tcPr>
          <w:p w:rsidR="00453AE0" w:rsidRPr="00453AE0" w:rsidRDefault="00453AE0" w:rsidP="002320CD">
            <w:pPr>
              <w:pStyle w:val="ListParagraph"/>
              <w:numPr>
                <w:ilvl w:val="0"/>
                <w:numId w:val="13"/>
              </w:numPr>
              <w:spacing w:before="0" w:after="0"/>
              <w:ind w:left="150" w:hanging="270"/>
              <w:rPr>
                <w:rFonts w:asciiTheme="minorHAnsi" w:hAnsiTheme="minorHAnsi" w:cstheme="minorHAnsi"/>
                <w:szCs w:val="21"/>
              </w:rPr>
            </w:pPr>
            <w:r>
              <w:rPr>
                <w:rFonts w:asciiTheme="minorHAnsi" w:hAnsiTheme="minorHAnsi" w:cstheme="minorHAnsi"/>
                <w:szCs w:val="21"/>
              </w:rPr>
              <w:t>Esimese taseme põhiomavahendite suhtarv</w:t>
            </w:r>
          </w:p>
        </w:tc>
        <w:tc>
          <w:tcPr>
            <w:tcW w:w="83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30,6%</w:t>
            </w:r>
          </w:p>
        </w:tc>
        <w:tc>
          <w:tcPr>
            <w:tcW w:w="253" w:type="pct"/>
          </w:tcPr>
          <w:p w:rsidR="00453AE0" w:rsidRPr="00453AE0" w:rsidRDefault="00453AE0" w:rsidP="002320CD">
            <w:pPr>
              <w:spacing w:before="0" w:after="0"/>
              <w:rPr>
                <w:rStyle w:val="IntenseReference"/>
                <w:rFonts w:asciiTheme="minorHAnsi" w:hAnsiTheme="minorHAnsi" w:cstheme="minorHAnsi"/>
                <w:szCs w:val="21"/>
              </w:rPr>
            </w:pPr>
            <w:r w:rsidRPr="00453AE0">
              <w:rPr>
                <w:rStyle w:val="IntenseReference"/>
                <w:rFonts w:asciiTheme="minorHAnsi" w:hAnsiTheme="minorHAnsi" w:cstheme="minorHAnsi"/>
                <w:color w:val="00BB4A" w:themeColor="accent2"/>
                <w:szCs w:val="21"/>
              </w:rPr>
              <w:t>↑</w:t>
            </w:r>
          </w:p>
        </w:tc>
        <w:tc>
          <w:tcPr>
            <w:tcW w:w="960" w:type="pct"/>
          </w:tcPr>
          <w:p w:rsidR="00453AE0" w:rsidRPr="00453AE0" w:rsidRDefault="00453AE0" w:rsidP="002320CD">
            <w:pPr>
              <w:spacing w:before="0" w:after="0"/>
              <w:rPr>
                <w:rFonts w:asciiTheme="minorHAnsi" w:hAnsiTheme="minorHAnsi" w:cstheme="minorHAnsi"/>
                <w:szCs w:val="21"/>
              </w:rPr>
            </w:pPr>
            <w:r w:rsidRPr="00453AE0">
              <w:rPr>
                <w:rFonts w:asciiTheme="minorHAnsi" w:hAnsiTheme="minorHAnsi" w:cstheme="minorHAnsi"/>
                <w:szCs w:val="21"/>
              </w:rPr>
              <w:t>32,4%</w:t>
            </w:r>
          </w:p>
        </w:tc>
      </w:tr>
    </w:tbl>
    <w:p w:rsidR="00453AE0" w:rsidRDefault="00375B75" w:rsidP="00453AE0">
      <w:pPr>
        <w:pStyle w:val="MainText"/>
      </w:pPr>
      <w:r w:rsidRPr="00453AE0">
        <w:rPr>
          <w:noProof/>
          <w:sz w:val="21"/>
          <w:szCs w:val="21"/>
          <w:lang w:eastAsia="et-EE"/>
        </w:rPr>
        <w:drawing>
          <wp:anchor distT="0" distB="0" distL="114300" distR="114300" simplePos="0" relativeHeight="251702272" behindDoc="0" locked="0" layoutInCell="1" allowOverlap="1" wp14:anchorId="5DAF26E4" wp14:editId="2373EB8C">
            <wp:simplePos x="0" y="0"/>
            <wp:positionH relativeFrom="margin">
              <wp:align>right</wp:align>
            </wp:positionH>
            <wp:positionV relativeFrom="paragraph">
              <wp:posOffset>212725</wp:posOffset>
            </wp:positionV>
            <wp:extent cx="3599815" cy="2150110"/>
            <wp:effectExtent l="0" t="0" r="635" b="254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453AE0" w:rsidRPr="00453AE0" w:rsidRDefault="00453AE0" w:rsidP="00453AE0">
      <w:pPr>
        <w:pStyle w:val="MainText"/>
        <w:spacing w:after="120"/>
        <w:jc w:val="both"/>
        <w:rPr>
          <w:sz w:val="21"/>
          <w:szCs w:val="21"/>
        </w:rPr>
      </w:pPr>
      <w:r>
        <w:rPr>
          <w:sz w:val="21"/>
          <w:szCs w:val="21"/>
        </w:rPr>
        <w:t>2017. aa</w:t>
      </w:r>
      <w:r w:rsidRPr="00453AE0">
        <w:rPr>
          <w:sz w:val="21"/>
          <w:szCs w:val="21"/>
        </w:rPr>
        <w:t>sta</w:t>
      </w:r>
      <w:r>
        <w:rPr>
          <w:sz w:val="21"/>
          <w:szCs w:val="21"/>
        </w:rPr>
        <w:t xml:space="preserve"> </w:t>
      </w:r>
      <w:r w:rsidRPr="00453AE0">
        <w:rPr>
          <w:sz w:val="21"/>
          <w:szCs w:val="21"/>
        </w:rPr>
        <w:t>lõpu seisuga tegutses Ee</w:t>
      </w:r>
      <w:r w:rsidR="00375B75">
        <w:rPr>
          <w:sz w:val="21"/>
          <w:szCs w:val="21"/>
        </w:rPr>
        <w:t>stis kolm investeerimisühingut.</w:t>
      </w:r>
    </w:p>
    <w:p w:rsidR="00375B75" w:rsidRDefault="00375B75" w:rsidP="00453AE0">
      <w:pPr>
        <w:pStyle w:val="MainText"/>
        <w:spacing w:after="120"/>
        <w:jc w:val="both"/>
        <w:rPr>
          <w:sz w:val="21"/>
          <w:szCs w:val="21"/>
        </w:rPr>
      </w:pPr>
      <w:r>
        <w:rPr>
          <w:sz w:val="21"/>
          <w:szCs w:val="21"/>
        </w:rPr>
        <w:t xml:space="preserve">Investeerimisühingute </w:t>
      </w:r>
      <w:r w:rsidR="00453AE0" w:rsidRPr="00453AE0">
        <w:rPr>
          <w:sz w:val="21"/>
          <w:szCs w:val="21"/>
        </w:rPr>
        <w:t>tururiski</w:t>
      </w:r>
      <w:r>
        <w:rPr>
          <w:sz w:val="21"/>
          <w:szCs w:val="21"/>
        </w:rPr>
        <w:t>-</w:t>
      </w:r>
      <w:r w:rsidR="00453AE0" w:rsidRPr="00453AE0">
        <w:rPr>
          <w:sz w:val="21"/>
          <w:szCs w:val="21"/>
        </w:rPr>
        <w:t xml:space="preserve">positsioonid püsivad kõrgel tasemel, sest </w:t>
      </w:r>
      <w:r w:rsidR="005D6E3E">
        <w:rPr>
          <w:sz w:val="21"/>
          <w:szCs w:val="21"/>
        </w:rPr>
        <w:t>investeerimisühingud</w:t>
      </w:r>
      <w:r w:rsidR="00453AE0" w:rsidRPr="00453AE0">
        <w:rPr>
          <w:sz w:val="21"/>
          <w:szCs w:val="21"/>
        </w:rPr>
        <w:t xml:space="preserve"> kauplevad aktiivselt tururiski kandvate bilansiväliste instrumentidega. </w:t>
      </w:r>
      <w:r w:rsidR="00360EED">
        <w:rPr>
          <w:sz w:val="21"/>
          <w:szCs w:val="21"/>
        </w:rPr>
        <w:t>Turur</w:t>
      </w:r>
      <w:r w:rsidR="00453AE0" w:rsidRPr="00453AE0">
        <w:rPr>
          <w:sz w:val="21"/>
          <w:szCs w:val="21"/>
        </w:rPr>
        <w:t>iskipositsioonid</w:t>
      </w:r>
      <w:r w:rsidR="00360EED">
        <w:rPr>
          <w:sz w:val="21"/>
          <w:szCs w:val="21"/>
        </w:rPr>
        <w:t xml:space="preserve"> kokku</w:t>
      </w:r>
      <w:r w:rsidR="00453AE0">
        <w:rPr>
          <w:sz w:val="21"/>
          <w:szCs w:val="21"/>
        </w:rPr>
        <w:t xml:space="preserve"> ulatusid </w:t>
      </w:r>
      <w:r w:rsidR="00453AE0" w:rsidRPr="00453AE0">
        <w:rPr>
          <w:sz w:val="21"/>
          <w:szCs w:val="21"/>
        </w:rPr>
        <w:t>55</w:t>
      </w:r>
      <w:r w:rsidR="00453AE0">
        <w:rPr>
          <w:sz w:val="21"/>
          <w:szCs w:val="21"/>
        </w:rPr>
        <w:t xml:space="preserve"> miljoni</w:t>
      </w:r>
      <w:r w:rsidR="00453AE0" w:rsidRPr="00453AE0">
        <w:rPr>
          <w:sz w:val="21"/>
          <w:szCs w:val="21"/>
        </w:rPr>
        <w:t xml:space="preserve"> euroni</w:t>
      </w:r>
      <w:r w:rsidR="00360EED">
        <w:rPr>
          <w:sz w:val="21"/>
          <w:szCs w:val="21"/>
        </w:rPr>
        <w:t xml:space="preserve">. Tegu </w:t>
      </w:r>
      <w:r w:rsidR="00453AE0" w:rsidRPr="00453AE0">
        <w:rPr>
          <w:sz w:val="21"/>
          <w:szCs w:val="21"/>
        </w:rPr>
        <w:t>on väga kõrge riskitase</w:t>
      </w:r>
      <w:r w:rsidR="00453AE0">
        <w:rPr>
          <w:sz w:val="21"/>
          <w:szCs w:val="21"/>
        </w:rPr>
        <w:t>mega</w:t>
      </w:r>
      <w:r w:rsidR="00453AE0" w:rsidRPr="00453AE0">
        <w:rPr>
          <w:sz w:val="21"/>
          <w:szCs w:val="21"/>
        </w:rPr>
        <w:t xml:space="preserve">, mis moodustab 127% sektori omavahenditest. </w:t>
      </w:r>
    </w:p>
    <w:p w:rsidR="00453AE0" w:rsidRPr="00453AE0" w:rsidRDefault="00375B75" w:rsidP="00453AE0">
      <w:pPr>
        <w:pStyle w:val="MainText"/>
        <w:spacing w:after="120"/>
        <w:jc w:val="both"/>
        <w:rPr>
          <w:sz w:val="21"/>
          <w:szCs w:val="21"/>
        </w:rPr>
      </w:pPr>
      <w:r w:rsidRPr="00453AE0">
        <w:rPr>
          <w:noProof/>
          <w:sz w:val="21"/>
          <w:szCs w:val="21"/>
          <w:lang w:eastAsia="et-EE"/>
        </w:rPr>
        <w:drawing>
          <wp:anchor distT="0" distB="0" distL="114300" distR="114300" simplePos="0" relativeHeight="251703296" behindDoc="0" locked="0" layoutInCell="1" allowOverlap="1" wp14:anchorId="621897D0" wp14:editId="6485021E">
            <wp:simplePos x="0" y="0"/>
            <wp:positionH relativeFrom="margin">
              <wp:align>right</wp:align>
            </wp:positionH>
            <wp:positionV relativeFrom="paragraph">
              <wp:posOffset>8890</wp:posOffset>
            </wp:positionV>
            <wp:extent cx="3599815" cy="2339975"/>
            <wp:effectExtent l="0" t="0" r="635" b="317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60EED">
        <w:rPr>
          <w:sz w:val="21"/>
          <w:szCs w:val="21"/>
        </w:rPr>
        <w:t>Neljanda kvartali jooksul</w:t>
      </w:r>
      <w:r w:rsidR="00453AE0" w:rsidRPr="00453AE0">
        <w:rPr>
          <w:sz w:val="21"/>
          <w:szCs w:val="21"/>
        </w:rPr>
        <w:t xml:space="preserve"> positsioonide maht oluliselt </w:t>
      </w:r>
      <w:r w:rsidR="00453AE0">
        <w:rPr>
          <w:sz w:val="21"/>
          <w:szCs w:val="21"/>
        </w:rPr>
        <w:t xml:space="preserve">ei </w:t>
      </w:r>
      <w:r w:rsidR="00453AE0" w:rsidRPr="00453AE0">
        <w:rPr>
          <w:sz w:val="21"/>
          <w:szCs w:val="21"/>
        </w:rPr>
        <w:t xml:space="preserve">muutunud, </w:t>
      </w:r>
      <w:r w:rsidR="00360EED">
        <w:rPr>
          <w:sz w:val="21"/>
          <w:szCs w:val="21"/>
        </w:rPr>
        <w:t xml:space="preserve">kuid </w:t>
      </w:r>
      <w:r w:rsidR="00453AE0" w:rsidRPr="00453AE0">
        <w:rPr>
          <w:sz w:val="21"/>
          <w:szCs w:val="21"/>
        </w:rPr>
        <w:t>riskipositsioonide struktuuris vähenes</w:t>
      </w:r>
      <w:r w:rsidR="00360EED">
        <w:rPr>
          <w:sz w:val="21"/>
          <w:szCs w:val="21"/>
        </w:rPr>
        <w:t xml:space="preserve"> </w:t>
      </w:r>
      <w:r w:rsidR="00453AE0" w:rsidRPr="00453AE0">
        <w:rPr>
          <w:sz w:val="21"/>
          <w:szCs w:val="21"/>
        </w:rPr>
        <w:t>aktsiariski osakaal ja suurenes valuutariski o</w:t>
      </w:r>
      <w:r w:rsidR="00453AE0">
        <w:rPr>
          <w:sz w:val="21"/>
          <w:szCs w:val="21"/>
        </w:rPr>
        <w:t>ma</w:t>
      </w:r>
      <w:r w:rsidR="00453AE0" w:rsidRPr="00453AE0">
        <w:rPr>
          <w:sz w:val="21"/>
          <w:szCs w:val="21"/>
        </w:rPr>
        <w:t xml:space="preserve">. </w:t>
      </w:r>
    </w:p>
    <w:p w:rsidR="00360EED" w:rsidRDefault="00114DB1" w:rsidP="00453AE0">
      <w:pPr>
        <w:pStyle w:val="MainText"/>
        <w:spacing w:after="120"/>
        <w:jc w:val="both"/>
        <w:rPr>
          <w:sz w:val="21"/>
          <w:szCs w:val="21"/>
        </w:rPr>
      </w:pPr>
      <w:r>
        <w:rPr>
          <w:sz w:val="21"/>
          <w:szCs w:val="21"/>
        </w:rPr>
        <w:t>Neljandas kvartalis</w:t>
      </w:r>
      <w:r w:rsidR="00360EED">
        <w:rPr>
          <w:sz w:val="21"/>
          <w:szCs w:val="21"/>
        </w:rPr>
        <w:t xml:space="preserve"> oli investeerimis</w:t>
      </w:r>
      <w:r>
        <w:rPr>
          <w:sz w:val="21"/>
          <w:szCs w:val="21"/>
        </w:rPr>
        <w:t>-</w:t>
      </w:r>
      <w:r w:rsidR="00360EED">
        <w:rPr>
          <w:sz w:val="21"/>
          <w:szCs w:val="21"/>
        </w:rPr>
        <w:t>ühingute kasumlikkus kõige väiksem. Kvartaliga teeniti 0</w:t>
      </w:r>
      <w:r w:rsidR="00360EED" w:rsidRPr="00453AE0">
        <w:rPr>
          <w:sz w:val="21"/>
          <w:szCs w:val="21"/>
        </w:rPr>
        <w:t>,7 m</w:t>
      </w:r>
      <w:r w:rsidR="00360EED">
        <w:rPr>
          <w:sz w:val="21"/>
          <w:szCs w:val="21"/>
        </w:rPr>
        <w:t>iljonit eurot</w:t>
      </w:r>
      <w:r w:rsidRPr="00114DB1">
        <w:rPr>
          <w:sz w:val="21"/>
          <w:szCs w:val="21"/>
        </w:rPr>
        <w:t xml:space="preserve"> </w:t>
      </w:r>
      <w:r>
        <w:rPr>
          <w:sz w:val="21"/>
          <w:szCs w:val="21"/>
        </w:rPr>
        <w:t>kasumit</w:t>
      </w:r>
      <w:r w:rsidR="00375B75">
        <w:rPr>
          <w:sz w:val="21"/>
          <w:szCs w:val="21"/>
        </w:rPr>
        <w:t xml:space="preserve">, mida </w:t>
      </w:r>
      <w:r w:rsidR="00360EED">
        <w:rPr>
          <w:sz w:val="21"/>
          <w:szCs w:val="21"/>
        </w:rPr>
        <w:t xml:space="preserve">on </w:t>
      </w:r>
      <w:r w:rsidR="00453AE0" w:rsidRPr="00453AE0">
        <w:rPr>
          <w:sz w:val="21"/>
          <w:szCs w:val="21"/>
        </w:rPr>
        <w:t xml:space="preserve">77% võrra vähem kui </w:t>
      </w:r>
      <w:r w:rsidR="00375B75">
        <w:rPr>
          <w:sz w:val="21"/>
          <w:szCs w:val="21"/>
        </w:rPr>
        <w:t>kolmandas</w:t>
      </w:r>
      <w:r w:rsidR="00453AE0" w:rsidRPr="00453AE0">
        <w:rPr>
          <w:sz w:val="21"/>
          <w:szCs w:val="21"/>
        </w:rPr>
        <w:t xml:space="preserve"> kvartalis. Kasumi langus oli tingitud madalamast kasumist kauplemisportfellilt. </w:t>
      </w:r>
      <w:r w:rsidR="00360EED">
        <w:rPr>
          <w:sz w:val="21"/>
          <w:szCs w:val="21"/>
        </w:rPr>
        <w:t>See näitab</w:t>
      </w:r>
      <w:r w:rsidR="00360EED" w:rsidRPr="00453AE0">
        <w:rPr>
          <w:sz w:val="21"/>
          <w:szCs w:val="21"/>
        </w:rPr>
        <w:t xml:space="preserve">, et sektori tururiski tase on kõrge ning selle mõju väga </w:t>
      </w:r>
      <w:proofErr w:type="spellStart"/>
      <w:r w:rsidR="00360EED" w:rsidRPr="00453AE0">
        <w:rPr>
          <w:sz w:val="21"/>
          <w:szCs w:val="21"/>
        </w:rPr>
        <w:t>volatiilne</w:t>
      </w:r>
      <w:proofErr w:type="spellEnd"/>
      <w:r w:rsidR="00360EED" w:rsidRPr="00453AE0">
        <w:rPr>
          <w:sz w:val="21"/>
          <w:szCs w:val="21"/>
        </w:rPr>
        <w:t>.</w:t>
      </w:r>
    </w:p>
    <w:p w:rsidR="00375B75" w:rsidRDefault="00375B75" w:rsidP="00453AE0">
      <w:pPr>
        <w:pStyle w:val="MainText"/>
        <w:spacing w:after="120"/>
        <w:jc w:val="both"/>
        <w:rPr>
          <w:sz w:val="21"/>
          <w:szCs w:val="21"/>
        </w:rPr>
      </w:pPr>
    </w:p>
    <w:p w:rsidR="00453AE0" w:rsidRPr="00453AE0" w:rsidRDefault="00453AE0" w:rsidP="00453AE0">
      <w:pPr>
        <w:pStyle w:val="Heading3"/>
        <w:spacing w:before="0" w:after="120" w:line="300" w:lineRule="auto"/>
        <w:rPr>
          <w:rFonts w:ascii="Publico Headline" w:hAnsi="Publico Headline"/>
          <w:sz w:val="24"/>
        </w:rPr>
      </w:pPr>
      <w:bookmarkStart w:id="2" w:name="_Toc507671958"/>
      <w:r w:rsidRPr="00453AE0">
        <w:rPr>
          <w:rFonts w:ascii="Publico Headline" w:hAnsi="Publico Headline"/>
          <w:sz w:val="24"/>
        </w:rPr>
        <w:t>Peamised arengusuunad ja riskid</w:t>
      </w:r>
      <w:bookmarkEnd w:id="2"/>
    </w:p>
    <w:p w:rsidR="00453AE0" w:rsidRPr="00453AE0" w:rsidRDefault="00453AE0" w:rsidP="00453AE0">
      <w:pPr>
        <w:pStyle w:val="ListParagraph"/>
        <w:numPr>
          <w:ilvl w:val="0"/>
          <w:numId w:val="14"/>
        </w:numPr>
        <w:spacing w:after="120" w:line="300" w:lineRule="auto"/>
        <w:contextualSpacing w:val="0"/>
        <w:rPr>
          <w:szCs w:val="21"/>
        </w:rPr>
      </w:pPr>
      <w:r w:rsidRPr="00453AE0">
        <w:rPr>
          <w:szCs w:val="21"/>
        </w:rPr>
        <w:t xml:space="preserve">Investeerimisühingute </w:t>
      </w:r>
      <w:r w:rsidR="00375B75">
        <w:rPr>
          <w:szCs w:val="21"/>
        </w:rPr>
        <w:t>tururisk on kõrge ning selle võtmine mõjutab oluliselt investeerimisühingute kasumlikkust.</w:t>
      </w:r>
    </w:p>
    <w:p w:rsidR="00453AE0" w:rsidRPr="00453AE0" w:rsidRDefault="00114DB1" w:rsidP="00453AE0">
      <w:pPr>
        <w:pStyle w:val="ListParagraph"/>
        <w:numPr>
          <w:ilvl w:val="0"/>
          <w:numId w:val="14"/>
        </w:numPr>
        <w:spacing w:after="120" w:line="300" w:lineRule="auto"/>
        <w:contextualSpacing w:val="0"/>
        <w:rPr>
          <w:szCs w:val="21"/>
        </w:rPr>
      </w:pPr>
      <w:r>
        <w:rPr>
          <w:szCs w:val="21"/>
        </w:rPr>
        <w:t xml:space="preserve">Investeerimisühingute kvartalikasum langes märkimisväärselt, </w:t>
      </w:r>
      <w:r w:rsidR="00D62769">
        <w:rPr>
          <w:szCs w:val="21"/>
        </w:rPr>
        <w:t>samal ajal paranesid</w:t>
      </w:r>
      <w:r>
        <w:rPr>
          <w:szCs w:val="21"/>
        </w:rPr>
        <w:t xml:space="preserve"> </w:t>
      </w:r>
      <w:r w:rsidR="00453AE0" w:rsidRPr="00453AE0">
        <w:rPr>
          <w:szCs w:val="21"/>
        </w:rPr>
        <w:t>kapi</w:t>
      </w:r>
      <w:r w:rsidR="00D62769">
        <w:rPr>
          <w:szCs w:val="21"/>
        </w:rPr>
        <w:t>taliseerituse näitajad</w:t>
      </w:r>
      <w:r w:rsidR="00453AE0" w:rsidRPr="00453AE0">
        <w:rPr>
          <w:szCs w:val="21"/>
        </w:rPr>
        <w:t xml:space="preserve">. </w:t>
      </w:r>
    </w:p>
    <w:p w:rsidR="00114DB1" w:rsidRPr="00114DB1" w:rsidRDefault="00453AE0" w:rsidP="00114DB1">
      <w:pPr>
        <w:pStyle w:val="ListParagraph"/>
        <w:numPr>
          <w:ilvl w:val="0"/>
          <w:numId w:val="14"/>
        </w:numPr>
        <w:spacing w:after="120" w:line="300" w:lineRule="auto"/>
        <w:contextualSpacing w:val="0"/>
        <w:rPr>
          <w:color w:val="500778"/>
          <w:szCs w:val="21"/>
        </w:rPr>
      </w:pPr>
      <w:r w:rsidRPr="00453AE0">
        <w:rPr>
          <w:szCs w:val="21"/>
        </w:rPr>
        <w:lastRenderedPageBreak/>
        <w:t xml:space="preserve">Sektori niigi tugev likviidsuspositsioon on veelgi paranenud. Likviidsete vahendite osakaal varades suurenes 75%ni. </w:t>
      </w:r>
    </w:p>
    <w:p w:rsidR="00114DB1" w:rsidRPr="00114DB1" w:rsidRDefault="00114DB1" w:rsidP="00114DB1">
      <w:pPr>
        <w:pStyle w:val="ListParagraph"/>
        <w:numPr>
          <w:ilvl w:val="0"/>
          <w:numId w:val="14"/>
        </w:numPr>
        <w:spacing w:after="120" w:line="300" w:lineRule="auto"/>
        <w:contextualSpacing w:val="0"/>
        <w:rPr>
          <w:color w:val="500778"/>
          <w:szCs w:val="21"/>
        </w:rPr>
      </w:pPr>
      <w:r>
        <w:rPr>
          <w:szCs w:val="21"/>
        </w:rPr>
        <w:t>Lisaks tururiskile on suureks riskiks ka</w:t>
      </w:r>
      <w:r w:rsidR="00453AE0" w:rsidRPr="00114DB1">
        <w:rPr>
          <w:szCs w:val="21"/>
        </w:rPr>
        <w:t xml:space="preserve"> piiriülese tegevusega kaasnev</w:t>
      </w:r>
      <w:r w:rsidRPr="00114DB1">
        <w:rPr>
          <w:szCs w:val="21"/>
        </w:rPr>
        <w:t xml:space="preserve"> vastavusrisk</w:t>
      </w:r>
      <w:r w:rsidR="005D6E3E">
        <w:rPr>
          <w:rFonts w:ascii="Atlas Grotesk Light" w:hAnsi="Atlas Grotesk Light"/>
          <w:sz w:val="18"/>
          <w:szCs w:val="18"/>
        </w:rPr>
        <w:t xml:space="preserve">. </w:t>
      </w:r>
      <w:r w:rsidRPr="00114DB1">
        <w:rPr>
          <w:rFonts w:cstheme="minorHAnsi"/>
          <w:szCs w:val="21"/>
        </w:rPr>
        <w:t>Kuivõrd investeerimisühingud pakuvad oma teenuseid arvukates jurisdiktsioonides ning neile kehtiv regulatsioon on oma keerukuse poolest võrdväärne pankade omaga, eksisteerib kõrgendatud oht, et ei suudeta olla vastavuses erinevate riikide õigusaktide nõuetega. Mitteresidentide teenindamisega võivad lisaks kaasneda rahapesualased riskid.</w:t>
      </w:r>
      <w:bookmarkStart w:id="3" w:name="_GoBack"/>
      <w:bookmarkEnd w:id="3"/>
    </w:p>
    <w:p w:rsidR="00453AE0" w:rsidRPr="00114DB1" w:rsidRDefault="00453AE0" w:rsidP="00114DB1">
      <w:pPr>
        <w:spacing w:after="120" w:line="300" w:lineRule="auto"/>
        <w:ind w:left="360"/>
        <w:rPr>
          <w:color w:val="500778"/>
          <w:szCs w:val="21"/>
        </w:rPr>
      </w:pPr>
    </w:p>
    <w:p w:rsidR="000E201C" w:rsidRPr="006957FA" w:rsidRDefault="000E201C" w:rsidP="006957FA"/>
    <w:p w:rsidR="00FD3A7E" w:rsidRPr="003461FD" w:rsidRDefault="00FD3A7E" w:rsidP="00FD3A7E">
      <w:pPr>
        <w:pStyle w:val="ListParagraph"/>
        <w:spacing w:after="120" w:line="300" w:lineRule="auto"/>
        <w:ind w:left="714"/>
        <w:rPr>
          <w:color w:val="500778"/>
          <w:sz w:val="20"/>
          <w:szCs w:val="20"/>
        </w:rPr>
      </w:pPr>
    </w:p>
    <w:p w:rsidR="001C579F" w:rsidRDefault="001C579F" w:rsidP="00DE3816"/>
    <w:sectPr w:rsidR="001C579F" w:rsidSect="00453AE0">
      <w:headerReference w:type="default" r:id="rId10"/>
      <w:footerReference w:type="default" r:id="rId11"/>
      <w:headerReference w:type="first" r:id="rId12"/>
      <w:type w:val="continuous"/>
      <w:pgSz w:w="11906" w:h="16838" w:code="9"/>
      <w:pgMar w:top="851" w:right="851" w:bottom="851" w:left="1701"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DD" w:rsidRDefault="00551DDD" w:rsidP="00DD5C49">
      <w:r>
        <w:separator/>
      </w:r>
    </w:p>
    <w:p w:rsidR="00551DDD" w:rsidRDefault="00551DDD"/>
  </w:endnote>
  <w:endnote w:type="continuationSeparator" w:id="0">
    <w:p w:rsidR="00551DDD" w:rsidRDefault="00551DDD" w:rsidP="00DD5C49">
      <w:r>
        <w:continuationSeparator/>
      </w:r>
    </w:p>
    <w:p w:rsidR="00551DDD" w:rsidRDefault="00551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tlas Grotesk Light">
    <w:panose1 w:val="00000000000000000000"/>
    <w:charset w:val="00"/>
    <w:family w:val="modern"/>
    <w:notTrueType/>
    <w:pitch w:val="variable"/>
    <w:sig w:usb0="00000007" w:usb1="00000000" w:usb2="00000000" w:usb3="00000000" w:csb0="00000093" w:csb1="00000000"/>
  </w:font>
  <w:font w:name="Publico Light">
    <w:altName w:val="Arial"/>
    <w:panose1 w:val="00000000000000000000"/>
    <w:charset w:val="00"/>
    <w:family w:val="modern"/>
    <w:notTrueType/>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Publico Headline">
    <w:panose1 w:val="020405020605040602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32102"/>
      <w:docPartObj>
        <w:docPartGallery w:val="Page Numbers (Bottom of Page)"/>
        <w:docPartUnique/>
      </w:docPartObj>
    </w:sdtPr>
    <w:sdtEndPr/>
    <w:sdtContent>
      <w:sdt>
        <w:sdtPr>
          <w:id w:val="-1308784095"/>
          <w:docPartObj>
            <w:docPartGallery w:val="Page Numbers (Top of Page)"/>
            <w:docPartUnique/>
          </w:docPartObj>
        </w:sdtPr>
        <w:sdtEndPr/>
        <w:sdtContent>
          <w:p w:rsidR="00115410" w:rsidRDefault="00115410" w:rsidP="00447F54">
            <w:pPr>
              <w:pStyle w:val="Footer"/>
              <w:jc w:val="right"/>
            </w:pPr>
            <w:r>
              <w:rPr>
                <w:noProof/>
                <w:lang w:eastAsia="et-EE"/>
              </w:rPr>
              <w:drawing>
                <wp:anchor distT="180340" distB="0" distL="114300" distR="114300" simplePos="0" relativeHeight="251662336" behindDoc="0" locked="0" layoutInCell="1" allowOverlap="1" wp14:anchorId="2C7D0297" wp14:editId="52D914C6">
                  <wp:simplePos x="0" y="0"/>
                  <wp:positionH relativeFrom="column">
                    <wp:align>left</wp:align>
                  </wp:positionH>
                  <wp:positionV relativeFrom="page">
                    <wp:posOffset>10081260</wp:posOffset>
                  </wp:positionV>
                  <wp:extent cx="1077480" cy="122040"/>
                  <wp:effectExtent l="0" t="0" r="8890" b="0"/>
                  <wp:wrapNone/>
                  <wp:docPr id="4" name="Picture 4"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48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5F65">
              <w:rPr>
                <w:bCs/>
                <w:color w:val="500778"/>
                <w:sz w:val="14"/>
                <w:szCs w:val="14"/>
              </w:rPr>
              <w:fldChar w:fldCharType="begin"/>
            </w:r>
            <w:r w:rsidRPr="00FF5F65">
              <w:rPr>
                <w:bCs/>
                <w:color w:val="500778"/>
                <w:sz w:val="14"/>
                <w:szCs w:val="14"/>
              </w:rPr>
              <w:instrText xml:space="preserve"> PAGE </w:instrText>
            </w:r>
            <w:r w:rsidRPr="00FF5F65">
              <w:rPr>
                <w:bCs/>
                <w:color w:val="500778"/>
                <w:sz w:val="14"/>
                <w:szCs w:val="14"/>
              </w:rPr>
              <w:fldChar w:fldCharType="separate"/>
            </w:r>
            <w:r w:rsidR="00D62769">
              <w:rPr>
                <w:bCs/>
                <w:noProof/>
                <w:color w:val="500778"/>
                <w:sz w:val="14"/>
                <w:szCs w:val="14"/>
              </w:rPr>
              <w:t>2</w:t>
            </w:r>
            <w:r w:rsidRPr="00FF5F65">
              <w:rPr>
                <w:bCs/>
                <w:color w:val="500778"/>
                <w:sz w:val="14"/>
                <w:szCs w:val="14"/>
              </w:rPr>
              <w:fldChar w:fldCharType="end"/>
            </w:r>
            <w:r w:rsidRPr="00FF5F65">
              <w:rPr>
                <w:color w:val="500778"/>
                <w:sz w:val="14"/>
                <w:szCs w:val="14"/>
              </w:rPr>
              <w:t xml:space="preserve"> / </w:t>
            </w:r>
            <w:r w:rsidRPr="00FF5F65">
              <w:rPr>
                <w:bCs/>
                <w:color w:val="500778"/>
                <w:sz w:val="14"/>
                <w:szCs w:val="14"/>
              </w:rPr>
              <w:fldChar w:fldCharType="begin"/>
            </w:r>
            <w:r w:rsidRPr="00FF5F65">
              <w:rPr>
                <w:bCs/>
                <w:color w:val="500778"/>
                <w:sz w:val="14"/>
                <w:szCs w:val="14"/>
              </w:rPr>
              <w:instrText xml:space="preserve"> NUMPAGES  </w:instrText>
            </w:r>
            <w:r w:rsidRPr="00FF5F65">
              <w:rPr>
                <w:bCs/>
                <w:color w:val="500778"/>
                <w:sz w:val="14"/>
                <w:szCs w:val="14"/>
              </w:rPr>
              <w:fldChar w:fldCharType="separate"/>
            </w:r>
            <w:r w:rsidR="00D62769">
              <w:rPr>
                <w:bCs/>
                <w:noProof/>
                <w:color w:val="500778"/>
                <w:sz w:val="14"/>
                <w:szCs w:val="14"/>
              </w:rPr>
              <w:t>2</w:t>
            </w:r>
            <w:r w:rsidRPr="00FF5F65">
              <w:rPr>
                <w:bCs/>
                <w:color w:val="500778"/>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DD" w:rsidRPr="003010D2" w:rsidRDefault="00551DDD" w:rsidP="00DD5C49">
      <w:pPr>
        <w:rPr>
          <w:color w:val="500778"/>
        </w:rPr>
      </w:pPr>
      <w:r w:rsidRPr="003010D2">
        <w:rPr>
          <w:color w:val="500778"/>
        </w:rPr>
        <w:separator/>
      </w:r>
    </w:p>
    <w:p w:rsidR="00551DDD" w:rsidRDefault="00551DDD"/>
  </w:footnote>
  <w:footnote w:type="continuationSeparator" w:id="0">
    <w:p w:rsidR="00551DDD" w:rsidRDefault="00551DDD" w:rsidP="00DD5C49">
      <w:r>
        <w:continuationSeparator/>
      </w:r>
    </w:p>
    <w:p w:rsidR="00551DDD" w:rsidRDefault="00551D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10" w:rsidRPr="0015129C" w:rsidRDefault="00453AE0" w:rsidP="0015129C">
    <w:pPr>
      <w:pStyle w:val="Header"/>
    </w:pPr>
    <w:r>
      <w:rPr>
        <w:noProof/>
        <w:lang w:eastAsia="et-EE"/>
      </w:rPr>
      <w:drawing>
        <wp:anchor distT="0" distB="0" distL="114300" distR="114300" simplePos="0" relativeHeight="251664384" behindDoc="0" locked="0" layoutInCell="1" allowOverlap="1" wp14:anchorId="57D86937" wp14:editId="24494D4E">
          <wp:simplePos x="0" y="0"/>
          <wp:positionH relativeFrom="page">
            <wp:posOffset>1080135</wp:posOffset>
          </wp:positionH>
          <wp:positionV relativeFrom="page">
            <wp:posOffset>360045</wp:posOffset>
          </wp:positionV>
          <wp:extent cx="1077120" cy="122040"/>
          <wp:effectExtent l="0" t="0" r="0" b="0"/>
          <wp:wrapNone/>
          <wp:docPr id="6" name="Picture 6"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10" w:rsidRPr="00812B47" w:rsidRDefault="00115410" w:rsidP="004C0791">
    <w:pPr>
      <w:pStyle w:val="Header"/>
      <w:spacing w:after="1701"/>
    </w:pPr>
    <w:r w:rsidRPr="00812B47">
      <w:rPr>
        <w:noProof/>
        <w:lang w:eastAsia="et-EE"/>
      </w:rPr>
      <w:drawing>
        <wp:anchor distT="0" distB="0" distL="114300" distR="114300" simplePos="0" relativeHeight="251661312" behindDoc="0" locked="0" layoutInCell="1" allowOverlap="1">
          <wp:simplePos x="0" y="0"/>
          <wp:positionH relativeFrom="column">
            <wp:posOffset>4386</wp:posOffset>
          </wp:positionH>
          <wp:positionV relativeFrom="paragraph">
            <wp:posOffset>1875</wp:posOffset>
          </wp:positionV>
          <wp:extent cx="3959225" cy="603885"/>
          <wp:effectExtent l="0" t="0" r="3175" b="5715"/>
          <wp:wrapNone/>
          <wp:docPr id="5" name="Picture 5" descr="C:\Users\i7design\AppData\Local\Microsoft\Windows\INetCache\Content.Word\logo_top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i7design\AppData\Local\Microsoft\Windows\INetCache\Content.Word\logo_top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9225" cy="603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A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F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D49FE"/>
    <w:multiLevelType w:val="hybridMultilevel"/>
    <w:tmpl w:val="426A6320"/>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A456E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7770"/>
    <w:multiLevelType w:val="hybridMultilevel"/>
    <w:tmpl w:val="9C0E53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E302F"/>
    <w:multiLevelType w:val="multilevel"/>
    <w:tmpl w:val="C248D3B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C5007"/>
    <w:multiLevelType w:val="hybridMultilevel"/>
    <w:tmpl w:val="0A82912C"/>
    <w:lvl w:ilvl="0" w:tplc="CA28E1D2">
      <w:numFmt w:val="bullet"/>
      <w:pStyle w:val="MainGrayBoxBulletlist"/>
      <w:lvlText w:val="•"/>
      <w:lvlJc w:val="left"/>
      <w:pPr>
        <w:ind w:left="3101" w:hanging="360"/>
      </w:pPr>
      <w:rPr>
        <w:rFonts w:ascii="Atlas Grotesk" w:eastAsiaTheme="minorHAnsi" w:hAnsi="Atlas Grotesk" w:cstheme="minorBidi" w:hint="default"/>
      </w:rPr>
    </w:lvl>
    <w:lvl w:ilvl="1" w:tplc="08090003" w:tentative="1">
      <w:start w:val="1"/>
      <w:numFmt w:val="bullet"/>
      <w:lvlText w:val="o"/>
      <w:lvlJc w:val="left"/>
      <w:pPr>
        <w:ind w:left="3821" w:hanging="360"/>
      </w:pPr>
      <w:rPr>
        <w:rFonts w:ascii="Courier New" w:hAnsi="Courier New" w:cs="Courier New" w:hint="default"/>
      </w:rPr>
    </w:lvl>
    <w:lvl w:ilvl="2" w:tplc="08090005" w:tentative="1">
      <w:start w:val="1"/>
      <w:numFmt w:val="bullet"/>
      <w:lvlText w:val=""/>
      <w:lvlJc w:val="left"/>
      <w:pPr>
        <w:ind w:left="4541" w:hanging="360"/>
      </w:pPr>
      <w:rPr>
        <w:rFonts w:ascii="Wingdings" w:hAnsi="Wingdings" w:hint="default"/>
      </w:rPr>
    </w:lvl>
    <w:lvl w:ilvl="3" w:tplc="08090001" w:tentative="1">
      <w:start w:val="1"/>
      <w:numFmt w:val="bullet"/>
      <w:lvlText w:val=""/>
      <w:lvlJc w:val="left"/>
      <w:pPr>
        <w:ind w:left="5261" w:hanging="360"/>
      </w:pPr>
      <w:rPr>
        <w:rFonts w:ascii="Symbol" w:hAnsi="Symbol" w:hint="default"/>
      </w:rPr>
    </w:lvl>
    <w:lvl w:ilvl="4" w:tplc="08090003" w:tentative="1">
      <w:start w:val="1"/>
      <w:numFmt w:val="bullet"/>
      <w:lvlText w:val="o"/>
      <w:lvlJc w:val="left"/>
      <w:pPr>
        <w:ind w:left="5981" w:hanging="360"/>
      </w:pPr>
      <w:rPr>
        <w:rFonts w:ascii="Courier New" w:hAnsi="Courier New" w:cs="Courier New" w:hint="default"/>
      </w:rPr>
    </w:lvl>
    <w:lvl w:ilvl="5" w:tplc="08090005" w:tentative="1">
      <w:start w:val="1"/>
      <w:numFmt w:val="bullet"/>
      <w:lvlText w:val=""/>
      <w:lvlJc w:val="left"/>
      <w:pPr>
        <w:ind w:left="6701" w:hanging="360"/>
      </w:pPr>
      <w:rPr>
        <w:rFonts w:ascii="Wingdings" w:hAnsi="Wingdings" w:hint="default"/>
      </w:rPr>
    </w:lvl>
    <w:lvl w:ilvl="6" w:tplc="08090001" w:tentative="1">
      <w:start w:val="1"/>
      <w:numFmt w:val="bullet"/>
      <w:lvlText w:val=""/>
      <w:lvlJc w:val="left"/>
      <w:pPr>
        <w:ind w:left="7421" w:hanging="360"/>
      </w:pPr>
      <w:rPr>
        <w:rFonts w:ascii="Symbol" w:hAnsi="Symbol" w:hint="default"/>
      </w:rPr>
    </w:lvl>
    <w:lvl w:ilvl="7" w:tplc="08090003" w:tentative="1">
      <w:start w:val="1"/>
      <w:numFmt w:val="bullet"/>
      <w:lvlText w:val="o"/>
      <w:lvlJc w:val="left"/>
      <w:pPr>
        <w:ind w:left="8141" w:hanging="360"/>
      </w:pPr>
      <w:rPr>
        <w:rFonts w:ascii="Courier New" w:hAnsi="Courier New" w:cs="Courier New" w:hint="default"/>
      </w:rPr>
    </w:lvl>
    <w:lvl w:ilvl="8" w:tplc="08090005" w:tentative="1">
      <w:start w:val="1"/>
      <w:numFmt w:val="bullet"/>
      <w:lvlText w:val=""/>
      <w:lvlJc w:val="left"/>
      <w:pPr>
        <w:ind w:left="8861" w:hanging="360"/>
      </w:pPr>
      <w:rPr>
        <w:rFonts w:ascii="Wingdings" w:hAnsi="Wingdings" w:hint="default"/>
      </w:rPr>
    </w:lvl>
  </w:abstractNum>
  <w:abstractNum w:abstractNumId="7" w15:restartNumberingAfterBreak="0">
    <w:nsid w:val="2DCF0B11"/>
    <w:multiLevelType w:val="hybridMultilevel"/>
    <w:tmpl w:val="5824C4F0"/>
    <w:lvl w:ilvl="0" w:tplc="8796F4F0">
      <w:numFmt w:val="bullet"/>
      <w:lvlText w:val="•"/>
      <w:lvlJc w:val="left"/>
      <w:pPr>
        <w:ind w:left="720" w:hanging="360"/>
      </w:pPr>
      <w:rPr>
        <w:rFonts w:ascii="Atlas Grotesk" w:eastAsiaTheme="minorHAnsi" w:hAnsi="Atlas Grotes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602B6"/>
    <w:multiLevelType w:val="hybridMultilevel"/>
    <w:tmpl w:val="121E880C"/>
    <w:lvl w:ilvl="0" w:tplc="B95A4A24">
      <w:start w:val="1"/>
      <w:numFmt w:val="bullet"/>
      <w:lvlText w:val=""/>
      <w:lvlJc w:val="left"/>
      <w:pPr>
        <w:ind w:left="2160" w:hanging="360"/>
      </w:pPr>
      <w:rPr>
        <w:rFonts w:ascii="Symbol" w:hAnsi="Symbol" w:hint="default"/>
        <w:color w:val="500778"/>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9" w15:restartNumberingAfterBreak="0">
    <w:nsid w:val="3C8C1699"/>
    <w:multiLevelType w:val="hybridMultilevel"/>
    <w:tmpl w:val="427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32964"/>
    <w:multiLevelType w:val="hybridMultilevel"/>
    <w:tmpl w:val="3116A29C"/>
    <w:lvl w:ilvl="0" w:tplc="D1427E2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85A5F23"/>
    <w:multiLevelType w:val="hybridMultilevel"/>
    <w:tmpl w:val="638AFD80"/>
    <w:lvl w:ilvl="0" w:tplc="B95A4A2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657DF9"/>
    <w:multiLevelType w:val="hybridMultilevel"/>
    <w:tmpl w:val="36B890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701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B6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C56625"/>
    <w:multiLevelType w:val="hybridMultilevel"/>
    <w:tmpl w:val="66A074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CF3F2D"/>
    <w:multiLevelType w:val="hybridMultilevel"/>
    <w:tmpl w:val="96CA322A"/>
    <w:lvl w:ilvl="0" w:tplc="D0F26D7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59F1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452BE"/>
    <w:multiLevelType w:val="hybridMultilevel"/>
    <w:tmpl w:val="2AC41F88"/>
    <w:lvl w:ilvl="0" w:tplc="36C8FB7C">
      <w:start w:val="1"/>
      <w:numFmt w:val="bullet"/>
      <w:lvlText w:val=""/>
      <w:lvlJc w:val="left"/>
      <w:pPr>
        <w:ind w:left="720" w:hanging="360"/>
      </w:pPr>
      <w:rPr>
        <w:rFonts w:ascii="Symbol" w:hAnsi="Symbol" w:hint="default"/>
        <w:color w:val="500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E5D1C"/>
    <w:multiLevelType w:val="hybridMultilevel"/>
    <w:tmpl w:val="27A2E3DE"/>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1"/>
  </w:num>
  <w:num w:numId="5">
    <w:abstractNumId w:val="3"/>
  </w:num>
  <w:num w:numId="6">
    <w:abstractNumId w:val="13"/>
  </w:num>
  <w:num w:numId="7">
    <w:abstractNumId w:val="0"/>
  </w:num>
  <w:num w:numId="8">
    <w:abstractNumId w:val="5"/>
  </w:num>
  <w:num w:numId="9">
    <w:abstractNumId w:val="9"/>
  </w:num>
  <w:num w:numId="10">
    <w:abstractNumId w:val="7"/>
  </w:num>
  <w:num w:numId="11">
    <w:abstractNumId w:val="6"/>
  </w:num>
  <w:num w:numId="12">
    <w:abstractNumId w:val="2"/>
  </w:num>
  <w:num w:numId="13">
    <w:abstractNumId w:val="18"/>
  </w:num>
  <w:num w:numId="14">
    <w:abstractNumId w:val="11"/>
  </w:num>
  <w:num w:numId="15">
    <w:abstractNumId w:val="8"/>
  </w:num>
  <w:num w:numId="16">
    <w:abstractNumId w:val="16"/>
  </w:num>
  <w:num w:numId="17">
    <w:abstractNumId w:val="10"/>
  </w:num>
  <w:num w:numId="18">
    <w:abstractNumId w:val="1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1B"/>
    <w:rsid w:val="000014CC"/>
    <w:rsid w:val="00005089"/>
    <w:rsid w:val="00005B3E"/>
    <w:rsid w:val="00011CD9"/>
    <w:rsid w:val="0002047D"/>
    <w:rsid w:val="00022657"/>
    <w:rsid w:val="000233CC"/>
    <w:rsid w:val="0003000E"/>
    <w:rsid w:val="0004478E"/>
    <w:rsid w:val="00045665"/>
    <w:rsid w:val="00087B78"/>
    <w:rsid w:val="0009671A"/>
    <w:rsid w:val="000A2680"/>
    <w:rsid w:val="000B1684"/>
    <w:rsid w:val="000C5091"/>
    <w:rsid w:val="000D165A"/>
    <w:rsid w:val="000D509E"/>
    <w:rsid w:val="000E201C"/>
    <w:rsid w:val="000E5BB8"/>
    <w:rsid w:val="000F162F"/>
    <w:rsid w:val="000F1AEF"/>
    <w:rsid w:val="000F4687"/>
    <w:rsid w:val="001127A8"/>
    <w:rsid w:val="00114DB1"/>
    <w:rsid w:val="00115410"/>
    <w:rsid w:val="00130577"/>
    <w:rsid w:val="00137C90"/>
    <w:rsid w:val="0015072C"/>
    <w:rsid w:val="0015129C"/>
    <w:rsid w:val="00154E93"/>
    <w:rsid w:val="00162479"/>
    <w:rsid w:val="00170A82"/>
    <w:rsid w:val="00176DDC"/>
    <w:rsid w:val="001A6DA7"/>
    <w:rsid w:val="001B287A"/>
    <w:rsid w:val="001B2D51"/>
    <w:rsid w:val="001B3A22"/>
    <w:rsid w:val="001C3BE9"/>
    <w:rsid w:val="001C4F14"/>
    <w:rsid w:val="001C579F"/>
    <w:rsid w:val="001D611A"/>
    <w:rsid w:val="001E1FBB"/>
    <w:rsid w:val="001F2E4C"/>
    <w:rsid w:val="00225666"/>
    <w:rsid w:val="002261FE"/>
    <w:rsid w:val="00226E54"/>
    <w:rsid w:val="00234BEA"/>
    <w:rsid w:val="00242638"/>
    <w:rsid w:val="002512AA"/>
    <w:rsid w:val="002626B6"/>
    <w:rsid w:val="00262828"/>
    <w:rsid w:val="00283690"/>
    <w:rsid w:val="00292CFF"/>
    <w:rsid w:val="002964EC"/>
    <w:rsid w:val="00297FB8"/>
    <w:rsid w:val="002A1DA1"/>
    <w:rsid w:val="002A3D01"/>
    <w:rsid w:val="002A69DF"/>
    <w:rsid w:val="002B4131"/>
    <w:rsid w:val="002C1614"/>
    <w:rsid w:val="002C70CC"/>
    <w:rsid w:val="002F58A1"/>
    <w:rsid w:val="002F6FF2"/>
    <w:rsid w:val="003010D2"/>
    <w:rsid w:val="0030173F"/>
    <w:rsid w:val="00314DD4"/>
    <w:rsid w:val="00331AA9"/>
    <w:rsid w:val="0033263C"/>
    <w:rsid w:val="00341820"/>
    <w:rsid w:val="003459F8"/>
    <w:rsid w:val="003461FD"/>
    <w:rsid w:val="0035134A"/>
    <w:rsid w:val="00360EED"/>
    <w:rsid w:val="00362712"/>
    <w:rsid w:val="00364603"/>
    <w:rsid w:val="00375B75"/>
    <w:rsid w:val="00387A01"/>
    <w:rsid w:val="0039144F"/>
    <w:rsid w:val="00397BFB"/>
    <w:rsid w:val="003A472D"/>
    <w:rsid w:val="003B291D"/>
    <w:rsid w:val="003B3C64"/>
    <w:rsid w:val="003B47E0"/>
    <w:rsid w:val="003B5CD2"/>
    <w:rsid w:val="00416BE0"/>
    <w:rsid w:val="00434700"/>
    <w:rsid w:val="004355B6"/>
    <w:rsid w:val="00447F54"/>
    <w:rsid w:val="004500DE"/>
    <w:rsid w:val="004524AF"/>
    <w:rsid w:val="00453AE0"/>
    <w:rsid w:val="0046078E"/>
    <w:rsid w:val="00471A0B"/>
    <w:rsid w:val="00481144"/>
    <w:rsid w:val="00493E0D"/>
    <w:rsid w:val="00496240"/>
    <w:rsid w:val="004A348C"/>
    <w:rsid w:val="004B4C7B"/>
    <w:rsid w:val="004C0791"/>
    <w:rsid w:val="004D4037"/>
    <w:rsid w:val="004D6AE5"/>
    <w:rsid w:val="004E0AE8"/>
    <w:rsid w:val="004F71BC"/>
    <w:rsid w:val="0051065D"/>
    <w:rsid w:val="0051369B"/>
    <w:rsid w:val="00517E8A"/>
    <w:rsid w:val="005237D6"/>
    <w:rsid w:val="00525943"/>
    <w:rsid w:val="00536E25"/>
    <w:rsid w:val="0053770C"/>
    <w:rsid w:val="00550B68"/>
    <w:rsid w:val="00551DDD"/>
    <w:rsid w:val="00557346"/>
    <w:rsid w:val="00557490"/>
    <w:rsid w:val="0056613C"/>
    <w:rsid w:val="00567569"/>
    <w:rsid w:val="005701AD"/>
    <w:rsid w:val="00582086"/>
    <w:rsid w:val="00592E07"/>
    <w:rsid w:val="00593306"/>
    <w:rsid w:val="005B52FA"/>
    <w:rsid w:val="005B6467"/>
    <w:rsid w:val="005C36E5"/>
    <w:rsid w:val="005C52F5"/>
    <w:rsid w:val="005D0053"/>
    <w:rsid w:val="005D6E3E"/>
    <w:rsid w:val="005F15E6"/>
    <w:rsid w:val="006058C9"/>
    <w:rsid w:val="0060724F"/>
    <w:rsid w:val="0061018B"/>
    <w:rsid w:val="00613B48"/>
    <w:rsid w:val="006316F9"/>
    <w:rsid w:val="006363B9"/>
    <w:rsid w:val="00642971"/>
    <w:rsid w:val="006446C5"/>
    <w:rsid w:val="006507FB"/>
    <w:rsid w:val="00653DE1"/>
    <w:rsid w:val="0065579B"/>
    <w:rsid w:val="006604D8"/>
    <w:rsid w:val="006633D8"/>
    <w:rsid w:val="006957FA"/>
    <w:rsid w:val="006965B2"/>
    <w:rsid w:val="006D46B2"/>
    <w:rsid w:val="006E2A08"/>
    <w:rsid w:val="006E2F49"/>
    <w:rsid w:val="006F3569"/>
    <w:rsid w:val="007046C1"/>
    <w:rsid w:val="00713047"/>
    <w:rsid w:val="007233F3"/>
    <w:rsid w:val="0073678A"/>
    <w:rsid w:val="00745F96"/>
    <w:rsid w:val="00750F9A"/>
    <w:rsid w:val="00783D8F"/>
    <w:rsid w:val="007B2875"/>
    <w:rsid w:val="007C1062"/>
    <w:rsid w:val="007C6630"/>
    <w:rsid w:val="007D75EC"/>
    <w:rsid w:val="007E1049"/>
    <w:rsid w:val="007E2D15"/>
    <w:rsid w:val="007F180D"/>
    <w:rsid w:val="007F4C07"/>
    <w:rsid w:val="00807BEE"/>
    <w:rsid w:val="00812B47"/>
    <w:rsid w:val="00813D65"/>
    <w:rsid w:val="00816748"/>
    <w:rsid w:val="008265FC"/>
    <w:rsid w:val="00841F41"/>
    <w:rsid w:val="008665F1"/>
    <w:rsid w:val="00870A54"/>
    <w:rsid w:val="00884656"/>
    <w:rsid w:val="008B0F2F"/>
    <w:rsid w:val="008C3007"/>
    <w:rsid w:val="008C4BEF"/>
    <w:rsid w:val="008E628E"/>
    <w:rsid w:val="008F1574"/>
    <w:rsid w:val="008F5088"/>
    <w:rsid w:val="009025C8"/>
    <w:rsid w:val="00911842"/>
    <w:rsid w:val="00913474"/>
    <w:rsid w:val="00933E8C"/>
    <w:rsid w:val="00952602"/>
    <w:rsid w:val="009555A2"/>
    <w:rsid w:val="009572EC"/>
    <w:rsid w:val="00957D9A"/>
    <w:rsid w:val="00965A95"/>
    <w:rsid w:val="00980D5E"/>
    <w:rsid w:val="00981C83"/>
    <w:rsid w:val="00987C41"/>
    <w:rsid w:val="009940B2"/>
    <w:rsid w:val="009B2F76"/>
    <w:rsid w:val="009C1BF2"/>
    <w:rsid w:val="009D0862"/>
    <w:rsid w:val="009F1363"/>
    <w:rsid w:val="009F1F98"/>
    <w:rsid w:val="00A02BF6"/>
    <w:rsid w:val="00A22AFE"/>
    <w:rsid w:val="00A40F77"/>
    <w:rsid w:val="00A44487"/>
    <w:rsid w:val="00A56945"/>
    <w:rsid w:val="00A7281F"/>
    <w:rsid w:val="00A75FB7"/>
    <w:rsid w:val="00A80BC0"/>
    <w:rsid w:val="00A92A27"/>
    <w:rsid w:val="00A92F74"/>
    <w:rsid w:val="00AB1162"/>
    <w:rsid w:val="00AB51FC"/>
    <w:rsid w:val="00AB5BD0"/>
    <w:rsid w:val="00AF787B"/>
    <w:rsid w:val="00B01374"/>
    <w:rsid w:val="00B21DBF"/>
    <w:rsid w:val="00B22B97"/>
    <w:rsid w:val="00B26FBD"/>
    <w:rsid w:val="00B44B2C"/>
    <w:rsid w:val="00B719EB"/>
    <w:rsid w:val="00B93C43"/>
    <w:rsid w:val="00B948E7"/>
    <w:rsid w:val="00BA0506"/>
    <w:rsid w:val="00BA5E1B"/>
    <w:rsid w:val="00BA6221"/>
    <w:rsid w:val="00BB06C2"/>
    <w:rsid w:val="00BB0C28"/>
    <w:rsid w:val="00BB5F40"/>
    <w:rsid w:val="00BB6F28"/>
    <w:rsid w:val="00BD771A"/>
    <w:rsid w:val="00BE215F"/>
    <w:rsid w:val="00BF161E"/>
    <w:rsid w:val="00C05214"/>
    <w:rsid w:val="00C12531"/>
    <w:rsid w:val="00C31746"/>
    <w:rsid w:val="00C333FB"/>
    <w:rsid w:val="00C77BE3"/>
    <w:rsid w:val="00C91757"/>
    <w:rsid w:val="00C933D2"/>
    <w:rsid w:val="00CB25D1"/>
    <w:rsid w:val="00CC72D6"/>
    <w:rsid w:val="00CC78A5"/>
    <w:rsid w:val="00CD1C6A"/>
    <w:rsid w:val="00CD22E1"/>
    <w:rsid w:val="00CD5EF7"/>
    <w:rsid w:val="00CE1C61"/>
    <w:rsid w:val="00CE3A53"/>
    <w:rsid w:val="00CF2305"/>
    <w:rsid w:val="00CF47D8"/>
    <w:rsid w:val="00D032CA"/>
    <w:rsid w:val="00D04BC3"/>
    <w:rsid w:val="00D158DA"/>
    <w:rsid w:val="00D206FA"/>
    <w:rsid w:val="00D22995"/>
    <w:rsid w:val="00D403BE"/>
    <w:rsid w:val="00D62769"/>
    <w:rsid w:val="00D76AEC"/>
    <w:rsid w:val="00D8700D"/>
    <w:rsid w:val="00D94D26"/>
    <w:rsid w:val="00DA6829"/>
    <w:rsid w:val="00DC2B6D"/>
    <w:rsid w:val="00DD4A27"/>
    <w:rsid w:val="00DD5C49"/>
    <w:rsid w:val="00DD735D"/>
    <w:rsid w:val="00DE3816"/>
    <w:rsid w:val="00DF087F"/>
    <w:rsid w:val="00E10AA9"/>
    <w:rsid w:val="00E16041"/>
    <w:rsid w:val="00E2081C"/>
    <w:rsid w:val="00E23536"/>
    <w:rsid w:val="00E24CEF"/>
    <w:rsid w:val="00E345E9"/>
    <w:rsid w:val="00E45B16"/>
    <w:rsid w:val="00E54D00"/>
    <w:rsid w:val="00E64ED7"/>
    <w:rsid w:val="00E64EFE"/>
    <w:rsid w:val="00ED3A3C"/>
    <w:rsid w:val="00ED5BDF"/>
    <w:rsid w:val="00ED6F20"/>
    <w:rsid w:val="00F0345C"/>
    <w:rsid w:val="00F0483B"/>
    <w:rsid w:val="00F2586E"/>
    <w:rsid w:val="00F27AE5"/>
    <w:rsid w:val="00F3070F"/>
    <w:rsid w:val="00F41502"/>
    <w:rsid w:val="00F4316D"/>
    <w:rsid w:val="00F44EDC"/>
    <w:rsid w:val="00F456F0"/>
    <w:rsid w:val="00F50979"/>
    <w:rsid w:val="00F610D1"/>
    <w:rsid w:val="00F655A8"/>
    <w:rsid w:val="00F75AF0"/>
    <w:rsid w:val="00F822B0"/>
    <w:rsid w:val="00FA7D85"/>
    <w:rsid w:val="00FC29EA"/>
    <w:rsid w:val="00FD12AF"/>
    <w:rsid w:val="00FD1B44"/>
    <w:rsid w:val="00FD3A7E"/>
    <w:rsid w:val="00FE4FD9"/>
    <w:rsid w:val="00FE6308"/>
    <w:rsid w:val="00FF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BAEBC"/>
  <w15:chartTrackingRefBased/>
  <w15:docId w15:val="{AF7C9D03-F51B-40E9-9DE6-312DE436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_INFO"/>
    <w:qFormat/>
    <w:rsid w:val="00BB5F40"/>
    <w:pPr>
      <w:spacing w:after="240" w:line="240" w:lineRule="auto"/>
      <w:jc w:val="both"/>
    </w:pPr>
    <w:rPr>
      <w:sz w:val="21"/>
      <w:lang w:val="et-EE"/>
    </w:rPr>
  </w:style>
  <w:style w:type="paragraph" w:styleId="Heading1">
    <w:name w:val="heading 1"/>
    <w:basedOn w:val="Normal"/>
    <w:next w:val="Normal"/>
    <w:link w:val="Heading1Char"/>
    <w:uiPriority w:val="9"/>
    <w:qFormat/>
    <w:rsid w:val="00987C41"/>
    <w:pPr>
      <w:keepNext/>
      <w:keepLines/>
      <w:pageBreakBefore/>
      <w:spacing w:before="240" w:after="360"/>
      <w:outlineLvl w:val="0"/>
    </w:pPr>
    <w:rPr>
      <w:rFonts w:asciiTheme="majorHAnsi" w:eastAsiaTheme="majorEastAsia" w:hAnsiTheme="majorHAnsi" w:cstheme="majorBidi"/>
      <w:color w:val="500778"/>
      <w:sz w:val="30"/>
      <w:szCs w:val="32"/>
    </w:rPr>
  </w:style>
  <w:style w:type="paragraph" w:styleId="Heading2">
    <w:name w:val="heading 2"/>
    <w:basedOn w:val="Heading1"/>
    <w:next w:val="Normal"/>
    <w:link w:val="Heading2Char"/>
    <w:autoRedefine/>
    <w:uiPriority w:val="9"/>
    <w:unhideWhenUsed/>
    <w:qFormat/>
    <w:rsid w:val="00BB5F40"/>
    <w:pPr>
      <w:numPr>
        <w:ilvl w:val="1"/>
        <w:numId w:val="8"/>
      </w:numPr>
      <w:spacing w:before="360" w:after="240"/>
      <w:ind w:left="425" w:hanging="425"/>
      <w:outlineLvl w:val="1"/>
    </w:pPr>
    <w:rPr>
      <w:szCs w:val="26"/>
    </w:rPr>
  </w:style>
  <w:style w:type="paragraph" w:styleId="Heading3">
    <w:name w:val="heading 3"/>
    <w:basedOn w:val="Normal"/>
    <w:next w:val="Normal"/>
    <w:link w:val="Heading3Char"/>
    <w:uiPriority w:val="9"/>
    <w:unhideWhenUsed/>
    <w:qFormat/>
    <w:rsid w:val="006446C5"/>
    <w:pPr>
      <w:keepNext/>
      <w:keepLines/>
      <w:spacing w:before="360"/>
      <w:outlineLvl w:val="2"/>
    </w:pPr>
    <w:rPr>
      <w:rFonts w:asciiTheme="majorHAnsi" w:eastAsiaTheme="majorEastAsia" w:hAnsiTheme="majorHAnsi" w:cstheme="majorBidi"/>
      <w:color w:val="500778"/>
      <w:szCs w:val="24"/>
    </w:rPr>
  </w:style>
  <w:style w:type="paragraph" w:styleId="Heading4">
    <w:name w:val="heading 4"/>
    <w:basedOn w:val="Normal"/>
    <w:next w:val="Normal"/>
    <w:link w:val="Heading4Char"/>
    <w:uiPriority w:val="9"/>
    <w:unhideWhenUsed/>
    <w:qFormat/>
    <w:rsid w:val="00AB51FC"/>
    <w:pPr>
      <w:keepNext/>
      <w:keepLines/>
      <w:spacing w:before="40"/>
      <w:outlineLvl w:val="3"/>
    </w:pPr>
    <w:rPr>
      <w:rFonts w:asciiTheme="majorHAnsi" w:eastAsiaTheme="majorEastAsia" w:hAnsiTheme="majorHAnsi" w:cstheme="majorBidi"/>
      <w:i/>
      <w:iCs/>
      <w:color w:val="3B0559" w:themeColor="accent1" w:themeShade="BF"/>
    </w:rPr>
  </w:style>
  <w:style w:type="paragraph" w:styleId="Heading5">
    <w:name w:val="heading 5"/>
    <w:basedOn w:val="Normal"/>
    <w:next w:val="Normal"/>
    <w:link w:val="Heading5Char"/>
    <w:uiPriority w:val="9"/>
    <w:semiHidden/>
    <w:unhideWhenUsed/>
    <w:qFormat/>
    <w:rsid w:val="00AB51FC"/>
    <w:pPr>
      <w:keepNext/>
      <w:keepLines/>
      <w:spacing w:before="40" w:after="0"/>
      <w:outlineLvl w:val="4"/>
    </w:pPr>
    <w:rPr>
      <w:rFonts w:asciiTheme="majorHAnsi" w:eastAsiaTheme="majorEastAsia" w:hAnsiTheme="majorHAnsi" w:cstheme="majorBidi"/>
      <w:color w:val="3B0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CC"/>
    <w:pPr>
      <w:tabs>
        <w:tab w:val="center" w:pos="4513"/>
        <w:tab w:val="right" w:pos="9026"/>
      </w:tabs>
    </w:pPr>
    <w:rPr>
      <w:sz w:val="17"/>
    </w:rPr>
  </w:style>
  <w:style w:type="character" w:customStyle="1" w:styleId="HeaderChar">
    <w:name w:val="Header Char"/>
    <w:basedOn w:val="DefaultParagraphFont"/>
    <w:link w:val="Header"/>
    <w:uiPriority w:val="99"/>
    <w:rsid w:val="000014CC"/>
    <w:rPr>
      <w:rFonts w:ascii="Atlas Grotesk Light" w:hAnsi="Atlas Grotesk Light"/>
      <w:sz w:val="17"/>
      <w:lang w:val="et-EE"/>
    </w:rPr>
  </w:style>
  <w:style w:type="paragraph" w:styleId="Footer">
    <w:name w:val="footer"/>
    <w:link w:val="FooterChar"/>
    <w:uiPriority w:val="99"/>
    <w:unhideWhenUsed/>
    <w:rsid w:val="00AB51FC"/>
    <w:pPr>
      <w:spacing w:before="300" w:after="0" w:line="240" w:lineRule="auto"/>
    </w:pPr>
    <w:rPr>
      <w:sz w:val="18"/>
      <w:lang w:val="et-EE"/>
    </w:rPr>
  </w:style>
  <w:style w:type="character" w:customStyle="1" w:styleId="FooterChar">
    <w:name w:val="Footer Char"/>
    <w:basedOn w:val="DefaultParagraphFont"/>
    <w:link w:val="Footer"/>
    <w:uiPriority w:val="99"/>
    <w:rsid w:val="00AB51FC"/>
    <w:rPr>
      <w:sz w:val="18"/>
      <w:lang w:val="et-EE"/>
    </w:rPr>
  </w:style>
  <w:style w:type="paragraph" w:customStyle="1" w:styleId="MainGrayboxParagraph">
    <w:name w:val="Main_Graybox_Paragraph"/>
    <w:link w:val="MainGrayboxParagraphChar"/>
    <w:qFormat/>
    <w:rsid w:val="00BB5F40"/>
    <w:pPr>
      <w:pBdr>
        <w:top w:val="single" w:sz="4" w:space="15" w:color="F6F6F6"/>
        <w:left w:val="single" w:sz="4" w:space="15" w:color="F6F6F6"/>
        <w:bottom w:val="single" w:sz="4" w:space="15" w:color="F6F6F6"/>
        <w:right w:val="single" w:sz="4" w:space="15" w:color="F6F6F6"/>
      </w:pBdr>
      <w:shd w:val="clear" w:color="auto" w:fill="F6F6F6"/>
      <w:spacing w:line="300" w:lineRule="auto"/>
      <w:ind w:left="284" w:right="284"/>
    </w:pPr>
    <w:rPr>
      <w:sz w:val="21"/>
      <w:lang w:val="et-EE"/>
    </w:rPr>
  </w:style>
  <w:style w:type="character" w:customStyle="1" w:styleId="Heading1Char">
    <w:name w:val="Heading 1 Char"/>
    <w:basedOn w:val="DefaultParagraphFont"/>
    <w:link w:val="Heading1"/>
    <w:uiPriority w:val="9"/>
    <w:rsid w:val="00987C41"/>
    <w:rPr>
      <w:rFonts w:asciiTheme="majorHAnsi" w:eastAsiaTheme="majorEastAsia" w:hAnsiTheme="majorHAnsi" w:cstheme="majorBidi"/>
      <w:color w:val="500778"/>
      <w:sz w:val="30"/>
      <w:szCs w:val="32"/>
      <w:lang w:val="et-EE"/>
    </w:rPr>
  </w:style>
  <w:style w:type="character" w:customStyle="1" w:styleId="Heading2Char">
    <w:name w:val="Heading 2 Char"/>
    <w:basedOn w:val="DefaultParagraphFont"/>
    <w:link w:val="Heading2"/>
    <w:uiPriority w:val="9"/>
    <w:rsid w:val="00BB5F40"/>
    <w:rPr>
      <w:rFonts w:asciiTheme="majorHAnsi" w:eastAsiaTheme="majorEastAsia" w:hAnsiTheme="majorHAnsi" w:cstheme="majorBidi"/>
      <w:color w:val="500778"/>
      <w:sz w:val="30"/>
      <w:szCs w:val="26"/>
      <w:lang w:val="et-EE"/>
    </w:rPr>
  </w:style>
  <w:style w:type="paragraph" w:styleId="Title">
    <w:name w:val="Title"/>
    <w:basedOn w:val="Normal"/>
    <w:next w:val="Default"/>
    <w:link w:val="TitleChar"/>
    <w:uiPriority w:val="10"/>
    <w:qFormat/>
    <w:rsid w:val="00BB5F40"/>
    <w:pPr>
      <w:ind w:left="2381"/>
      <w:contextualSpacing/>
    </w:pPr>
    <w:rPr>
      <w:rFonts w:asciiTheme="majorHAnsi" w:eastAsiaTheme="majorEastAsia" w:hAnsiTheme="majorHAnsi" w:cstheme="majorBidi"/>
      <w:color w:val="500778"/>
      <w:sz w:val="76"/>
      <w:szCs w:val="56"/>
    </w:rPr>
  </w:style>
  <w:style w:type="character" w:customStyle="1" w:styleId="TitleChar">
    <w:name w:val="Title Char"/>
    <w:basedOn w:val="DefaultParagraphFont"/>
    <w:link w:val="Title"/>
    <w:uiPriority w:val="10"/>
    <w:rsid w:val="00BB5F40"/>
    <w:rPr>
      <w:rFonts w:asciiTheme="majorHAnsi" w:eastAsiaTheme="majorEastAsia" w:hAnsiTheme="majorHAnsi" w:cstheme="majorBidi"/>
      <w:color w:val="500778"/>
      <w:sz w:val="76"/>
      <w:szCs w:val="56"/>
      <w:lang w:val="et-EE"/>
    </w:rPr>
  </w:style>
  <w:style w:type="paragraph" w:styleId="Subtitle">
    <w:name w:val="Subtitle"/>
    <w:basedOn w:val="Normal"/>
    <w:next w:val="Normal"/>
    <w:link w:val="SubtitleChar"/>
    <w:uiPriority w:val="11"/>
    <w:rsid w:val="00AB51FC"/>
    <w:pPr>
      <w:numPr>
        <w:ilvl w:val="1"/>
      </w:numPr>
      <w:spacing w:after="160"/>
      <w:ind w:left="2381"/>
    </w:pPr>
    <w:rPr>
      <w:rFonts w:eastAsiaTheme="minorEastAsia"/>
      <w:color w:val="500778" w:themeColor="accent6"/>
      <w:spacing w:val="15"/>
      <w:sz w:val="22"/>
    </w:rPr>
  </w:style>
  <w:style w:type="character" w:customStyle="1" w:styleId="SubtitleChar">
    <w:name w:val="Subtitle Char"/>
    <w:basedOn w:val="DefaultParagraphFont"/>
    <w:link w:val="Subtitle"/>
    <w:uiPriority w:val="11"/>
    <w:rsid w:val="00AB51FC"/>
    <w:rPr>
      <w:rFonts w:eastAsiaTheme="minorEastAsia"/>
      <w:color w:val="500778" w:themeColor="accent6"/>
      <w:spacing w:val="15"/>
      <w:lang w:val="et-EE"/>
    </w:rPr>
  </w:style>
  <w:style w:type="paragraph" w:customStyle="1" w:styleId="Default">
    <w:name w:val="Default"/>
    <w:rsid w:val="00BB5F40"/>
    <w:pPr>
      <w:autoSpaceDE w:val="0"/>
      <w:autoSpaceDN w:val="0"/>
      <w:adjustRightInd w:val="0"/>
      <w:spacing w:after="240" w:line="300" w:lineRule="auto"/>
    </w:pPr>
    <w:rPr>
      <w:rFonts w:cs="Publico Light"/>
      <w:color w:val="000000"/>
      <w:sz w:val="18"/>
      <w:szCs w:val="24"/>
    </w:rPr>
  </w:style>
  <w:style w:type="paragraph" w:customStyle="1" w:styleId="PageTitleTableOfContent">
    <w:name w:val="Page_Title_TableOfContent"/>
    <w:qFormat/>
    <w:rsid w:val="00AB51FC"/>
    <w:pPr>
      <w:pBdr>
        <w:bottom w:val="single" w:sz="4" w:space="8" w:color="auto"/>
      </w:pBdr>
      <w:spacing w:after="360" w:line="300" w:lineRule="auto"/>
    </w:pPr>
    <w:rPr>
      <w:rFonts w:asciiTheme="majorHAnsi" w:hAnsiTheme="majorHAnsi"/>
      <w:color w:val="5B027A"/>
      <w:sz w:val="30"/>
      <w:szCs w:val="30"/>
      <w:lang w:val="et-EE"/>
    </w:rPr>
  </w:style>
  <w:style w:type="paragraph" w:styleId="ListParagraph">
    <w:name w:val="List Paragraph"/>
    <w:basedOn w:val="Normal"/>
    <w:link w:val="ListParagraphChar"/>
    <w:uiPriority w:val="34"/>
    <w:qFormat/>
    <w:rsid w:val="002964EC"/>
    <w:pPr>
      <w:ind w:left="720"/>
      <w:contextualSpacing/>
    </w:pPr>
  </w:style>
  <w:style w:type="paragraph" w:styleId="TOC1">
    <w:name w:val="toc 1"/>
    <w:basedOn w:val="Normal"/>
    <w:next w:val="Default"/>
    <w:link w:val="TOC1Char"/>
    <w:autoRedefine/>
    <w:uiPriority w:val="39"/>
    <w:unhideWhenUsed/>
    <w:rsid w:val="00BB5F40"/>
    <w:pPr>
      <w:tabs>
        <w:tab w:val="left" w:pos="284"/>
        <w:tab w:val="right" w:pos="9344"/>
      </w:tabs>
      <w:spacing w:after="360"/>
    </w:pPr>
    <w:rPr>
      <w:rFonts w:asciiTheme="majorHAnsi" w:hAnsiTheme="majorHAnsi"/>
      <w:color w:val="500778"/>
      <w:sz w:val="30"/>
    </w:rPr>
  </w:style>
  <w:style w:type="character" w:styleId="Hyperlink">
    <w:name w:val="Hyperlink"/>
    <w:basedOn w:val="DefaultParagraphFont"/>
    <w:uiPriority w:val="99"/>
    <w:unhideWhenUsed/>
    <w:rsid w:val="002964EC"/>
    <w:rPr>
      <w:color w:val="500778" w:themeColor="hyperlink"/>
      <w:u w:val="single"/>
    </w:rPr>
  </w:style>
  <w:style w:type="character" w:customStyle="1" w:styleId="TOC1Char">
    <w:name w:val="TOC 1 Char"/>
    <w:basedOn w:val="DefaultParagraphFont"/>
    <w:link w:val="TOC1"/>
    <w:uiPriority w:val="39"/>
    <w:rsid w:val="00BB5F40"/>
    <w:rPr>
      <w:rFonts w:asciiTheme="majorHAnsi" w:hAnsiTheme="majorHAnsi"/>
      <w:color w:val="500778"/>
      <w:sz w:val="30"/>
      <w:lang w:val="et-EE"/>
    </w:rPr>
  </w:style>
  <w:style w:type="paragraph" w:styleId="TOCHeading">
    <w:name w:val="TOC Heading"/>
    <w:basedOn w:val="Heading1"/>
    <w:next w:val="Normal"/>
    <w:uiPriority w:val="39"/>
    <w:unhideWhenUsed/>
    <w:qFormat/>
    <w:rsid w:val="00AB51FC"/>
    <w:pPr>
      <w:spacing w:line="259" w:lineRule="auto"/>
      <w:outlineLvl w:val="9"/>
    </w:pPr>
    <w:rPr>
      <w:color w:val="3B0559" w:themeColor="accent1" w:themeShade="BF"/>
      <w:sz w:val="32"/>
      <w:lang w:val="en-US"/>
    </w:rPr>
  </w:style>
  <w:style w:type="paragraph" w:styleId="TOC3">
    <w:name w:val="toc 3"/>
    <w:basedOn w:val="Normal"/>
    <w:next w:val="Normal"/>
    <w:autoRedefine/>
    <w:uiPriority w:val="39"/>
    <w:unhideWhenUsed/>
    <w:rsid w:val="00AB51FC"/>
    <w:pPr>
      <w:spacing w:after="100" w:line="259" w:lineRule="auto"/>
      <w:ind w:left="440"/>
    </w:pPr>
    <w:rPr>
      <w:rFonts w:asciiTheme="majorHAnsi" w:eastAsiaTheme="minorEastAsia" w:hAnsiTheme="majorHAnsi" w:cs="Times New Roman"/>
      <w:sz w:val="22"/>
      <w:lang w:val="en-US"/>
    </w:rPr>
  </w:style>
  <w:style w:type="paragraph" w:styleId="TOC2">
    <w:name w:val="toc 2"/>
    <w:basedOn w:val="Normal"/>
    <w:next w:val="Normal"/>
    <w:autoRedefine/>
    <w:uiPriority w:val="39"/>
    <w:unhideWhenUsed/>
    <w:rsid w:val="00BB5F40"/>
    <w:pPr>
      <w:tabs>
        <w:tab w:val="left" w:pos="993"/>
        <w:tab w:val="right" w:pos="9344"/>
      </w:tabs>
      <w:spacing w:after="360"/>
      <w:ind w:left="426"/>
      <w:contextualSpacing/>
    </w:pPr>
    <w:rPr>
      <w:rFonts w:asciiTheme="majorHAnsi" w:hAnsiTheme="majorHAnsi"/>
      <w:color w:val="500778"/>
      <w:sz w:val="30"/>
    </w:rPr>
  </w:style>
  <w:style w:type="paragraph" w:customStyle="1" w:styleId="MainGrayBoxBulletlist">
    <w:name w:val="Main_GrayBox_Bulletlist"/>
    <w:basedOn w:val="ListParagraph"/>
    <w:link w:val="MainGrayBoxBulletlistChar"/>
    <w:qFormat/>
    <w:rsid w:val="00BB5F40"/>
    <w:pPr>
      <w:numPr>
        <w:numId w:val="11"/>
      </w:numPr>
      <w:pBdr>
        <w:top w:val="single" w:sz="2" w:space="15" w:color="F6F6F6"/>
        <w:left w:val="single" w:sz="2" w:space="15" w:color="F6F6F6"/>
        <w:bottom w:val="single" w:sz="2" w:space="15" w:color="F6F6F6"/>
        <w:right w:val="single" w:sz="2" w:space="15" w:color="F6F6F6"/>
      </w:pBdr>
      <w:shd w:val="clear" w:color="auto" w:fill="F6F6F6"/>
      <w:ind w:left="641" w:right="284" w:hanging="357"/>
    </w:pPr>
  </w:style>
  <w:style w:type="character" w:customStyle="1" w:styleId="Heading3Char">
    <w:name w:val="Heading 3 Char"/>
    <w:basedOn w:val="DefaultParagraphFont"/>
    <w:link w:val="Heading3"/>
    <w:uiPriority w:val="9"/>
    <w:rsid w:val="006446C5"/>
    <w:rPr>
      <w:rFonts w:asciiTheme="majorHAnsi" w:eastAsiaTheme="majorEastAsia" w:hAnsiTheme="majorHAnsi" w:cstheme="majorBidi"/>
      <w:color w:val="500778"/>
      <w:sz w:val="21"/>
      <w:szCs w:val="24"/>
      <w:lang w:val="et-EE"/>
    </w:rPr>
  </w:style>
  <w:style w:type="character" w:customStyle="1" w:styleId="ListParagraphChar">
    <w:name w:val="List Paragraph Char"/>
    <w:basedOn w:val="DefaultParagraphFont"/>
    <w:link w:val="ListParagraph"/>
    <w:uiPriority w:val="34"/>
    <w:rsid w:val="00F0345C"/>
    <w:rPr>
      <w:rFonts w:ascii="Atlas Grotesk" w:hAnsi="Atlas Grotesk"/>
      <w:sz w:val="17"/>
      <w:lang w:val="et-EE"/>
    </w:rPr>
  </w:style>
  <w:style w:type="character" w:customStyle="1" w:styleId="MainGrayBoxBulletlistChar">
    <w:name w:val="Main_GrayBox_Bulletlist Char"/>
    <w:basedOn w:val="ListParagraphChar"/>
    <w:link w:val="MainGrayBoxBulletlist"/>
    <w:rsid w:val="00BB5F40"/>
    <w:rPr>
      <w:rFonts w:ascii="Atlas Grotesk" w:hAnsi="Atlas Grotesk"/>
      <w:sz w:val="21"/>
      <w:shd w:val="clear" w:color="auto" w:fill="F6F6F6"/>
      <w:lang w:val="et-EE"/>
    </w:rPr>
  </w:style>
  <w:style w:type="character" w:styleId="SubtleReference">
    <w:name w:val="Subtle Reference"/>
    <w:basedOn w:val="DefaultParagraphFont"/>
    <w:uiPriority w:val="31"/>
    <w:qFormat/>
    <w:rsid w:val="00262828"/>
    <w:rPr>
      <w:smallCaps/>
      <w:color w:val="500778" w:themeColor="accent6"/>
    </w:rPr>
  </w:style>
  <w:style w:type="character" w:styleId="IntenseReference">
    <w:name w:val="Intense Reference"/>
    <w:basedOn w:val="DefaultParagraphFont"/>
    <w:uiPriority w:val="32"/>
    <w:qFormat/>
    <w:rsid w:val="00D22995"/>
    <w:rPr>
      <w:b/>
      <w:bCs/>
      <w:smallCaps/>
      <w:color w:val="500778" w:themeColor="accent1"/>
      <w:spacing w:val="5"/>
    </w:rPr>
  </w:style>
  <w:style w:type="paragraph" w:styleId="NoSpacing">
    <w:name w:val="No Spacing"/>
    <w:uiPriority w:val="1"/>
    <w:rsid w:val="00BB5F40"/>
    <w:pPr>
      <w:spacing w:after="0" w:line="240" w:lineRule="auto"/>
    </w:pPr>
    <w:rPr>
      <w:sz w:val="21"/>
      <w:lang w:val="et-EE"/>
    </w:rPr>
  </w:style>
  <w:style w:type="character" w:customStyle="1" w:styleId="MainGrayboxParagraphChar">
    <w:name w:val="Main_Graybox_Paragraph Char"/>
    <w:basedOn w:val="DefaultParagraphFont"/>
    <w:link w:val="MainGrayboxParagraph"/>
    <w:rsid w:val="00BB5F40"/>
    <w:rPr>
      <w:sz w:val="21"/>
      <w:shd w:val="clear" w:color="auto" w:fill="F6F6F6"/>
      <w:lang w:val="et-EE"/>
    </w:rPr>
  </w:style>
  <w:style w:type="paragraph" w:styleId="Quote">
    <w:name w:val="Quote"/>
    <w:basedOn w:val="Normal"/>
    <w:next w:val="Normal"/>
    <w:link w:val="QuoteChar"/>
    <w:uiPriority w:val="29"/>
    <w:rsid w:val="00262828"/>
    <w:pPr>
      <w:spacing w:before="200" w:after="160"/>
      <w:ind w:left="864" w:right="864"/>
      <w:jc w:val="center"/>
    </w:pPr>
    <w:rPr>
      <w:i/>
      <w:iCs/>
      <w:color w:val="500778" w:themeColor="accent6"/>
    </w:rPr>
  </w:style>
  <w:style w:type="character" w:customStyle="1" w:styleId="QuoteChar">
    <w:name w:val="Quote Char"/>
    <w:basedOn w:val="DefaultParagraphFont"/>
    <w:link w:val="Quote"/>
    <w:uiPriority w:val="29"/>
    <w:rsid w:val="00262828"/>
    <w:rPr>
      <w:rFonts w:ascii="Atlas Grotesk Light" w:hAnsi="Atlas Grotesk Light"/>
      <w:i/>
      <w:iCs/>
      <w:color w:val="500778" w:themeColor="accent6"/>
      <w:sz w:val="18"/>
      <w:lang w:val="et-EE"/>
    </w:rPr>
  </w:style>
  <w:style w:type="character" w:styleId="Strong">
    <w:name w:val="Strong"/>
    <w:basedOn w:val="DefaultParagraphFont"/>
    <w:uiPriority w:val="22"/>
    <w:qFormat/>
    <w:rsid w:val="00D22995"/>
    <w:rPr>
      <w:b/>
      <w:bCs/>
    </w:rPr>
  </w:style>
  <w:style w:type="character" w:styleId="IntenseEmphasis">
    <w:name w:val="Intense Emphasis"/>
    <w:basedOn w:val="DefaultParagraphFont"/>
    <w:uiPriority w:val="21"/>
    <w:qFormat/>
    <w:rsid w:val="00D22995"/>
    <w:rPr>
      <w:i/>
      <w:iCs/>
      <w:color w:val="500778" w:themeColor="accent1"/>
    </w:rPr>
  </w:style>
  <w:style w:type="character" w:styleId="Emphasis">
    <w:name w:val="Emphasis"/>
    <w:basedOn w:val="DefaultParagraphFont"/>
    <w:uiPriority w:val="20"/>
    <w:qFormat/>
    <w:rsid w:val="00D22995"/>
    <w:rPr>
      <w:i/>
      <w:iCs/>
    </w:rPr>
  </w:style>
  <w:style w:type="character" w:styleId="SubtleEmphasis">
    <w:name w:val="Subtle Emphasis"/>
    <w:basedOn w:val="DefaultParagraphFont"/>
    <w:uiPriority w:val="19"/>
    <w:qFormat/>
    <w:rsid w:val="00262828"/>
    <w:rPr>
      <w:i/>
      <w:iCs/>
      <w:color w:val="500778" w:themeColor="accent6"/>
    </w:rPr>
  </w:style>
  <w:style w:type="character" w:customStyle="1" w:styleId="Heading4Char">
    <w:name w:val="Heading 4 Char"/>
    <w:basedOn w:val="DefaultParagraphFont"/>
    <w:link w:val="Heading4"/>
    <w:uiPriority w:val="9"/>
    <w:rsid w:val="00AB51FC"/>
    <w:rPr>
      <w:rFonts w:asciiTheme="majorHAnsi" w:eastAsiaTheme="majorEastAsia" w:hAnsiTheme="majorHAnsi" w:cstheme="majorBidi"/>
      <w:i/>
      <w:iCs/>
      <w:color w:val="3B0559" w:themeColor="accent1" w:themeShade="BF"/>
      <w:sz w:val="21"/>
      <w:lang w:val="et-EE"/>
    </w:rPr>
  </w:style>
  <w:style w:type="paragraph" w:customStyle="1" w:styleId="Image">
    <w:name w:val="Image"/>
    <w:link w:val="ImageChar"/>
    <w:qFormat/>
    <w:rsid w:val="00AB51FC"/>
    <w:rPr>
      <w:rFonts w:cs="Publico Light"/>
      <w:color w:val="000000"/>
      <w:sz w:val="21"/>
      <w:szCs w:val="24"/>
    </w:rPr>
  </w:style>
  <w:style w:type="paragraph" w:customStyle="1" w:styleId="MainFootnote">
    <w:name w:val="Main_Footnote"/>
    <w:basedOn w:val="Normal"/>
    <w:link w:val="MainFootnoteChar"/>
    <w:qFormat/>
    <w:rsid w:val="00AB51FC"/>
    <w:rPr>
      <w:sz w:val="18"/>
    </w:rPr>
  </w:style>
  <w:style w:type="paragraph" w:styleId="FootnoteText">
    <w:name w:val="footnote text"/>
    <w:basedOn w:val="Normal"/>
    <w:link w:val="FootnoteTextChar"/>
    <w:uiPriority w:val="99"/>
    <w:semiHidden/>
    <w:unhideWhenUsed/>
    <w:rsid w:val="003010D2"/>
    <w:rPr>
      <w:sz w:val="20"/>
      <w:szCs w:val="20"/>
    </w:rPr>
  </w:style>
  <w:style w:type="character" w:customStyle="1" w:styleId="MainFootnoteChar">
    <w:name w:val="Main_Footnote Char"/>
    <w:basedOn w:val="DefaultParagraphFont"/>
    <w:link w:val="MainFootnote"/>
    <w:rsid w:val="00AB51FC"/>
    <w:rPr>
      <w:sz w:val="18"/>
      <w:lang w:val="et-EE"/>
    </w:rPr>
  </w:style>
  <w:style w:type="character" w:customStyle="1" w:styleId="FootnoteTextChar">
    <w:name w:val="Footnote Text Char"/>
    <w:basedOn w:val="DefaultParagraphFont"/>
    <w:link w:val="FootnoteText"/>
    <w:uiPriority w:val="99"/>
    <w:semiHidden/>
    <w:rsid w:val="003010D2"/>
    <w:rPr>
      <w:rFonts w:ascii="Atlas Grotesk" w:hAnsi="Atlas Grotesk"/>
      <w:sz w:val="20"/>
      <w:szCs w:val="20"/>
      <w:lang w:val="et-EE"/>
    </w:rPr>
  </w:style>
  <w:style w:type="character" w:styleId="FootnoteReference">
    <w:name w:val="footnote reference"/>
    <w:basedOn w:val="DefaultParagraphFont"/>
    <w:uiPriority w:val="99"/>
    <w:semiHidden/>
    <w:unhideWhenUsed/>
    <w:rsid w:val="003010D2"/>
    <w:rPr>
      <w:vertAlign w:val="superscript"/>
    </w:rPr>
  </w:style>
  <w:style w:type="character" w:customStyle="1" w:styleId="ImageChar">
    <w:name w:val="Image Char"/>
    <w:basedOn w:val="DefaultParagraphFont"/>
    <w:link w:val="Image"/>
    <w:rsid w:val="00AB51FC"/>
    <w:rPr>
      <w:rFonts w:cs="Publico Light"/>
      <w:color w:val="000000"/>
      <w:sz w:val="21"/>
      <w:szCs w:val="24"/>
    </w:rPr>
  </w:style>
  <w:style w:type="paragraph" w:customStyle="1" w:styleId="ChartTitleFull">
    <w:name w:val="Chart_Title_Full"/>
    <w:basedOn w:val="Normal"/>
    <w:link w:val="ChartTitleFullChar"/>
    <w:qFormat/>
    <w:rsid w:val="00AB51FC"/>
    <w:pPr>
      <w:pBdr>
        <w:bottom w:val="single" w:sz="4" w:space="5" w:color="5B027A"/>
      </w:pBdr>
      <w:spacing w:after="360"/>
    </w:pPr>
    <w:rPr>
      <w:color w:val="5B027A"/>
      <w:sz w:val="16"/>
    </w:rPr>
  </w:style>
  <w:style w:type="paragraph" w:customStyle="1" w:styleId="ChartTitleRight">
    <w:name w:val="Chart_Title_Right"/>
    <w:basedOn w:val="ChartTitleFull"/>
    <w:link w:val="ChartTitleRightChar"/>
    <w:qFormat/>
    <w:rsid w:val="00BB5F40"/>
  </w:style>
  <w:style w:type="character" w:customStyle="1" w:styleId="ChartTitleFullChar">
    <w:name w:val="Chart_Title_Full Char"/>
    <w:basedOn w:val="DefaultParagraphFont"/>
    <w:link w:val="ChartTitleFull"/>
    <w:rsid w:val="00AB51FC"/>
    <w:rPr>
      <w:color w:val="5B027A"/>
      <w:sz w:val="16"/>
      <w:lang w:val="et-EE"/>
    </w:rPr>
  </w:style>
  <w:style w:type="character" w:customStyle="1" w:styleId="ChartTitleRightChar">
    <w:name w:val="Chart_Title_Right Char"/>
    <w:basedOn w:val="ChartTitleFullChar"/>
    <w:link w:val="ChartTitleRight"/>
    <w:rsid w:val="00BB5F40"/>
    <w:rPr>
      <w:color w:val="5B027A"/>
      <w:sz w:val="16"/>
      <w:lang w:val="et-EE"/>
    </w:rPr>
  </w:style>
  <w:style w:type="character" w:customStyle="1" w:styleId="Heading5Char">
    <w:name w:val="Heading 5 Char"/>
    <w:basedOn w:val="DefaultParagraphFont"/>
    <w:link w:val="Heading5"/>
    <w:uiPriority w:val="9"/>
    <w:semiHidden/>
    <w:rsid w:val="00AB51FC"/>
    <w:rPr>
      <w:rFonts w:asciiTheme="majorHAnsi" w:eastAsiaTheme="majorEastAsia" w:hAnsiTheme="majorHAnsi" w:cstheme="majorBidi"/>
      <w:color w:val="3B0559" w:themeColor="accent1" w:themeShade="BF"/>
      <w:sz w:val="21"/>
      <w:lang w:val="et-EE"/>
    </w:rPr>
  </w:style>
  <w:style w:type="paragraph" w:customStyle="1" w:styleId="MainText">
    <w:name w:val="Main_Text"/>
    <w:basedOn w:val="Normal"/>
    <w:link w:val="MainTextChar"/>
    <w:qFormat/>
    <w:rsid w:val="00DD4A27"/>
    <w:pPr>
      <w:spacing w:line="300" w:lineRule="auto"/>
      <w:jc w:val="left"/>
    </w:pPr>
    <w:rPr>
      <w:sz w:val="20"/>
    </w:rPr>
  </w:style>
  <w:style w:type="character" w:customStyle="1" w:styleId="MainTextChar">
    <w:name w:val="Main_Text Char"/>
    <w:basedOn w:val="DefaultParagraphFont"/>
    <w:link w:val="MainText"/>
    <w:rsid w:val="00DD4A27"/>
    <w:rPr>
      <w:sz w:val="20"/>
      <w:lang w:val="et-EE"/>
    </w:rPr>
  </w:style>
  <w:style w:type="table" w:styleId="TableGrid">
    <w:name w:val="Table Grid"/>
    <w:basedOn w:val="TableNormal"/>
    <w:uiPriority w:val="39"/>
    <w:rsid w:val="008F5088"/>
    <w:pPr>
      <w:spacing w:before="60" w:after="6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D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E1"/>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ebov\Documents\Custom%20Office%20Templates\FI%20mallid\Raport_Long.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hlebov\Documents\My%20Documents\&#220;levaadete%20koostamine.%20Sektor\2017.%20IV%20kv\I&#220;\2017%20IV%20kv%20KJD%20kvartali&#252;levaade%20-%20investeerimis&#252;hignu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hlebov\Documents\My%20Documents\&#220;levaadete%20koostamine.%20Sektor\2017.%20IV%20kv\I&#220;\2017%20IV%20kv%20KJD%20kvartali&#252;levaade%20-%20investeerimis&#252;hignu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r>
              <a:rPr lang="et-EE" sz="1100" b="1"/>
              <a:t>Tururiskipositsioon, tuh eurot ja % omavahenditest</a:t>
            </a:r>
          </a:p>
        </c:rich>
      </c:tx>
      <c:layout>
        <c:manualLayout>
          <c:xMode val="edge"/>
          <c:yMode val="edge"/>
          <c:x val="0.23085186322074885"/>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endParaRPr lang="et-EE"/>
        </a:p>
      </c:txPr>
    </c:title>
    <c:autoTitleDeleted val="0"/>
    <c:plotArea>
      <c:layout>
        <c:manualLayout>
          <c:layoutTarget val="inner"/>
          <c:xMode val="edge"/>
          <c:yMode val="edge"/>
          <c:x val="0.1544226578310274"/>
          <c:y val="0.18147603645986474"/>
          <c:w val="0.68856177331335078"/>
          <c:h val="0.62441014338071021"/>
        </c:manualLayout>
      </c:layout>
      <c:areaChart>
        <c:grouping val="stacked"/>
        <c:varyColors val="0"/>
        <c:ser>
          <c:idx val="1"/>
          <c:order val="0"/>
          <c:tx>
            <c:strRef>
              <c:f>MKT!$C$24</c:f>
              <c:strCache>
                <c:ptCount val="1"/>
                <c:pt idx="0">
                  <c:v>Aktsiarisk</c:v>
                </c:pt>
              </c:strCache>
            </c:strRef>
          </c:tx>
          <c:spPr>
            <a:solidFill>
              <a:schemeClr val="accent2"/>
            </a:solidFill>
            <a:ln>
              <a:noFill/>
            </a:ln>
            <a:effectLst/>
          </c:spPr>
          <c:cat>
            <c:strRef>
              <c:f>MKT!$D$22:$L$22</c:f>
              <c:strCache>
                <c:ptCount val="9"/>
                <c:pt idx="0">
                  <c:v>IV 15</c:v>
                </c:pt>
                <c:pt idx="1">
                  <c:v>I 16</c:v>
                </c:pt>
                <c:pt idx="2">
                  <c:v>II 16</c:v>
                </c:pt>
                <c:pt idx="3">
                  <c:v>III 16</c:v>
                </c:pt>
                <c:pt idx="4">
                  <c:v>IV 16</c:v>
                </c:pt>
                <c:pt idx="5">
                  <c:v>I 17</c:v>
                </c:pt>
                <c:pt idx="6">
                  <c:v>II 17</c:v>
                </c:pt>
                <c:pt idx="7">
                  <c:v>III 17</c:v>
                </c:pt>
                <c:pt idx="8">
                  <c:v>IV 17</c:v>
                </c:pt>
              </c:strCache>
            </c:strRef>
          </c:cat>
          <c:val>
            <c:numRef>
              <c:f>MKT!$D$24:$L$24</c:f>
              <c:numCache>
                <c:formatCode>#,##0</c:formatCode>
                <c:ptCount val="9"/>
                <c:pt idx="0">
                  <c:v>0</c:v>
                </c:pt>
                <c:pt idx="1">
                  <c:v>6690.3220000000001</c:v>
                </c:pt>
                <c:pt idx="2">
                  <c:v>7997.2860000000001</c:v>
                </c:pt>
                <c:pt idx="3">
                  <c:v>12152.996999999999</c:v>
                </c:pt>
                <c:pt idx="4">
                  <c:v>10473.3446922489</c:v>
                </c:pt>
                <c:pt idx="5">
                  <c:v>15961.121593471</c:v>
                </c:pt>
                <c:pt idx="6">
                  <c:v>5648.9042177332794</c:v>
                </c:pt>
                <c:pt idx="7">
                  <c:v>24536.067414294801</c:v>
                </c:pt>
                <c:pt idx="8">
                  <c:v>5663.0851900000007</c:v>
                </c:pt>
              </c:numCache>
            </c:numRef>
          </c:val>
          <c:extLst>
            <c:ext xmlns:c16="http://schemas.microsoft.com/office/drawing/2014/chart" uri="{C3380CC4-5D6E-409C-BE32-E72D297353CC}">
              <c16:uniqueId val="{00000000-6B32-4CEB-8229-48DC09C40E5A}"/>
            </c:ext>
          </c:extLst>
        </c:ser>
        <c:ser>
          <c:idx val="2"/>
          <c:order val="1"/>
          <c:tx>
            <c:strRef>
              <c:f>MKT!$C$25</c:f>
              <c:strCache>
                <c:ptCount val="1"/>
                <c:pt idx="0">
                  <c:v>Valuutarisk</c:v>
                </c:pt>
              </c:strCache>
            </c:strRef>
          </c:tx>
          <c:spPr>
            <a:solidFill>
              <a:schemeClr val="accent3"/>
            </a:solidFill>
            <a:ln>
              <a:noFill/>
            </a:ln>
            <a:effectLst/>
          </c:spPr>
          <c:cat>
            <c:strRef>
              <c:f>MKT!$D$22:$L$22</c:f>
              <c:strCache>
                <c:ptCount val="9"/>
                <c:pt idx="0">
                  <c:v>IV 15</c:v>
                </c:pt>
                <c:pt idx="1">
                  <c:v>I 16</c:v>
                </c:pt>
                <c:pt idx="2">
                  <c:v>II 16</c:v>
                </c:pt>
                <c:pt idx="3">
                  <c:v>III 16</c:v>
                </c:pt>
                <c:pt idx="4">
                  <c:v>IV 16</c:v>
                </c:pt>
                <c:pt idx="5">
                  <c:v>I 17</c:v>
                </c:pt>
                <c:pt idx="6">
                  <c:v>II 17</c:v>
                </c:pt>
                <c:pt idx="7">
                  <c:v>III 17</c:v>
                </c:pt>
                <c:pt idx="8">
                  <c:v>IV 17</c:v>
                </c:pt>
              </c:strCache>
            </c:strRef>
          </c:cat>
          <c:val>
            <c:numRef>
              <c:f>MKT!$D$25:$L$25</c:f>
              <c:numCache>
                <c:formatCode>#,##0</c:formatCode>
                <c:ptCount val="9"/>
                <c:pt idx="0">
                  <c:v>52790.099499999997</c:v>
                </c:pt>
                <c:pt idx="1">
                  <c:v>52840.36</c:v>
                </c:pt>
                <c:pt idx="2">
                  <c:v>27491.92294</c:v>
                </c:pt>
                <c:pt idx="3">
                  <c:v>47669.320630000002</c:v>
                </c:pt>
                <c:pt idx="4">
                  <c:v>36484.55659</c:v>
                </c:pt>
                <c:pt idx="5">
                  <c:v>48708.645450762</c:v>
                </c:pt>
                <c:pt idx="6">
                  <c:v>50637.986095653599</c:v>
                </c:pt>
                <c:pt idx="7">
                  <c:v>31339.450789831299</c:v>
                </c:pt>
                <c:pt idx="8">
                  <c:v>48896.918346427097</c:v>
                </c:pt>
              </c:numCache>
            </c:numRef>
          </c:val>
          <c:extLst>
            <c:ext xmlns:c16="http://schemas.microsoft.com/office/drawing/2014/chart" uri="{C3380CC4-5D6E-409C-BE32-E72D297353CC}">
              <c16:uniqueId val="{00000001-6B32-4CEB-8229-48DC09C40E5A}"/>
            </c:ext>
          </c:extLst>
        </c:ser>
        <c:dLbls>
          <c:showLegendKey val="0"/>
          <c:showVal val="0"/>
          <c:showCatName val="0"/>
          <c:showSerName val="0"/>
          <c:showPercent val="0"/>
          <c:showBubbleSize val="0"/>
        </c:dLbls>
        <c:axId val="377041704"/>
        <c:axId val="377042096"/>
      </c:areaChart>
      <c:lineChart>
        <c:grouping val="standard"/>
        <c:varyColors val="0"/>
        <c:ser>
          <c:idx val="4"/>
          <c:order val="2"/>
          <c:tx>
            <c:strRef>
              <c:f>MKT!$C$27</c:f>
              <c:strCache>
                <c:ptCount val="1"/>
                <c:pt idx="0">
                  <c:v>% omavahenditest (p.s.)</c:v>
                </c:pt>
              </c:strCache>
            </c:strRef>
          </c:tx>
          <c:spPr>
            <a:ln w="19050" cap="rnd">
              <a:solidFill>
                <a:schemeClr val="tx2">
                  <a:lumMod val="60000"/>
                  <a:lumOff val="40000"/>
                </a:schemeClr>
              </a:solidFill>
              <a:round/>
            </a:ln>
            <a:effectLst/>
          </c:spPr>
          <c:marker>
            <c:symbol val="none"/>
          </c:marker>
          <c:cat>
            <c:strRef>
              <c:f>MKT!$D$22:$L$22</c:f>
              <c:strCache>
                <c:ptCount val="9"/>
                <c:pt idx="0">
                  <c:v>IV 15</c:v>
                </c:pt>
                <c:pt idx="1">
                  <c:v>I 16</c:v>
                </c:pt>
                <c:pt idx="2">
                  <c:v>II 16</c:v>
                </c:pt>
                <c:pt idx="3">
                  <c:v>III 16</c:v>
                </c:pt>
                <c:pt idx="4">
                  <c:v>IV 16</c:v>
                </c:pt>
                <c:pt idx="5">
                  <c:v>I 17</c:v>
                </c:pt>
                <c:pt idx="6">
                  <c:v>II 17</c:v>
                </c:pt>
                <c:pt idx="7">
                  <c:v>III 17</c:v>
                </c:pt>
                <c:pt idx="8">
                  <c:v>IV 17</c:v>
                </c:pt>
              </c:strCache>
            </c:strRef>
          </c:cat>
          <c:val>
            <c:numRef>
              <c:f>MKT!$D$27:$L$27</c:f>
              <c:numCache>
                <c:formatCode>0%</c:formatCode>
                <c:ptCount val="9"/>
                <c:pt idx="0">
                  <c:v>1.357955081075426</c:v>
                </c:pt>
                <c:pt idx="1">
                  <c:v>1.5646973626937679</c:v>
                </c:pt>
                <c:pt idx="2">
                  <c:v>0.93110633229399986</c:v>
                </c:pt>
                <c:pt idx="3">
                  <c:v>1.6479578328719628</c:v>
                </c:pt>
                <c:pt idx="4">
                  <c:v>1.3643664532375177</c:v>
                </c:pt>
                <c:pt idx="5">
                  <c:v>3.7572387575292656</c:v>
                </c:pt>
                <c:pt idx="6">
                  <c:v>1.4149631522639992</c:v>
                </c:pt>
                <c:pt idx="7">
                  <c:v>1.4207706433809952</c:v>
                </c:pt>
                <c:pt idx="8">
                  <c:v>1.2716209925166457</c:v>
                </c:pt>
              </c:numCache>
            </c:numRef>
          </c:val>
          <c:smooth val="0"/>
          <c:extLst>
            <c:ext xmlns:c16="http://schemas.microsoft.com/office/drawing/2014/chart" uri="{C3380CC4-5D6E-409C-BE32-E72D297353CC}">
              <c16:uniqueId val="{00000002-6B32-4CEB-8229-48DC09C40E5A}"/>
            </c:ext>
          </c:extLst>
        </c:ser>
        <c:dLbls>
          <c:showLegendKey val="0"/>
          <c:showVal val="0"/>
          <c:showCatName val="0"/>
          <c:showSerName val="0"/>
          <c:showPercent val="0"/>
          <c:showBubbleSize val="0"/>
        </c:dLbls>
        <c:marker val="1"/>
        <c:smooth val="0"/>
        <c:axId val="377042880"/>
        <c:axId val="377042488"/>
      </c:lineChart>
      <c:catAx>
        <c:axId val="377041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377042096"/>
        <c:crosses val="autoZero"/>
        <c:auto val="1"/>
        <c:lblAlgn val="ctr"/>
        <c:lblOffset val="100"/>
        <c:noMultiLvlLbl val="0"/>
      </c:catAx>
      <c:valAx>
        <c:axId val="377042096"/>
        <c:scaling>
          <c:orientation val="minMax"/>
        </c:scaling>
        <c:delete val="0"/>
        <c:axPos val="l"/>
        <c:majorGridlines>
          <c:spPr>
            <a:ln w="317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r>
                  <a:rPr lang="et-EE"/>
                  <a:t>tuh eurot</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377041704"/>
        <c:crosses val="autoZero"/>
        <c:crossBetween val="between"/>
      </c:valAx>
      <c:valAx>
        <c:axId val="377042488"/>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r>
                  <a:rPr lang="et-EE"/>
                  <a:t>% omavahenditest</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377042880"/>
        <c:crosses val="max"/>
        <c:crossBetween val="between"/>
      </c:valAx>
      <c:catAx>
        <c:axId val="377042880"/>
        <c:scaling>
          <c:orientation val="minMax"/>
        </c:scaling>
        <c:delete val="1"/>
        <c:axPos val="b"/>
        <c:numFmt formatCode="General" sourceLinked="1"/>
        <c:majorTickMark val="out"/>
        <c:minorTickMark val="none"/>
        <c:tickLblPos val="nextTo"/>
        <c:crossAx val="377042488"/>
        <c:crosses val="autoZero"/>
        <c:auto val="1"/>
        <c:lblAlgn val="ctr"/>
        <c:lblOffset val="100"/>
        <c:noMultiLvlLbl val="0"/>
      </c:catAx>
      <c:spPr>
        <a:noFill/>
        <a:ln>
          <a:noFill/>
        </a:ln>
        <a:effectLst/>
      </c:spPr>
    </c:plotArea>
    <c:legend>
      <c:legendPos val="b"/>
      <c:layout>
        <c:manualLayout>
          <c:xMode val="edge"/>
          <c:yMode val="edge"/>
          <c:x val="4.6472110372338588E-2"/>
          <c:y val="0.90786637556809369"/>
          <c:w val="0.89999986110397345"/>
          <c:h val="9.213362443190631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legend>
    <c:plotVisOnly val="1"/>
    <c:dispBlanksAs val="zero"/>
    <c:showDLblsOverMax val="0"/>
  </c:chart>
  <c:spPr>
    <a:solidFill>
      <a:schemeClr val="bg1"/>
    </a:solidFill>
    <a:ln w="9525" cap="flat" cmpd="sng" algn="ctr">
      <a:noFill/>
      <a:round/>
    </a:ln>
    <a:effectLst/>
  </c:spPr>
  <c:txPr>
    <a:bodyPr/>
    <a:lstStyle/>
    <a:p>
      <a:pPr>
        <a:defRPr sz="800">
          <a:solidFill>
            <a:schemeClr val="tx2"/>
          </a:solidFill>
          <a:latin typeface="+mn-lt"/>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r>
              <a:rPr lang="et-EE" sz="1100" b="1"/>
              <a:t>Investeerimisühingute tulud ja kasum, mln eurot</a:t>
            </a:r>
          </a:p>
        </c:rich>
      </c:tx>
      <c:layout>
        <c:manualLayout>
          <c:xMode val="edge"/>
          <c:yMode val="edge"/>
          <c:x val="0.11829246780737343"/>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endParaRPr lang="et-EE"/>
        </a:p>
      </c:txPr>
    </c:title>
    <c:autoTitleDeleted val="0"/>
    <c:plotArea>
      <c:layout>
        <c:manualLayout>
          <c:layoutTarget val="inner"/>
          <c:xMode val="edge"/>
          <c:yMode val="edge"/>
          <c:x val="0.11782661053415247"/>
          <c:y val="0.13222577164285942"/>
          <c:w val="0.76787473800736983"/>
          <c:h val="0.46547377642923538"/>
        </c:manualLayout>
      </c:layout>
      <c:barChart>
        <c:barDir val="col"/>
        <c:grouping val="stacked"/>
        <c:varyColors val="0"/>
        <c:ser>
          <c:idx val="0"/>
          <c:order val="0"/>
          <c:tx>
            <c:strRef>
              <c:f>Brutotulud!$A$21</c:f>
              <c:strCache>
                <c:ptCount val="1"/>
                <c:pt idx="0">
                  <c:v>Tasud v.p. valitsemiselt</c:v>
                </c:pt>
              </c:strCache>
            </c:strRef>
          </c:tx>
          <c:spPr>
            <a:solidFill>
              <a:schemeClr val="accent1"/>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Brutotulud!$B$21:$J$21</c:f>
              <c:numCache>
                <c:formatCode>#,##0.0</c:formatCode>
                <c:ptCount val="9"/>
                <c:pt idx="0">
                  <c:v>4.1503880000000004</c:v>
                </c:pt>
                <c:pt idx="1">
                  <c:v>0.33301799999999998</c:v>
                </c:pt>
                <c:pt idx="2">
                  <c:v>0.50309400000000004</c:v>
                </c:pt>
                <c:pt idx="3">
                  <c:v>0.46324300000000002</c:v>
                </c:pt>
                <c:pt idx="4">
                  <c:v>3.2139000000000001E-2</c:v>
                </c:pt>
                <c:pt idx="5">
                  <c:v>5.1658000000000003E-2</c:v>
                </c:pt>
                <c:pt idx="6">
                  <c:v>2.4893999999999999E-2</c:v>
                </c:pt>
                <c:pt idx="7">
                  <c:v>3.6364E-2</c:v>
                </c:pt>
                <c:pt idx="8">
                  <c:v>4.8523999999999998E-2</c:v>
                </c:pt>
              </c:numCache>
            </c:numRef>
          </c:val>
          <c:extLst>
            <c:ext xmlns:c16="http://schemas.microsoft.com/office/drawing/2014/chart" uri="{C3380CC4-5D6E-409C-BE32-E72D297353CC}">
              <c16:uniqueId val="{00000000-8FB3-4A1A-BB62-F5EB8EFE08D2}"/>
            </c:ext>
          </c:extLst>
        </c:ser>
        <c:ser>
          <c:idx val="1"/>
          <c:order val="1"/>
          <c:tx>
            <c:strRef>
              <c:f>Brutotulud!$A$22</c:f>
              <c:strCache>
                <c:ptCount val="1"/>
                <c:pt idx="0">
                  <c:v>Tasud v.p. tehingutelt</c:v>
                </c:pt>
              </c:strCache>
            </c:strRef>
          </c:tx>
          <c:spPr>
            <a:solidFill>
              <a:schemeClr val="accent2"/>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Brutotulud!$B$22:$J$22</c:f>
              <c:numCache>
                <c:formatCode>#,##0.0</c:formatCode>
                <c:ptCount val="9"/>
                <c:pt idx="0">
                  <c:v>3.649902</c:v>
                </c:pt>
                <c:pt idx="1">
                  <c:v>3.2096360000000002</c:v>
                </c:pt>
                <c:pt idx="2">
                  <c:v>4.3966070000000004</c:v>
                </c:pt>
                <c:pt idx="3">
                  <c:v>4.2150080000000001</c:v>
                </c:pt>
                <c:pt idx="4">
                  <c:v>3.5920510000000001</c:v>
                </c:pt>
                <c:pt idx="5">
                  <c:v>3.1638489999999999</c:v>
                </c:pt>
                <c:pt idx="6">
                  <c:v>2.0312399999999999</c:v>
                </c:pt>
                <c:pt idx="7">
                  <c:v>3.1401500000000002</c:v>
                </c:pt>
                <c:pt idx="8">
                  <c:v>4.2690630000000001</c:v>
                </c:pt>
              </c:numCache>
            </c:numRef>
          </c:val>
          <c:extLst>
            <c:ext xmlns:c16="http://schemas.microsoft.com/office/drawing/2014/chart" uri="{C3380CC4-5D6E-409C-BE32-E72D297353CC}">
              <c16:uniqueId val="{00000001-8FB3-4A1A-BB62-F5EB8EFE08D2}"/>
            </c:ext>
          </c:extLst>
        </c:ser>
        <c:ser>
          <c:idx val="2"/>
          <c:order val="2"/>
          <c:tx>
            <c:strRef>
              <c:f>Brutotulud!$A$23</c:f>
              <c:strCache>
                <c:ptCount val="1"/>
                <c:pt idx="0">
                  <c:v>Tasud nõustamiselt</c:v>
                </c:pt>
              </c:strCache>
            </c:strRef>
          </c:tx>
          <c:spPr>
            <a:solidFill>
              <a:schemeClr val="accent3"/>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Brutotulud!$B$23:$J$23</c:f>
              <c:numCache>
                <c:formatCode>#,##0.0</c:formatCode>
                <c:ptCount val="9"/>
                <c:pt idx="0">
                  <c:v>2.101728</c:v>
                </c:pt>
                <c:pt idx="1">
                  <c:v>4.2500000000000003E-2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2-8FB3-4A1A-BB62-F5EB8EFE08D2}"/>
            </c:ext>
          </c:extLst>
        </c:ser>
        <c:ser>
          <c:idx val="3"/>
          <c:order val="3"/>
          <c:tx>
            <c:strRef>
              <c:f>Brutotulud!$A$24</c:f>
              <c:strCache>
                <c:ptCount val="1"/>
                <c:pt idx="0">
                  <c:v>Tasud muudelt inv. teenustelt</c:v>
                </c:pt>
              </c:strCache>
            </c:strRef>
          </c:tx>
          <c:spPr>
            <a:solidFill>
              <a:schemeClr val="accent4">
                <a:lumMod val="40000"/>
                <a:lumOff val="60000"/>
              </a:schemeClr>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Brutotulud!$B$24:$J$24</c:f>
              <c:numCache>
                <c:formatCode>#,##0.0</c:formatCode>
                <c:ptCount val="9"/>
                <c:pt idx="0">
                  <c:v>12.770592000000001</c:v>
                </c:pt>
                <c:pt idx="1">
                  <c:v>15.052794</c:v>
                </c:pt>
                <c:pt idx="2">
                  <c:v>16.264258000000002</c:v>
                </c:pt>
                <c:pt idx="3">
                  <c:v>14.976070999999999</c:v>
                </c:pt>
                <c:pt idx="4">
                  <c:v>39.835054999999997</c:v>
                </c:pt>
                <c:pt idx="5">
                  <c:v>30.240469000000001</c:v>
                </c:pt>
                <c:pt idx="6">
                  <c:v>16.646262</c:v>
                </c:pt>
                <c:pt idx="7">
                  <c:v>8.5000000000000006E-2</c:v>
                </c:pt>
                <c:pt idx="8">
                  <c:v>9.5000000000000001E-2</c:v>
                </c:pt>
              </c:numCache>
            </c:numRef>
          </c:val>
          <c:extLst>
            <c:ext xmlns:c16="http://schemas.microsoft.com/office/drawing/2014/chart" uri="{C3380CC4-5D6E-409C-BE32-E72D297353CC}">
              <c16:uniqueId val="{00000003-8FB3-4A1A-BB62-F5EB8EFE08D2}"/>
            </c:ext>
          </c:extLst>
        </c:ser>
        <c:ser>
          <c:idx val="4"/>
          <c:order val="4"/>
          <c:tx>
            <c:strRef>
              <c:f>Brutotulud!$A$25</c:f>
              <c:strCache>
                <c:ptCount val="1"/>
                <c:pt idx="0">
                  <c:v>Muu teenustasutulu</c:v>
                </c:pt>
              </c:strCache>
            </c:strRef>
          </c:tx>
          <c:spPr>
            <a:solidFill>
              <a:schemeClr val="accent5"/>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Brutotulud!$B$25:$J$25</c:f>
              <c:numCache>
                <c:formatCode>#,##0.0</c:formatCode>
                <c:ptCount val="9"/>
                <c:pt idx="0">
                  <c:v>4.2053E-2</c:v>
                </c:pt>
                <c:pt idx="1">
                  <c:v>4.7900999999999999E-2</c:v>
                </c:pt>
                <c:pt idx="2">
                  <c:v>1.464002</c:v>
                </c:pt>
                <c:pt idx="3">
                  <c:v>9.4488000000000003E-2</c:v>
                </c:pt>
                <c:pt idx="4">
                  <c:v>0.109986</c:v>
                </c:pt>
                <c:pt idx="5">
                  <c:v>4.9623E-2</c:v>
                </c:pt>
                <c:pt idx="6">
                  <c:v>1.8924E-2</c:v>
                </c:pt>
                <c:pt idx="7">
                  <c:v>6.4984E-2</c:v>
                </c:pt>
                <c:pt idx="8">
                  <c:v>0.13530900000000001</c:v>
                </c:pt>
              </c:numCache>
            </c:numRef>
          </c:val>
          <c:extLst>
            <c:ext xmlns:c16="http://schemas.microsoft.com/office/drawing/2014/chart" uri="{C3380CC4-5D6E-409C-BE32-E72D297353CC}">
              <c16:uniqueId val="{00000004-8FB3-4A1A-BB62-F5EB8EFE08D2}"/>
            </c:ext>
          </c:extLst>
        </c:ser>
        <c:ser>
          <c:idx val="5"/>
          <c:order val="5"/>
          <c:tx>
            <c:strRef>
              <c:f>Brutotulud!$A$26</c:f>
              <c:strCache>
                <c:ptCount val="1"/>
                <c:pt idx="0">
                  <c:v>Intressitulu</c:v>
                </c:pt>
              </c:strCache>
            </c:strRef>
          </c:tx>
          <c:spPr>
            <a:solidFill>
              <a:schemeClr val="accent6"/>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Brutotulud!$B$26:$J$26</c:f>
              <c:numCache>
                <c:formatCode>#,##0.0</c:formatCode>
                <c:ptCount val="9"/>
                <c:pt idx="0">
                  <c:v>6.3572689999999996</c:v>
                </c:pt>
                <c:pt idx="1">
                  <c:v>6.8511740000000003</c:v>
                </c:pt>
                <c:pt idx="2">
                  <c:v>10.277265</c:v>
                </c:pt>
                <c:pt idx="3">
                  <c:v>9.5414460000000005</c:v>
                </c:pt>
                <c:pt idx="4">
                  <c:v>2.575529</c:v>
                </c:pt>
                <c:pt idx="5">
                  <c:v>2.5769139999999999</c:v>
                </c:pt>
                <c:pt idx="6">
                  <c:v>1.794314</c:v>
                </c:pt>
                <c:pt idx="7">
                  <c:v>2.6046860000000001</c:v>
                </c:pt>
                <c:pt idx="8">
                  <c:v>3.2725499999999998</c:v>
                </c:pt>
              </c:numCache>
            </c:numRef>
          </c:val>
          <c:extLst>
            <c:ext xmlns:c16="http://schemas.microsoft.com/office/drawing/2014/chart" uri="{C3380CC4-5D6E-409C-BE32-E72D297353CC}">
              <c16:uniqueId val="{00000005-8FB3-4A1A-BB62-F5EB8EFE08D2}"/>
            </c:ext>
          </c:extLst>
        </c:ser>
        <c:ser>
          <c:idx val="6"/>
          <c:order val="6"/>
          <c:tx>
            <c:strRef>
              <c:f>Brutotulud!$A$27</c:f>
              <c:strCache>
                <c:ptCount val="1"/>
                <c:pt idx="0">
                  <c:v>Tulu kauplemisportfellilt</c:v>
                </c:pt>
              </c:strCache>
            </c:strRef>
          </c:tx>
          <c:spPr>
            <a:solidFill>
              <a:schemeClr val="accent4"/>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Brutotulud!$B$27:$J$27</c:f>
              <c:numCache>
                <c:formatCode>#,##0.0</c:formatCode>
                <c:ptCount val="9"/>
                <c:pt idx="0">
                  <c:v>4.9709999999999997E-3</c:v>
                </c:pt>
                <c:pt idx="1">
                  <c:v>0.121923</c:v>
                </c:pt>
                <c:pt idx="2">
                  <c:v>0</c:v>
                </c:pt>
                <c:pt idx="3">
                  <c:v>0</c:v>
                </c:pt>
                <c:pt idx="4">
                  <c:v>1.6674999999999999E-2</c:v>
                </c:pt>
                <c:pt idx="5">
                  <c:v>0</c:v>
                </c:pt>
                <c:pt idx="6">
                  <c:v>0</c:v>
                </c:pt>
                <c:pt idx="7">
                  <c:v>20.849208000000001</c:v>
                </c:pt>
                <c:pt idx="8">
                  <c:v>27.88841</c:v>
                </c:pt>
              </c:numCache>
            </c:numRef>
          </c:val>
          <c:extLst>
            <c:ext xmlns:c16="http://schemas.microsoft.com/office/drawing/2014/chart" uri="{C3380CC4-5D6E-409C-BE32-E72D297353CC}">
              <c16:uniqueId val="{00000006-8FB3-4A1A-BB62-F5EB8EFE08D2}"/>
            </c:ext>
          </c:extLst>
        </c:ser>
        <c:ser>
          <c:idx val="7"/>
          <c:order val="7"/>
          <c:tx>
            <c:strRef>
              <c:f>Brutotulud!$A$28</c:f>
              <c:strCache>
                <c:ptCount val="1"/>
                <c:pt idx="0">
                  <c:v>Muud tulud</c:v>
                </c:pt>
              </c:strCache>
            </c:strRef>
          </c:tx>
          <c:spPr>
            <a:solidFill>
              <a:schemeClr val="accent2">
                <a:lumMod val="60000"/>
              </a:schemeClr>
            </a:solidFill>
            <a:ln>
              <a:noFill/>
            </a:ln>
            <a:effectLst/>
          </c:spPr>
          <c:invertIfNegative val="0"/>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Brutotulud!$B$28:$J$28</c:f>
              <c:numCache>
                <c:formatCode>#,##0.0</c:formatCode>
                <c:ptCount val="9"/>
                <c:pt idx="0">
                  <c:v>1.1337630000000019</c:v>
                </c:pt>
                <c:pt idx="1">
                  <c:v>0.27939800000000048</c:v>
                </c:pt>
                <c:pt idx="2">
                  <c:v>1.9928760000000025</c:v>
                </c:pt>
                <c:pt idx="3">
                  <c:v>3.4475750000000005</c:v>
                </c:pt>
                <c:pt idx="4">
                  <c:v>1.1882680000000008</c:v>
                </c:pt>
                <c:pt idx="5">
                  <c:v>1.2941530000000014</c:v>
                </c:pt>
                <c:pt idx="6">
                  <c:v>0.22911000000000215</c:v>
                </c:pt>
                <c:pt idx="7">
                  <c:v>0.2875709999999998</c:v>
                </c:pt>
                <c:pt idx="8">
                  <c:v>0.61342100000000244</c:v>
                </c:pt>
              </c:numCache>
            </c:numRef>
          </c:val>
          <c:extLst>
            <c:ext xmlns:c16="http://schemas.microsoft.com/office/drawing/2014/chart" uri="{C3380CC4-5D6E-409C-BE32-E72D297353CC}">
              <c16:uniqueId val="{00000007-8FB3-4A1A-BB62-F5EB8EFE08D2}"/>
            </c:ext>
          </c:extLst>
        </c:ser>
        <c:dLbls>
          <c:showLegendKey val="0"/>
          <c:showVal val="0"/>
          <c:showCatName val="0"/>
          <c:showSerName val="0"/>
          <c:showPercent val="0"/>
          <c:showBubbleSize val="0"/>
        </c:dLbls>
        <c:gapWidth val="150"/>
        <c:overlap val="100"/>
        <c:axId val="408853040"/>
        <c:axId val="331520104"/>
      </c:barChart>
      <c:lineChart>
        <c:grouping val="standard"/>
        <c:varyColors val="0"/>
        <c:ser>
          <c:idx val="8"/>
          <c:order val="8"/>
          <c:tx>
            <c:strRef>
              <c:f>Brutotulud!$A$29</c:f>
              <c:strCache>
                <c:ptCount val="1"/>
                <c:pt idx="0">
                  <c:v>Puhaskasum (p.s)</c:v>
                </c:pt>
              </c:strCache>
            </c:strRef>
          </c:tx>
          <c:spPr>
            <a:ln w="15875" cap="rnd">
              <a:solidFill>
                <a:schemeClr val="accent3">
                  <a:lumMod val="60000"/>
                </a:schemeClr>
              </a:solidFill>
              <a:round/>
            </a:ln>
            <a:effectLst/>
          </c:spPr>
          <c:marker>
            <c:symbol val="none"/>
          </c:marker>
          <c:cat>
            <c:strRef>
              <c:f>Brutotulud!$B$20:$J$20</c:f>
              <c:strCache>
                <c:ptCount val="9"/>
                <c:pt idx="0">
                  <c:v>2011</c:v>
                </c:pt>
                <c:pt idx="1">
                  <c:v>2012</c:v>
                </c:pt>
                <c:pt idx="2">
                  <c:v>2013</c:v>
                </c:pt>
                <c:pt idx="3">
                  <c:v>2014</c:v>
                </c:pt>
                <c:pt idx="4">
                  <c:v>2015</c:v>
                </c:pt>
                <c:pt idx="5">
                  <c:v>2016</c:v>
                </c:pt>
                <c:pt idx="6">
                  <c:v>2017 6k</c:v>
                </c:pt>
                <c:pt idx="7">
                  <c:v>2017 9k</c:v>
                </c:pt>
                <c:pt idx="8">
                  <c:v>2017</c:v>
                </c:pt>
              </c:strCache>
            </c:strRef>
          </c:cat>
          <c:val>
            <c:numRef>
              <c:f>Brutotulud!$B$29:$J$29</c:f>
              <c:numCache>
                <c:formatCode>#,##0.0</c:formatCode>
                <c:ptCount val="9"/>
                <c:pt idx="0">
                  <c:v>5.8686990000000003</c:v>
                </c:pt>
                <c:pt idx="1">
                  <c:v>5.9356780000000002</c:v>
                </c:pt>
                <c:pt idx="2">
                  <c:v>8.6744450000000004</c:v>
                </c:pt>
                <c:pt idx="3">
                  <c:v>5.4810879999999997</c:v>
                </c:pt>
                <c:pt idx="4">
                  <c:v>1.3893740000000001</c:v>
                </c:pt>
                <c:pt idx="5">
                  <c:v>6.2456420000000001</c:v>
                </c:pt>
                <c:pt idx="6">
                  <c:v>2.3782800000000002</c:v>
                </c:pt>
                <c:pt idx="7">
                  <c:v>5.4244789999999998</c:v>
                </c:pt>
                <c:pt idx="8">
                  <c:v>6.1089190000000002</c:v>
                </c:pt>
              </c:numCache>
            </c:numRef>
          </c:val>
          <c:smooth val="0"/>
          <c:extLst>
            <c:ext xmlns:c16="http://schemas.microsoft.com/office/drawing/2014/chart" uri="{C3380CC4-5D6E-409C-BE32-E72D297353CC}">
              <c16:uniqueId val="{00000008-8FB3-4A1A-BB62-F5EB8EFE08D2}"/>
            </c:ext>
          </c:extLst>
        </c:ser>
        <c:dLbls>
          <c:showLegendKey val="0"/>
          <c:showVal val="0"/>
          <c:showCatName val="0"/>
          <c:showSerName val="0"/>
          <c:showPercent val="0"/>
          <c:showBubbleSize val="0"/>
        </c:dLbls>
        <c:marker val="1"/>
        <c:smooth val="0"/>
        <c:axId val="377040920"/>
        <c:axId val="331520496"/>
      </c:lineChart>
      <c:catAx>
        <c:axId val="40885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331520104"/>
        <c:crosses val="autoZero"/>
        <c:auto val="1"/>
        <c:lblAlgn val="ctr"/>
        <c:lblOffset val="100"/>
        <c:noMultiLvlLbl val="0"/>
      </c:catAx>
      <c:valAx>
        <c:axId val="331520104"/>
        <c:scaling>
          <c:orientation val="minMax"/>
        </c:scaling>
        <c:delete val="0"/>
        <c:axPos val="l"/>
        <c:majorGridlines>
          <c:spPr>
            <a:ln w="317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r>
                  <a:rPr lang="et-EE"/>
                  <a:t>Brutotulud, mln eurot</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408853040"/>
        <c:crosses val="autoZero"/>
        <c:crossBetween val="between"/>
      </c:valAx>
      <c:valAx>
        <c:axId val="331520496"/>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r>
                  <a:rPr lang="et-EE"/>
                  <a:t>Puhaskasum, mln eurot</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crossAx val="377040920"/>
        <c:crosses val="max"/>
        <c:crossBetween val="between"/>
      </c:valAx>
      <c:catAx>
        <c:axId val="377040920"/>
        <c:scaling>
          <c:orientation val="minMax"/>
        </c:scaling>
        <c:delete val="1"/>
        <c:axPos val="b"/>
        <c:numFmt formatCode="General" sourceLinked="1"/>
        <c:majorTickMark val="out"/>
        <c:minorTickMark val="none"/>
        <c:tickLblPos val="nextTo"/>
        <c:crossAx val="331520496"/>
        <c:crosses val="autoZero"/>
        <c:auto val="1"/>
        <c:lblAlgn val="ctr"/>
        <c:lblOffset val="100"/>
        <c:noMultiLvlLbl val="0"/>
      </c:catAx>
      <c:spPr>
        <a:noFill/>
        <a:ln>
          <a:noFill/>
        </a:ln>
        <a:effectLst/>
      </c:spPr>
    </c:plotArea>
    <c:legend>
      <c:legendPos val="b"/>
      <c:layout>
        <c:manualLayout>
          <c:xMode val="edge"/>
          <c:yMode val="edge"/>
          <c:x val="2.1841400183064963E-2"/>
          <c:y val="0.7121661556213208"/>
          <c:w val="0.97815863133387371"/>
          <c:h val="0.2833671008400747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t-EE"/>
        </a:p>
      </c:txPr>
    </c:legend>
    <c:plotVisOnly val="1"/>
    <c:dispBlanksAs val="gap"/>
    <c:showDLblsOverMax val="0"/>
  </c:chart>
  <c:spPr>
    <a:solidFill>
      <a:schemeClr val="bg1"/>
    </a:solidFill>
    <a:ln w="9525" cap="flat" cmpd="sng" algn="ctr">
      <a:noFill/>
      <a:round/>
    </a:ln>
    <a:effectLst/>
  </c:spPr>
  <c:txPr>
    <a:bodyPr/>
    <a:lstStyle/>
    <a:p>
      <a:pPr>
        <a:defRPr sz="800">
          <a:solidFill>
            <a:schemeClr val="tx2"/>
          </a:solidFill>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500778"/>
      </a:dk1>
      <a:lt1>
        <a:sysClr val="window" lastClr="FFFFFF"/>
      </a:lt1>
      <a:dk2>
        <a:srgbClr val="500778"/>
      </a:dk2>
      <a:lt2>
        <a:srgbClr val="FFFFFF"/>
      </a:lt2>
      <a:accent1>
        <a:srgbClr val="500778"/>
      </a:accent1>
      <a:accent2>
        <a:srgbClr val="00BB4A"/>
      </a:accent2>
      <a:accent3>
        <a:srgbClr val="FA5C1D"/>
      </a:accent3>
      <a:accent4>
        <a:srgbClr val="0037F5"/>
      </a:accent4>
      <a:accent5>
        <a:srgbClr val="C66EF6"/>
      </a:accent5>
      <a:accent6>
        <a:srgbClr val="500778"/>
      </a:accent6>
      <a:hlink>
        <a:srgbClr val="500778"/>
      </a:hlink>
      <a:folHlink>
        <a:srgbClr val="500778"/>
      </a:folHlink>
    </a:clrScheme>
    <a:fontScheme name="FI_Georgia+CalibriLight">
      <a:majorFont>
        <a:latin typeface="Georgia"/>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AC76-996A-4B00-B176-2763D206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Raport_Long</Template>
  <TotalTime>20</TotalTime>
  <Pages>2</Pages>
  <Words>217</Words>
  <Characters>1814</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Hlebov</dc:creator>
  <cp:keywords/>
  <dc:description/>
  <cp:lastModifiedBy>Piret Lakson</cp:lastModifiedBy>
  <cp:revision>5</cp:revision>
  <cp:lastPrinted>2018-04-26T10:26:00Z</cp:lastPrinted>
  <dcterms:created xsi:type="dcterms:W3CDTF">2018-04-26T10:08:00Z</dcterms:created>
  <dcterms:modified xsi:type="dcterms:W3CDTF">2018-05-09T13:27:00Z</dcterms:modified>
</cp:coreProperties>
</file>