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B6C68" w14:textId="77777777" w:rsidR="00056BAC" w:rsidRPr="00056BAC" w:rsidRDefault="00715D52" w:rsidP="00056BAC">
      <w:pPr>
        <w:pStyle w:val="Heading1"/>
        <w:rPr>
          <w:rFonts w:ascii="Atlas Grotesk Light" w:hAnsi="Atlas Grotesk Light"/>
        </w:rPr>
      </w:pPr>
      <w:bookmarkStart w:id="0" w:name="_Toc485395535"/>
      <w:bookmarkStart w:id="1" w:name="_Toc497464174"/>
      <w:bookmarkStart w:id="2" w:name="_Toc497464408"/>
      <w:r>
        <w:t xml:space="preserve">Investeerimisühingute sektori II </w:t>
      </w:r>
      <w:bookmarkEnd w:id="0"/>
      <w:bookmarkEnd w:id="1"/>
      <w:bookmarkEnd w:id="2"/>
      <w:r>
        <w:t>kvartali ülevaade</w:t>
      </w:r>
    </w:p>
    <w:p w14:paraId="326A82DC" w14:textId="77777777" w:rsidR="00AE6CA3" w:rsidRPr="001B5B35" w:rsidRDefault="00AE6CA3" w:rsidP="00AE6CA3">
      <w:pPr>
        <w:jc w:val="both"/>
      </w:pPr>
      <w:r w:rsidRPr="001B5B35">
        <w:tab/>
      </w:r>
      <w:r w:rsidRPr="001B5B35">
        <w:tab/>
      </w:r>
      <w:r w:rsidRPr="001B5B35">
        <w:tab/>
      </w:r>
      <w:r w:rsidRPr="001B5B35">
        <w:tab/>
      </w:r>
      <w:r w:rsidRPr="001B5B35">
        <w:tab/>
      </w:r>
      <w:r w:rsidRPr="001B5B35">
        <w:tab/>
      </w:r>
      <w:r w:rsidRPr="001B5B35">
        <w:rPr>
          <w:color w:val="500778"/>
        </w:rPr>
        <w:t>I kv 2017</w:t>
      </w:r>
      <w:r w:rsidRPr="001B5B35">
        <w:rPr>
          <w:color w:val="500778"/>
        </w:rPr>
        <w:tab/>
        <w:t>II kv 2017</w:t>
      </w:r>
      <w:r w:rsidRPr="001B5B35">
        <w:rPr>
          <w:color w:val="500778"/>
        </w:rPr>
        <w:tab/>
      </w:r>
    </w:p>
    <w:p w14:paraId="3B2B0ACA" w14:textId="77777777" w:rsidR="00AE6CA3" w:rsidRPr="001B5B35" w:rsidRDefault="00AE6CA3" w:rsidP="00AE6CA3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1B5B35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F1FED" wp14:editId="73A8BB75">
                <wp:simplePos x="0" y="0"/>
                <wp:positionH relativeFrom="column">
                  <wp:posOffset>3566272</wp:posOffset>
                </wp:positionH>
                <wp:positionV relativeFrom="paragraph">
                  <wp:posOffset>19050</wp:posOffset>
                </wp:positionV>
                <wp:extent cx="0" cy="123825"/>
                <wp:effectExtent l="76200" t="38100" r="57150" b="95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00778"/>
                          </a:solidFill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8C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80.8pt;margin-top:1.5pt;width:0;height:9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" strokecolor="#500778" strokeweight=".5pt">
                <v:stroke endarrow="open" endarrowlength="short" joinstyle="miter"/>
              </v:shape>
            </w:pict>
          </mc:Fallback>
        </mc:AlternateContent>
      </w:r>
      <w:r w:rsidRPr="001B5B35">
        <w:t>Klientide varade maht</w:t>
      </w:r>
      <w:r w:rsidRPr="001B5B35">
        <w:tab/>
      </w:r>
      <w:r w:rsidRPr="001B5B35">
        <w:tab/>
      </w:r>
      <w:r w:rsidRPr="001B5B35">
        <w:tab/>
      </w:r>
      <w:r w:rsidRPr="001B5B35">
        <w:tab/>
        <w:t>0,9</w:t>
      </w:r>
      <w:r w:rsidRPr="001B5B35">
        <w:tab/>
      </w:r>
      <w:r w:rsidRPr="001B5B35">
        <w:tab/>
        <w:t>1,0 mld eurot</w:t>
      </w:r>
      <w:r w:rsidRPr="001B5B35">
        <w:tab/>
      </w:r>
    </w:p>
    <w:p w14:paraId="7D49AB31" w14:textId="77777777" w:rsidR="00AE6CA3" w:rsidRPr="001B5B35" w:rsidRDefault="00AE6CA3" w:rsidP="00AE6CA3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1B5B35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C7B14" wp14:editId="647A869B">
                <wp:simplePos x="0" y="0"/>
                <wp:positionH relativeFrom="column">
                  <wp:posOffset>3567884</wp:posOffset>
                </wp:positionH>
                <wp:positionV relativeFrom="paragraph">
                  <wp:posOffset>29210</wp:posOffset>
                </wp:positionV>
                <wp:extent cx="0" cy="124358"/>
                <wp:effectExtent l="76200" t="0" r="7620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58"/>
                        </a:xfrm>
                        <a:prstGeom prst="straightConnector1">
                          <a:avLst/>
                        </a:prstGeom>
                        <a:ln w="0">
                          <a:solidFill>
                            <a:srgbClr val="500778">
                              <a:alpha val="75000"/>
                            </a:srgbClr>
                          </a:solidFill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25DDD" id="Straight Arrow Connector 3" o:spid="_x0000_s1026" type="#_x0000_t32" style="position:absolute;margin-left:280.95pt;margin-top:2.3pt;width:0;height: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" strokecolor="#500778" strokeweight="0">
                <v:stroke endarrow="open" endarrowlength="short" opacity="49087f" joinstyle="miter"/>
              </v:shape>
            </w:pict>
          </mc:Fallback>
        </mc:AlternateContent>
      </w:r>
      <w:r w:rsidRPr="001B5B35">
        <w:t>Investeerimisühingute varade maht</w:t>
      </w:r>
      <w:r w:rsidRPr="001B5B35">
        <w:tab/>
      </w:r>
      <w:r w:rsidRPr="001B5B35">
        <w:tab/>
        <w:t>49</w:t>
      </w:r>
      <w:r w:rsidRPr="001B5B35">
        <w:tab/>
      </w:r>
      <w:r w:rsidRPr="001B5B35">
        <w:tab/>
        <w:t>46 mln eurot</w:t>
      </w:r>
      <w:r w:rsidRPr="001B5B35">
        <w:tab/>
      </w:r>
    </w:p>
    <w:p w14:paraId="0E395F67" w14:textId="47C873AE" w:rsidR="00AE6CA3" w:rsidRPr="001B5B35" w:rsidRDefault="00AE6CA3" w:rsidP="00AE6CA3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1B5B35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AC811" wp14:editId="262A1343">
                <wp:simplePos x="0" y="0"/>
                <wp:positionH relativeFrom="column">
                  <wp:posOffset>3568065</wp:posOffset>
                </wp:positionH>
                <wp:positionV relativeFrom="paragraph">
                  <wp:posOffset>26517</wp:posOffset>
                </wp:positionV>
                <wp:extent cx="0" cy="124358"/>
                <wp:effectExtent l="76200" t="0" r="762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58"/>
                        </a:xfrm>
                        <a:prstGeom prst="straightConnector1">
                          <a:avLst/>
                        </a:prstGeom>
                        <a:ln w="0">
                          <a:solidFill>
                            <a:srgbClr val="500778">
                              <a:alpha val="75000"/>
                            </a:srgbClr>
                          </a:solidFill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603F3" id="Straight Arrow Connector 2" o:spid="_x0000_s1026" type="#_x0000_t32" style="position:absolute;margin-left:280.95pt;margin-top:2.1pt;width:0;height: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" strokecolor="#500778" strokeweight="0">
                <v:stroke endarrow="open" endarrowlength="short" opacity="49087f" joinstyle="miter"/>
              </v:shape>
            </w:pict>
          </mc:Fallback>
        </mc:AlternateContent>
      </w:r>
      <w:r w:rsidRPr="001B5B35">
        <w:t>Likviidsuskattekordaja</w:t>
      </w:r>
      <w:r w:rsidRPr="001B5B35">
        <w:tab/>
      </w:r>
      <w:r w:rsidRPr="001B5B35">
        <w:tab/>
      </w:r>
      <w:r w:rsidRPr="001B5B35">
        <w:tab/>
      </w:r>
      <w:r w:rsidR="00124A72">
        <w:tab/>
      </w:r>
      <w:r w:rsidRPr="001B5B35">
        <w:t>149%</w:t>
      </w:r>
      <w:r w:rsidRPr="001B5B35">
        <w:tab/>
      </w:r>
      <w:r w:rsidRPr="001B5B35">
        <w:tab/>
        <w:t>141%</w:t>
      </w:r>
      <w:r w:rsidRPr="001B5B35">
        <w:tab/>
      </w:r>
      <w:r w:rsidRPr="001B5B35">
        <w:tab/>
      </w:r>
    </w:p>
    <w:p w14:paraId="4A0DBBC6" w14:textId="77777777" w:rsidR="00AE6CA3" w:rsidRPr="001B5B35" w:rsidRDefault="00AE6CA3" w:rsidP="00AE6CA3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1B5B35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1B813" wp14:editId="096F765D">
                <wp:simplePos x="0" y="0"/>
                <wp:positionH relativeFrom="column">
                  <wp:posOffset>3571708</wp:posOffset>
                </wp:positionH>
                <wp:positionV relativeFrom="paragraph">
                  <wp:posOffset>33655</wp:posOffset>
                </wp:positionV>
                <wp:extent cx="0" cy="123825"/>
                <wp:effectExtent l="76200" t="38100" r="57150" b="95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00778"/>
                          </a:solidFill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4A074" id="Straight Arrow Connector 6" o:spid="_x0000_s1026" type="#_x0000_t32" style="position:absolute;margin-left:281.25pt;margin-top:2.65pt;width:0;height:9.7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" strokecolor="#500778" strokeweight=".5pt">
                <v:stroke endarrow="open" endarrowlength="short" joinstyle="miter"/>
              </v:shape>
            </w:pict>
          </mc:Fallback>
        </mc:AlternateContent>
      </w:r>
      <w:r w:rsidRPr="001B5B35">
        <w:t>Kasum/kahjum</w:t>
      </w:r>
      <w:r w:rsidRPr="001B5B35">
        <w:tab/>
      </w:r>
      <w:r w:rsidRPr="001B5B35">
        <w:tab/>
      </w:r>
      <w:r w:rsidRPr="001B5B35">
        <w:tab/>
      </w:r>
      <w:r w:rsidRPr="001B5B35">
        <w:tab/>
        <w:t>1,17</w:t>
      </w:r>
      <w:r w:rsidRPr="001B5B35">
        <w:tab/>
      </w:r>
      <w:r w:rsidRPr="001B5B35">
        <w:tab/>
        <w:t>1,21 mln eurot</w:t>
      </w:r>
      <w:r w:rsidRPr="001B5B35">
        <w:tab/>
      </w:r>
    </w:p>
    <w:p w14:paraId="0BE96E1B" w14:textId="77777777" w:rsidR="00AE6CA3" w:rsidRPr="001B5B35" w:rsidRDefault="00AE6CA3" w:rsidP="00AE6CA3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1B5B35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C8FE0" wp14:editId="26C83FCC">
                <wp:simplePos x="0" y="0"/>
                <wp:positionH relativeFrom="column">
                  <wp:posOffset>3576209</wp:posOffset>
                </wp:positionH>
                <wp:positionV relativeFrom="paragraph">
                  <wp:posOffset>27898</wp:posOffset>
                </wp:positionV>
                <wp:extent cx="0" cy="123825"/>
                <wp:effectExtent l="76200" t="38100" r="57150" b="95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00778"/>
                          </a:solidFill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A53F1" id="Straight Arrow Connector 10" o:spid="_x0000_s1026" type="#_x0000_t32" style="position:absolute;margin-left:281.6pt;margin-top:2.2pt;width:0;height:9.7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" strokecolor="#500778" strokeweight=".5pt">
                <v:stroke endarrow="open" endarrowlength="short" joinstyle="miter"/>
              </v:shape>
            </w:pict>
          </mc:Fallback>
        </mc:AlternateContent>
      </w:r>
      <w:r w:rsidRPr="001B5B35">
        <w:t>Neto teenustasutulud</w:t>
      </w:r>
      <w:r w:rsidRPr="001B5B35">
        <w:tab/>
      </w:r>
      <w:r w:rsidRPr="001B5B35">
        <w:tab/>
      </w:r>
      <w:r w:rsidRPr="001B5B35">
        <w:tab/>
      </w:r>
      <w:r w:rsidRPr="001B5B35">
        <w:tab/>
        <w:t>5,0</w:t>
      </w:r>
      <w:r w:rsidRPr="001B5B35">
        <w:tab/>
      </w:r>
      <w:r w:rsidRPr="001B5B35">
        <w:tab/>
        <w:t>6,7 mln eurot</w:t>
      </w:r>
      <w:r w:rsidRPr="001B5B35">
        <w:tab/>
      </w:r>
    </w:p>
    <w:p w14:paraId="1531A6C0" w14:textId="77777777" w:rsidR="00AE6CA3" w:rsidRPr="001B5B35" w:rsidRDefault="00AE6CA3" w:rsidP="00AE6CA3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1B5B35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42A28" wp14:editId="31123173">
                <wp:simplePos x="0" y="0"/>
                <wp:positionH relativeFrom="column">
                  <wp:posOffset>3577590</wp:posOffset>
                </wp:positionH>
                <wp:positionV relativeFrom="paragraph">
                  <wp:posOffset>15240</wp:posOffset>
                </wp:positionV>
                <wp:extent cx="0" cy="123825"/>
                <wp:effectExtent l="76200" t="38100" r="57150" b="95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00778"/>
                          </a:solidFill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F4166" id="Straight Arrow Connector 15" o:spid="_x0000_s1026" type="#_x0000_t32" style="position:absolute;margin-left:281.7pt;margin-top:1.2pt;width:0;height:9.7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" strokecolor="#500778" strokeweight=".5pt">
                <v:stroke endarrow="open" endarrowlength="short" joinstyle="miter"/>
              </v:shape>
            </w:pict>
          </mc:Fallback>
        </mc:AlternateContent>
      </w:r>
      <w:r w:rsidRPr="001B5B35">
        <w:t>Omakapitali tootlikkus (aasta baasil)</w:t>
      </w:r>
      <w:r w:rsidRPr="001B5B35">
        <w:tab/>
      </w:r>
      <w:r w:rsidRPr="001B5B35">
        <w:tab/>
        <w:t>11,7%</w:t>
      </w:r>
      <w:r w:rsidRPr="001B5B35">
        <w:tab/>
      </w:r>
      <w:r w:rsidRPr="001B5B35">
        <w:tab/>
        <w:t>11,9%</w:t>
      </w:r>
      <w:r w:rsidRPr="001B5B35">
        <w:tab/>
      </w:r>
      <w:r w:rsidRPr="001B5B35">
        <w:tab/>
      </w:r>
    </w:p>
    <w:p w14:paraId="2CD6DC48" w14:textId="77777777" w:rsidR="00AE6CA3" w:rsidRPr="001B5B35" w:rsidRDefault="00AE6CA3" w:rsidP="00AE6CA3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1B5B35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FD86E" wp14:editId="6F1EAAA8">
                <wp:simplePos x="0" y="0"/>
                <wp:positionH relativeFrom="column">
                  <wp:posOffset>3576899</wp:posOffset>
                </wp:positionH>
                <wp:positionV relativeFrom="paragraph">
                  <wp:posOffset>6936</wp:posOffset>
                </wp:positionV>
                <wp:extent cx="0" cy="123825"/>
                <wp:effectExtent l="76200" t="38100" r="57150" b="95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500778"/>
                          </a:solidFill>
                          <a:tailEnd type="arrow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1742C" id="Straight Arrow Connector 18" o:spid="_x0000_s1026" type="#_x0000_t32" style="position:absolute;margin-left:281.65pt;margin-top:.55pt;width:0;height:9.7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" strokecolor="#500778" strokeweight=".5pt">
                <v:stroke endarrow="open" endarrowlength="short" joinstyle="miter"/>
              </v:shape>
            </w:pict>
          </mc:Fallback>
        </mc:AlternateContent>
      </w:r>
      <w:r w:rsidRPr="001B5B35">
        <w:t>Esimese taseme põhiomavahendite suhtarv</w:t>
      </w:r>
      <w:r w:rsidRPr="001B5B35">
        <w:tab/>
        <w:t>32,04%</w:t>
      </w:r>
      <w:r w:rsidRPr="001B5B35">
        <w:tab/>
      </w:r>
      <w:r w:rsidRPr="001B5B35">
        <w:tab/>
        <w:t>33,17%</w:t>
      </w:r>
      <w:r w:rsidRPr="001B5B35">
        <w:tab/>
      </w:r>
      <w:r w:rsidRPr="001B5B35">
        <w:tab/>
      </w:r>
    </w:p>
    <w:p w14:paraId="49CD8967" w14:textId="77777777" w:rsidR="00AE6CA3" w:rsidRPr="001B5B35" w:rsidRDefault="00AE6CA3" w:rsidP="00AE6CA3">
      <w:pPr>
        <w:pStyle w:val="ListParagraph"/>
        <w:ind w:left="284"/>
        <w:jc w:val="both"/>
      </w:pPr>
    </w:p>
    <w:p w14:paraId="6D1D06B0" w14:textId="28D31158" w:rsidR="00AE6CA3" w:rsidRPr="001B5B35" w:rsidRDefault="00D61291" w:rsidP="00AE6CA3">
      <w:pPr>
        <w:jc w:val="both"/>
      </w:pPr>
      <w:r>
        <w:t xml:space="preserve">Eesti reguleeritud finantsturul tegutses 2017. aasta teises kvartalis </w:t>
      </w:r>
      <w:r w:rsidR="00AE6CA3" w:rsidRPr="001B5B35">
        <w:t xml:space="preserve">kolm </w:t>
      </w:r>
      <w:r>
        <w:t>investeerimisühingut</w:t>
      </w:r>
      <w:r w:rsidR="00AE6CA3" w:rsidRPr="001B5B35">
        <w:t xml:space="preserve">, mis </w:t>
      </w:r>
      <w:r>
        <w:t>tähendab, et investeerimisühingute sektor on väikseim Finantsinspektsiooni järelevalve all olevatest sektoritest.</w:t>
      </w:r>
      <w:r w:rsidRPr="001B5B35">
        <w:t xml:space="preserve"> </w:t>
      </w:r>
      <w:r>
        <w:t>Samal ajal on i</w:t>
      </w:r>
      <w:r w:rsidR="00AE6CA3" w:rsidRPr="001B5B35">
        <w:t xml:space="preserve">nvesteerimisühingute regulatsioon </w:t>
      </w:r>
      <w:r>
        <w:t>oma</w:t>
      </w:r>
      <w:r w:rsidR="00AE6CA3" w:rsidRPr="001B5B35">
        <w:t xml:space="preserve"> keerukuse poolest</w:t>
      </w:r>
      <w:r>
        <w:t xml:space="preserve"> võrdväärne</w:t>
      </w:r>
      <w:r w:rsidR="00AE6CA3" w:rsidRPr="001B5B35">
        <w:t xml:space="preserve"> pankade omaga, </w:t>
      </w:r>
      <w:r>
        <w:t xml:space="preserve">ehkki </w:t>
      </w:r>
      <w:r w:rsidR="00C709FC">
        <w:t xml:space="preserve">samas on </w:t>
      </w:r>
      <w:r>
        <w:t>investeerimisühingute</w:t>
      </w:r>
      <w:r w:rsidR="00AE6CA3" w:rsidRPr="001B5B35">
        <w:t xml:space="preserve"> tegevusloa võimalused </w:t>
      </w:r>
      <w:r w:rsidR="00C03CE5">
        <w:t>pankadega</w:t>
      </w:r>
      <w:r>
        <w:t xml:space="preserve"> võrreldes</w:t>
      </w:r>
      <w:r w:rsidR="00AE6CA3" w:rsidRPr="001B5B35">
        <w:t xml:space="preserve"> oluliselt piiratud. Euroopa Pangandusjärelevalve </w:t>
      </w:r>
      <w:r w:rsidR="00AE6CA3">
        <w:t>Asutus</w:t>
      </w:r>
      <w:r>
        <w:t xml:space="preserve"> (EBA)</w:t>
      </w:r>
      <w:r w:rsidR="00AE6CA3">
        <w:t xml:space="preserve"> </w:t>
      </w:r>
      <w:r w:rsidR="00AE6CA3" w:rsidRPr="001B5B35">
        <w:t xml:space="preserve">on </w:t>
      </w:r>
      <w:r>
        <w:t xml:space="preserve">aga </w:t>
      </w:r>
      <w:r w:rsidR="00AE6CA3" w:rsidRPr="001B5B35">
        <w:t>välja</w:t>
      </w:r>
      <w:r w:rsidR="00AE6CA3">
        <w:t xml:space="preserve"> </w:t>
      </w:r>
      <w:r w:rsidR="00AE6CA3" w:rsidRPr="001B5B35">
        <w:t>töötamas investeerimisühingute kapitaliregulatsiooni lihtsustavat reformi, mille</w:t>
      </w:r>
      <w:r>
        <w:t xml:space="preserve"> </w:t>
      </w:r>
      <w:r w:rsidR="00C03CE5">
        <w:t>tulemusena</w:t>
      </w:r>
      <w:r>
        <w:t xml:space="preserve"> </w:t>
      </w:r>
      <w:r w:rsidR="00AE6CA3" w:rsidRPr="001B5B35">
        <w:t>võib sektori populaarsus suureneda.</w:t>
      </w:r>
    </w:p>
    <w:p w14:paraId="60A1B1CF" w14:textId="444D24C0" w:rsidR="00D61291" w:rsidRDefault="00D61291" w:rsidP="00AE6CA3">
      <w:pPr>
        <w:jc w:val="both"/>
      </w:pPr>
      <w:r>
        <w:t>K</w:t>
      </w:r>
      <w:r w:rsidR="00AE6CA3" w:rsidRPr="001B5B35">
        <w:rPr>
          <w:noProof/>
          <w:lang w:eastAsia="et-EE"/>
        </w:rPr>
        <w:drawing>
          <wp:anchor distT="0" distB="0" distL="114300" distR="114300" simplePos="0" relativeHeight="251666432" behindDoc="0" locked="0" layoutInCell="1" allowOverlap="1" wp14:anchorId="0685DFCD" wp14:editId="58E77D2F">
            <wp:simplePos x="0" y="0"/>
            <wp:positionH relativeFrom="column">
              <wp:posOffset>2300605</wp:posOffset>
            </wp:positionH>
            <wp:positionV relativeFrom="paragraph">
              <wp:posOffset>591820</wp:posOffset>
            </wp:positionV>
            <wp:extent cx="3600000" cy="2340000"/>
            <wp:effectExtent l="0" t="0" r="635" b="3175"/>
            <wp:wrapSquare wrapText="bothSides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CA3" w:rsidRPr="001B5B35">
        <w:t>lientide varade maht</w:t>
      </w:r>
      <w:r>
        <w:t>, mida siinsed investeerimisühingud haldavad,</w:t>
      </w:r>
      <w:r w:rsidR="00AE6CA3" w:rsidRPr="001B5B35">
        <w:t xml:space="preserve"> suurenes</w:t>
      </w:r>
      <w:r w:rsidR="00C03CE5">
        <w:t xml:space="preserve"> teise</w:t>
      </w:r>
      <w:r>
        <w:t xml:space="preserve"> kvartali</w:t>
      </w:r>
      <w:r w:rsidR="00C03CE5">
        <w:t>ga</w:t>
      </w:r>
      <w:r w:rsidR="00AE6CA3" w:rsidRPr="001B5B35">
        <w:t xml:space="preserve"> 13% võrra</w:t>
      </w:r>
      <w:r>
        <w:t xml:space="preserve">, ning </w:t>
      </w:r>
      <w:r w:rsidR="001B3B35">
        <w:t>saavutas</w:t>
      </w:r>
      <w:r>
        <w:t xml:space="preserve"> taas</w:t>
      </w:r>
      <w:r w:rsidR="00AE6CA3" w:rsidRPr="001B5B35">
        <w:t xml:space="preserve"> </w:t>
      </w:r>
      <w:r>
        <w:t>ühe miljardi</w:t>
      </w:r>
      <w:r w:rsidR="00AE6CA3" w:rsidRPr="001B5B35">
        <w:t xml:space="preserve"> euro piiri. </w:t>
      </w:r>
      <w:r>
        <w:t>Kuna i</w:t>
      </w:r>
      <w:r w:rsidR="00AE6CA3" w:rsidRPr="001B5B35">
        <w:t>nvesteerimisühingu</w:t>
      </w:r>
      <w:r>
        <w:t xml:space="preserve">d tegutsevad enamasti piiriüleselt, siis kuulusid enam kui 99% klientide varadest mitteresidentidest klientidele. </w:t>
      </w:r>
    </w:p>
    <w:p w14:paraId="362F4E48" w14:textId="77777777" w:rsidR="00560AC8" w:rsidRDefault="005B0C91" w:rsidP="00AE6CA3">
      <w:pPr>
        <w:jc w:val="both"/>
      </w:pPr>
      <w:r>
        <w:t xml:space="preserve">Investeerimisühingute endi varade maht vähenes kvartaliga </w:t>
      </w:r>
      <w:r w:rsidRPr="001B3B35">
        <w:t>6%</w:t>
      </w:r>
      <w:r>
        <w:t xml:space="preserve">, 46 miljoni euroni.  </w:t>
      </w:r>
      <w:r w:rsidR="00C03CE5">
        <w:t>Nende</w:t>
      </w:r>
      <w:r w:rsidR="00560AC8">
        <w:t xml:space="preserve"> varad koosnevad peamiselt likviidsetest vahenditest ja laenudest klientidele.</w:t>
      </w:r>
    </w:p>
    <w:p w14:paraId="1D8A8AC3" w14:textId="5E87B409" w:rsidR="00AE6CA3" w:rsidRDefault="00AE6CA3" w:rsidP="00AE6CA3">
      <w:pPr>
        <w:jc w:val="both"/>
      </w:pPr>
      <w:r w:rsidRPr="001B5B35">
        <w:t>Investeerimisühingute avatud aktsia-, valuuta- ja kaubariski positsioonide absoluutväärtuste summa ulatus</w:t>
      </w:r>
      <w:r w:rsidR="00C03CE5">
        <w:t xml:space="preserve"> teises kvartalis</w:t>
      </w:r>
      <w:r w:rsidRPr="001B5B35">
        <w:t xml:space="preserve"> </w:t>
      </w:r>
      <w:r>
        <w:t>96</w:t>
      </w:r>
      <w:r w:rsidRPr="001B5B35">
        <w:t xml:space="preserve"> </w:t>
      </w:r>
      <w:r w:rsidR="003D3E16">
        <w:t>miljoni</w:t>
      </w:r>
      <w:r w:rsidR="003D3E16" w:rsidRPr="001B5B35">
        <w:t xml:space="preserve"> </w:t>
      </w:r>
      <w:r w:rsidRPr="001B5B35">
        <w:t>euro</w:t>
      </w:r>
      <w:r>
        <w:t>ni,</w:t>
      </w:r>
      <w:r w:rsidRPr="001B5B35">
        <w:t xml:space="preserve"> suurenedes kvartaliga </w:t>
      </w:r>
      <w:r>
        <w:t xml:space="preserve">4,4 korda (esimeses kvartalis </w:t>
      </w:r>
      <w:r w:rsidR="00C03CE5">
        <w:t>langes</w:t>
      </w:r>
      <w:r>
        <w:t xml:space="preserve"> 3,8 korda)</w:t>
      </w:r>
      <w:r w:rsidRPr="001B5B35">
        <w:t xml:space="preserve">. Avatud </w:t>
      </w:r>
      <w:r>
        <w:t>kauplemis</w:t>
      </w:r>
      <w:r w:rsidRPr="001B5B35">
        <w:t xml:space="preserve">positsioonide summa moodustas </w:t>
      </w:r>
      <w:r>
        <w:t>239</w:t>
      </w:r>
      <w:r w:rsidRPr="001B5B35">
        <w:t xml:space="preserve">% </w:t>
      </w:r>
      <w:r w:rsidR="003D3E16">
        <w:t xml:space="preserve">investeerimisühingute </w:t>
      </w:r>
      <w:r w:rsidRPr="001B5B35">
        <w:t>omavahenditest</w:t>
      </w:r>
      <w:r w:rsidR="00C03CE5">
        <w:t>, se</w:t>
      </w:r>
      <w:r w:rsidR="002A6875">
        <w:t>e</w:t>
      </w:r>
      <w:r w:rsidR="00C03CE5">
        <w:t>juures andis</w:t>
      </w:r>
      <w:r w:rsidRPr="001B5B35">
        <w:t xml:space="preserve"> 74% tururiskiga positsioonidest</w:t>
      </w:r>
      <w:r w:rsidR="00C03CE5">
        <w:t xml:space="preserve"> valuutarisk</w:t>
      </w:r>
      <w:r w:rsidRPr="001B5B35">
        <w:t xml:space="preserve">. </w:t>
      </w:r>
      <w:r w:rsidR="003D3E16">
        <w:t>N</w:t>
      </w:r>
      <w:r w:rsidRPr="001B5B35">
        <w:t>iivõrd suuremahuliste positsioonide</w:t>
      </w:r>
      <w:r w:rsidR="003D3E16">
        <w:t xml:space="preserve"> tõttu</w:t>
      </w:r>
      <w:r w:rsidRPr="001B5B35">
        <w:t xml:space="preserve"> võib risk väga kiiresti</w:t>
      </w:r>
      <w:r>
        <w:t xml:space="preserve"> ja suures ulatuses</w:t>
      </w:r>
      <w:r w:rsidRPr="001B5B35">
        <w:t xml:space="preserve"> realiseeruda. Sektor kandis teises kvartalis </w:t>
      </w:r>
      <w:r w:rsidR="00C03CE5" w:rsidRPr="001B5B35">
        <w:t xml:space="preserve">valuutakursside erinevustelt </w:t>
      </w:r>
      <w:r w:rsidRPr="001B5B35">
        <w:t>1,2 m</w:t>
      </w:r>
      <w:r w:rsidR="006B512C">
        <w:t>iljonit</w:t>
      </w:r>
      <w:r w:rsidRPr="001B5B35">
        <w:t xml:space="preserve"> eurot kahjumit</w:t>
      </w:r>
      <w:r w:rsidR="001B3B35">
        <w:t>.</w:t>
      </w:r>
    </w:p>
    <w:p w14:paraId="22EFC07F" w14:textId="30F5A7E0" w:rsidR="00A72CA8" w:rsidRDefault="002C3014" w:rsidP="00AE6CA3">
      <w:pPr>
        <w:jc w:val="both"/>
      </w:pPr>
      <w:r>
        <w:t>Samal ajal teenisid i</w:t>
      </w:r>
      <w:r w:rsidR="00AE6CA3" w:rsidRPr="001B5B35">
        <w:t>nvesteerimisühingu</w:t>
      </w:r>
      <w:r w:rsidR="003D3E16">
        <w:t>d</w:t>
      </w:r>
      <w:r w:rsidR="00AE6CA3" w:rsidRPr="001B5B35">
        <w:t xml:space="preserve"> </w:t>
      </w:r>
      <w:r>
        <w:t>t</w:t>
      </w:r>
      <w:r w:rsidR="00AE6CA3" w:rsidRPr="001B5B35">
        <w:t xml:space="preserve">eises kvartalis 1,2 </w:t>
      </w:r>
      <w:r w:rsidR="003D3E16">
        <w:t>miljonit</w:t>
      </w:r>
      <w:r w:rsidR="003D3E16" w:rsidRPr="001B5B35">
        <w:t xml:space="preserve"> </w:t>
      </w:r>
      <w:r w:rsidR="00AE6CA3" w:rsidRPr="001B5B35">
        <w:t>eurot kasumit, mis on</w:t>
      </w:r>
      <w:r w:rsidR="00A72CA8">
        <w:t xml:space="preserve"> </w:t>
      </w:r>
      <w:r>
        <w:t>esimese</w:t>
      </w:r>
      <w:r w:rsidR="00A72CA8">
        <w:t xml:space="preserve"> kvartali kasumiga </w:t>
      </w:r>
      <w:r>
        <w:t xml:space="preserve">võrreldes </w:t>
      </w:r>
      <w:r w:rsidR="00A72CA8">
        <w:t>samal tasemel</w:t>
      </w:r>
      <w:r w:rsidR="00AE6CA3" w:rsidRPr="001B5B35">
        <w:t xml:space="preserve">. </w:t>
      </w:r>
      <w:r>
        <w:t>E</w:t>
      </w:r>
      <w:r w:rsidR="00A72CA8">
        <w:t xml:space="preserve">simesel </w:t>
      </w:r>
      <w:r w:rsidR="00AE6CA3" w:rsidRPr="001B5B35">
        <w:t xml:space="preserve">poolaastal </w:t>
      </w:r>
      <w:r>
        <w:t xml:space="preserve">teeniti seega </w:t>
      </w:r>
      <w:r w:rsidR="00AE6CA3" w:rsidRPr="001B5B35">
        <w:t xml:space="preserve">2,4 </w:t>
      </w:r>
      <w:r w:rsidR="00A72CA8" w:rsidRPr="001B5B35">
        <w:t>m</w:t>
      </w:r>
      <w:r w:rsidR="00A72CA8">
        <w:t>iljonit</w:t>
      </w:r>
      <w:r w:rsidR="00A72CA8" w:rsidRPr="001B5B35">
        <w:t xml:space="preserve"> </w:t>
      </w:r>
      <w:r w:rsidR="00AE6CA3" w:rsidRPr="001B5B35">
        <w:t>eurot kasumit</w:t>
      </w:r>
      <w:r w:rsidR="00A72CA8">
        <w:t xml:space="preserve"> ning võrreldes eelmise aasta sama </w:t>
      </w:r>
      <w:r>
        <w:t>perioodiga</w:t>
      </w:r>
      <w:r w:rsidR="00A72CA8">
        <w:t xml:space="preserve"> kasvas </w:t>
      </w:r>
      <w:r w:rsidR="00AE6CA3" w:rsidRPr="001B5B35">
        <w:t>poolaasta kasum</w:t>
      </w:r>
      <w:r>
        <w:t xml:space="preserve"> 4</w:t>
      </w:r>
      <w:r w:rsidR="00AE6CA3" w:rsidRPr="001B5B35">
        <w:t xml:space="preserve"> korda. </w:t>
      </w:r>
    </w:p>
    <w:p w14:paraId="5B737BCF" w14:textId="1932D11F" w:rsidR="00AE6CA3" w:rsidRPr="001B5B35" w:rsidRDefault="00715D52" w:rsidP="00AE6CA3">
      <w:pPr>
        <w:jc w:val="both"/>
      </w:pPr>
      <w:r w:rsidRPr="001B5B35">
        <w:rPr>
          <w:noProof/>
          <w:lang w:eastAsia="et-EE"/>
        </w:rPr>
        <w:lastRenderedPageBreak/>
        <w:drawing>
          <wp:anchor distT="0" distB="0" distL="114300" distR="114300" simplePos="0" relativeHeight="251667456" behindDoc="0" locked="0" layoutInCell="1" allowOverlap="1" wp14:anchorId="43BA5961" wp14:editId="5F03A7E4">
            <wp:simplePos x="0" y="0"/>
            <wp:positionH relativeFrom="column">
              <wp:posOffset>2363851</wp:posOffset>
            </wp:positionH>
            <wp:positionV relativeFrom="paragraph">
              <wp:posOffset>204978</wp:posOffset>
            </wp:positionV>
            <wp:extent cx="3599815" cy="2412000"/>
            <wp:effectExtent l="0" t="0" r="635" b="762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CA8">
        <w:t>N</w:t>
      </w:r>
      <w:r w:rsidR="00AE6CA3" w:rsidRPr="001B5B35">
        <w:t>etotulu</w:t>
      </w:r>
      <w:r w:rsidR="00A72CA8">
        <w:t xml:space="preserve"> teeniti</w:t>
      </w:r>
      <w:r w:rsidR="00AE6CA3">
        <w:t xml:space="preserve"> </w:t>
      </w:r>
      <w:r w:rsidR="00AE6CA3" w:rsidRPr="001B5B35">
        <w:t xml:space="preserve">teises kvartalis </w:t>
      </w:r>
      <w:r w:rsidR="001B3B35" w:rsidRPr="001B3B35">
        <w:t>4</w:t>
      </w:r>
      <w:r w:rsidR="00AE6CA3" w:rsidRPr="001B3B35">
        <w:t xml:space="preserve">,7 </w:t>
      </w:r>
      <w:r w:rsidR="00A72CA8" w:rsidRPr="001B3B35">
        <w:t>miljonit eurot</w:t>
      </w:r>
      <w:r w:rsidR="00AE6CA3" w:rsidRPr="001B3B35">
        <w:t xml:space="preserve"> ehk </w:t>
      </w:r>
      <w:r w:rsidR="001B3B35" w:rsidRPr="001B3B35">
        <w:t>8</w:t>
      </w:r>
      <w:r w:rsidR="006B512C" w:rsidRPr="001B3B35">
        <w:t xml:space="preserve">% </w:t>
      </w:r>
      <w:r w:rsidR="001B3B35" w:rsidRPr="001B3B35">
        <w:t>vähem</w:t>
      </w:r>
      <w:r w:rsidR="00A72CA8" w:rsidRPr="001B3B35">
        <w:t xml:space="preserve"> </w:t>
      </w:r>
      <w:r w:rsidR="00AE6CA3" w:rsidRPr="001B5B35">
        <w:t xml:space="preserve">kui </w:t>
      </w:r>
      <w:r w:rsidR="00A72CA8">
        <w:t>esimeses</w:t>
      </w:r>
      <w:r w:rsidR="00A72CA8" w:rsidRPr="001B5B35">
        <w:t xml:space="preserve"> </w:t>
      </w:r>
      <w:r w:rsidR="00AE6CA3" w:rsidRPr="001B5B35">
        <w:t>kvartali</w:t>
      </w:r>
      <w:r w:rsidR="00A72CA8">
        <w:t>s</w:t>
      </w:r>
      <w:r w:rsidR="00AE6CA3" w:rsidRPr="001B5B35">
        <w:t xml:space="preserve">. Esimesel poolaastal </w:t>
      </w:r>
      <w:r w:rsidR="006B512C">
        <w:t>koguti netotulusid</w:t>
      </w:r>
      <w:r w:rsidR="002C3014">
        <w:t xml:space="preserve"> kokku</w:t>
      </w:r>
      <w:r w:rsidR="006B512C">
        <w:t xml:space="preserve"> </w:t>
      </w:r>
      <w:r w:rsidR="00AE6CA3" w:rsidRPr="001B5B35">
        <w:t xml:space="preserve">9,8 </w:t>
      </w:r>
      <w:r w:rsidR="006B512C">
        <w:t>miljonit</w:t>
      </w:r>
      <w:r w:rsidR="006B512C" w:rsidRPr="001B5B35">
        <w:t xml:space="preserve"> </w:t>
      </w:r>
      <w:r w:rsidR="00AE6CA3" w:rsidRPr="001B5B35">
        <w:t xml:space="preserve">eurot, 3% vähem kui </w:t>
      </w:r>
      <w:r w:rsidR="002C3014">
        <w:t>aasta tagasi</w:t>
      </w:r>
      <w:r w:rsidR="00AE6CA3" w:rsidRPr="001B5B35">
        <w:t>. Kuigi sektor teenis investeerimisteenuste müügilt</w:t>
      </w:r>
      <w:r w:rsidR="002C2076">
        <w:t xml:space="preserve"> esimesel poolaastal 11,6 miljonit</w:t>
      </w:r>
      <w:bookmarkStart w:id="3" w:name="_GoBack"/>
      <w:bookmarkEnd w:id="3"/>
      <w:r w:rsidR="00BE7FBF">
        <w:t xml:space="preserve"> eurot netoteenustasutulu ehk</w:t>
      </w:r>
      <w:r w:rsidR="006B512C">
        <w:t xml:space="preserve"> </w:t>
      </w:r>
      <w:r w:rsidR="00AE6CA3" w:rsidRPr="001B5B35">
        <w:t xml:space="preserve">15% rohkem </w:t>
      </w:r>
      <w:r w:rsidR="006B512C">
        <w:t>kui eelmisel aastal samal ajal</w:t>
      </w:r>
      <w:r w:rsidR="00AE6CA3">
        <w:t>,</w:t>
      </w:r>
      <w:r w:rsidR="00AE6CA3" w:rsidRPr="001B5B35">
        <w:t xml:space="preserve"> kanti </w:t>
      </w:r>
      <w:r w:rsidR="006B512C">
        <w:t xml:space="preserve">selle aasta </w:t>
      </w:r>
      <w:r w:rsidR="00AE6CA3" w:rsidRPr="001B5B35">
        <w:t xml:space="preserve">teises kvartalis erakorralist kahjumit </w:t>
      </w:r>
      <w:r w:rsidR="001B3B35">
        <w:t>valuutakursside erinevustelt</w:t>
      </w:r>
      <w:r w:rsidR="006B512C">
        <w:t>. Seega</w:t>
      </w:r>
      <w:r w:rsidR="00AE6CA3" w:rsidRPr="001B5B35">
        <w:t xml:space="preserve"> kokkuvõttes oli</w:t>
      </w:r>
      <w:r w:rsidR="006B512C">
        <w:t xml:space="preserve"> investeerimisühingute</w:t>
      </w:r>
      <w:r w:rsidR="00AE6CA3" w:rsidRPr="001B5B35">
        <w:t xml:space="preserve"> tulubaas väiksem kui aasta tagasi.</w:t>
      </w:r>
      <w:r w:rsidR="00AE6CA3" w:rsidRPr="001B5B35">
        <w:rPr>
          <w:noProof/>
          <w:lang w:eastAsia="et-EE"/>
        </w:rPr>
        <w:t xml:space="preserve"> </w:t>
      </w:r>
    </w:p>
    <w:p w14:paraId="522E2052" w14:textId="46A37310" w:rsidR="00AE6CA3" w:rsidRPr="001B5B35" w:rsidRDefault="00AE6CA3" w:rsidP="00AE6CA3">
      <w:pPr>
        <w:tabs>
          <w:tab w:val="left" w:pos="284"/>
        </w:tabs>
        <w:jc w:val="both"/>
      </w:pPr>
      <w:r w:rsidRPr="001B5B35">
        <w:t>Kõik investeerimisühingud täitsid</w:t>
      </w:r>
      <w:r w:rsidR="0035114F">
        <w:t xml:space="preserve"> </w:t>
      </w:r>
      <w:r w:rsidRPr="001B5B35">
        <w:t>likviidsuskatte</w:t>
      </w:r>
      <w:r w:rsidR="0035114F">
        <w:t>kordaja</w:t>
      </w:r>
      <w:r w:rsidRPr="001B5B35">
        <w:t xml:space="preserve"> (LCR)</w:t>
      </w:r>
      <w:r w:rsidR="0035114F">
        <w:t xml:space="preserve"> </w:t>
      </w:r>
      <w:r w:rsidR="0035114F" w:rsidRPr="001B5B35">
        <w:t>nõuet</w:t>
      </w:r>
      <w:r w:rsidR="0035114F">
        <w:t xml:space="preserve"> piisava varuga: s</w:t>
      </w:r>
      <w:r w:rsidRPr="001B5B35">
        <w:t xml:space="preserve">ektori keskmine näitaja </w:t>
      </w:r>
      <w:r w:rsidR="0035114F">
        <w:t>oli</w:t>
      </w:r>
      <w:r w:rsidR="0035114F" w:rsidRPr="001B5B35">
        <w:t xml:space="preserve"> </w:t>
      </w:r>
      <w:r w:rsidRPr="001B5B35">
        <w:t xml:space="preserve">141%. </w:t>
      </w:r>
    </w:p>
    <w:p w14:paraId="4E9ACAD2" w14:textId="1F99E51F" w:rsidR="00AE6CA3" w:rsidRPr="001B5B35" w:rsidRDefault="0035114F" w:rsidP="00AE6CA3">
      <w:pPr>
        <w:jc w:val="both"/>
      </w:pPr>
      <w:r>
        <w:t>Esimese taseme põhiomavahendite suhtarv kerkis teises kvartalis 32%lt 33%ni. See suhtarv näitab, kui palju hoiavad investeerimisühingud omavahendeid omandatud riskipositsioonide suhtes.</w:t>
      </w:r>
    </w:p>
    <w:p w14:paraId="2363BCBF" w14:textId="77777777" w:rsidR="00AE6CA3" w:rsidRDefault="00AE6CA3" w:rsidP="00AE6CA3">
      <w:pPr>
        <w:tabs>
          <w:tab w:val="left" w:pos="284"/>
        </w:tabs>
        <w:jc w:val="both"/>
        <w:rPr>
          <w:color w:val="500778"/>
          <w:sz w:val="20"/>
          <w:szCs w:val="20"/>
        </w:rPr>
      </w:pPr>
    </w:p>
    <w:p w14:paraId="444CB8CA" w14:textId="4F9C449A" w:rsidR="00AE6CA3" w:rsidRPr="001B5B35" w:rsidRDefault="0035114F" w:rsidP="00AE6CA3">
      <w:pPr>
        <w:tabs>
          <w:tab w:val="left" w:pos="284"/>
        </w:tabs>
        <w:jc w:val="both"/>
        <w:rPr>
          <w:color w:val="500778"/>
          <w:sz w:val="20"/>
          <w:szCs w:val="20"/>
        </w:rPr>
      </w:pPr>
      <w:r>
        <w:rPr>
          <w:rFonts w:ascii="Publico Headline" w:hAnsi="Publico Headline"/>
          <w:color w:val="500778"/>
          <w:sz w:val="20"/>
          <w:szCs w:val="20"/>
        </w:rPr>
        <w:t>Peamised a</w:t>
      </w:r>
      <w:r w:rsidRPr="00A3711A">
        <w:rPr>
          <w:rFonts w:ascii="Publico Headline" w:hAnsi="Publico Headline"/>
          <w:color w:val="500778"/>
          <w:sz w:val="20"/>
          <w:szCs w:val="20"/>
        </w:rPr>
        <w:t>rengusuunad</w:t>
      </w:r>
      <w:r>
        <w:rPr>
          <w:rFonts w:ascii="Publico Headline" w:hAnsi="Publico Headline"/>
          <w:color w:val="500778"/>
          <w:sz w:val="20"/>
          <w:szCs w:val="20"/>
        </w:rPr>
        <w:t xml:space="preserve"> ja riskid</w:t>
      </w:r>
    </w:p>
    <w:p w14:paraId="6A548F90" w14:textId="5D876794" w:rsidR="00AE6CA3" w:rsidRDefault="00AE6CA3" w:rsidP="00AE6CA3">
      <w:pPr>
        <w:pStyle w:val="ListParagraph"/>
        <w:numPr>
          <w:ilvl w:val="0"/>
          <w:numId w:val="1"/>
        </w:numPr>
        <w:spacing w:after="0"/>
        <w:ind w:left="360"/>
        <w:jc w:val="both"/>
      </w:pPr>
      <w:r w:rsidRPr="00E07B6C">
        <w:t xml:space="preserve">Investeerimisühingute peamiseks riskiks on </w:t>
      </w:r>
      <w:r w:rsidR="0035114F">
        <w:t>suure tururiski võtmisele ülesehitatud ärimudelid</w:t>
      </w:r>
      <w:r w:rsidRPr="00E07B6C">
        <w:t xml:space="preserve">. </w:t>
      </w:r>
      <w:r w:rsidR="0035114F">
        <w:t>S</w:t>
      </w:r>
      <w:r w:rsidRPr="00E07B6C">
        <w:t xml:space="preserve">uure võimenduse </w:t>
      </w:r>
      <w:r w:rsidR="0035114F">
        <w:t xml:space="preserve">tõttu </w:t>
      </w:r>
      <w:r w:rsidRPr="00E07B6C">
        <w:t xml:space="preserve">on </w:t>
      </w:r>
      <w:r w:rsidR="0035114F">
        <w:t xml:space="preserve">isegi väike vapustus finantsturgudel võimeline lühikese aja jooksul suuri kahjumeid tekitama, mistõttu on </w:t>
      </w:r>
      <w:r w:rsidRPr="00E07B6C">
        <w:t>aktiiv</w:t>
      </w:r>
      <w:r w:rsidR="0035114F">
        <w:t>ne</w:t>
      </w:r>
      <w:r w:rsidRPr="00E07B6C">
        <w:t xml:space="preserve"> riskijuhtimi</w:t>
      </w:r>
      <w:r w:rsidR="0035114F">
        <w:t>ne</w:t>
      </w:r>
      <w:r w:rsidR="002C3014">
        <w:t xml:space="preserve"> väga oluline</w:t>
      </w:r>
      <w:r w:rsidR="0035114F">
        <w:t>.</w:t>
      </w:r>
    </w:p>
    <w:p w14:paraId="2E9D7321" w14:textId="77777777" w:rsidR="004334C3" w:rsidRPr="00E07B6C" w:rsidRDefault="004334C3" w:rsidP="004334C3">
      <w:pPr>
        <w:pStyle w:val="ListParagraph"/>
        <w:spacing w:after="0"/>
        <w:ind w:left="360"/>
        <w:jc w:val="both"/>
      </w:pPr>
    </w:p>
    <w:p w14:paraId="49146413" w14:textId="69569513" w:rsidR="00AE6CA3" w:rsidRDefault="005D695D" w:rsidP="00AE6CA3">
      <w:pPr>
        <w:pStyle w:val="ListParagraph"/>
        <w:numPr>
          <w:ilvl w:val="0"/>
          <w:numId w:val="1"/>
        </w:numPr>
        <w:spacing w:after="0"/>
        <w:ind w:left="360"/>
        <w:jc w:val="both"/>
      </w:pPr>
      <w:r>
        <w:t>Eestis tegutseva</w:t>
      </w:r>
      <w:r w:rsidR="002C3014">
        <w:t>d investeerimisühingud osutavad</w:t>
      </w:r>
      <w:r>
        <w:t xml:space="preserve"> investeerimisteenuseid</w:t>
      </w:r>
      <w:r w:rsidR="002C3014">
        <w:t xml:space="preserve"> peamiselt</w:t>
      </w:r>
      <w:r>
        <w:t xml:space="preserve"> väljaspool Eestit ning</w:t>
      </w:r>
      <w:r w:rsidR="002C3014">
        <w:t xml:space="preserve"> nende</w:t>
      </w:r>
      <w:r>
        <w:t xml:space="preserve"> klientideks on enamjaolt mitteresidendid. Mitteresidentidest klientide varade hoidmise ning keerukate ja kõrge sagedusega tehingute vahendamisega kaasnevad </w:t>
      </w:r>
      <w:r w:rsidR="00772606">
        <w:t xml:space="preserve">aga </w:t>
      </w:r>
      <w:r w:rsidR="0028465D">
        <w:t xml:space="preserve">vastavad </w:t>
      </w:r>
      <w:r>
        <w:t xml:space="preserve">riskid. </w:t>
      </w:r>
    </w:p>
    <w:p w14:paraId="39A1DCCF" w14:textId="1FFDB18A" w:rsidR="004334C3" w:rsidRPr="00E07B6C" w:rsidRDefault="004334C3" w:rsidP="004334C3">
      <w:pPr>
        <w:spacing w:after="0"/>
        <w:jc w:val="both"/>
      </w:pPr>
    </w:p>
    <w:p w14:paraId="4E61C13B" w14:textId="36E4D669" w:rsidR="00AE6CA3" w:rsidRPr="00E07B6C" w:rsidRDefault="00AE6CA3" w:rsidP="00AE6CA3">
      <w:pPr>
        <w:pStyle w:val="ListParagraph"/>
        <w:numPr>
          <w:ilvl w:val="0"/>
          <w:numId w:val="1"/>
        </w:numPr>
        <w:spacing w:after="0"/>
        <w:ind w:left="360"/>
        <w:jc w:val="both"/>
      </w:pPr>
      <w:r w:rsidRPr="00E07B6C">
        <w:t xml:space="preserve">Tulenevalt investeerimisühingute riskiprofiilist on Finantsinspektsioon </w:t>
      </w:r>
      <w:r w:rsidR="00AF3098">
        <w:t xml:space="preserve">investeerimisühingutele </w:t>
      </w:r>
      <w:r w:rsidRPr="00E07B6C">
        <w:t>kehtestanud täiendavad kapitalinõuded</w:t>
      </w:r>
      <w:r w:rsidR="00AF3098">
        <w:t>: keskmine</w:t>
      </w:r>
      <w:r w:rsidRPr="00E07B6C">
        <w:t xml:space="preserve"> omavahendite suhtarv</w:t>
      </w:r>
      <w:r w:rsidR="00AF3098">
        <w:t xml:space="preserve"> peab olema</w:t>
      </w:r>
      <w:r w:rsidRPr="00E07B6C">
        <w:t xml:space="preserve"> ca 19%, mis on regulatiivsest nõudest</w:t>
      </w:r>
      <w:r w:rsidR="00AF3098">
        <w:t xml:space="preserve"> </w:t>
      </w:r>
      <w:r w:rsidR="00AF3098" w:rsidRPr="00E07B6C">
        <w:t>1,7 korda suurem</w:t>
      </w:r>
      <w:r w:rsidR="00AF3098">
        <w:t>.</w:t>
      </w:r>
    </w:p>
    <w:p w14:paraId="173ED146" w14:textId="77777777" w:rsidR="00295DA2" w:rsidRDefault="00295DA2"/>
    <w:sectPr w:rsidR="00295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tlas Grotesk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ublico Headline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02B6"/>
    <w:multiLevelType w:val="hybridMultilevel"/>
    <w:tmpl w:val="2A2C6084"/>
    <w:lvl w:ilvl="0" w:tplc="B95A4A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657DF9"/>
    <w:multiLevelType w:val="hybridMultilevel"/>
    <w:tmpl w:val="28F82D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A3"/>
    <w:rsid w:val="00056BAC"/>
    <w:rsid w:val="00057719"/>
    <w:rsid w:val="00124A72"/>
    <w:rsid w:val="001B3B35"/>
    <w:rsid w:val="001D7C36"/>
    <w:rsid w:val="002605ED"/>
    <w:rsid w:val="0028465D"/>
    <w:rsid w:val="00295DA2"/>
    <w:rsid w:val="002A6875"/>
    <w:rsid w:val="002C2076"/>
    <w:rsid w:val="002C3014"/>
    <w:rsid w:val="0035114F"/>
    <w:rsid w:val="003D3E16"/>
    <w:rsid w:val="004334C3"/>
    <w:rsid w:val="00560AC8"/>
    <w:rsid w:val="00571CD1"/>
    <w:rsid w:val="005B0C91"/>
    <w:rsid w:val="005D695D"/>
    <w:rsid w:val="006B512C"/>
    <w:rsid w:val="00715D52"/>
    <w:rsid w:val="00772606"/>
    <w:rsid w:val="007C12FF"/>
    <w:rsid w:val="00A72CA8"/>
    <w:rsid w:val="00AE6CA3"/>
    <w:rsid w:val="00AF3098"/>
    <w:rsid w:val="00BE7FBF"/>
    <w:rsid w:val="00C03CE5"/>
    <w:rsid w:val="00C53809"/>
    <w:rsid w:val="00C709FC"/>
    <w:rsid w:val="00D61291"/>
    <w:rsid w:val="00E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CE04"/>
  <w15:chartTrackingRefBased/>
  <w15:docId w15:val="{8BAD3E9B-2C51-4783-AE8C-0D59126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_INFO"/>
    <w:qFormat/>
    <w:rsid w:val="00AE6CA3"/>
    <w:pPr>
      <w:spacing w:after="240" w:line="300" w:lineRule="auto"/>
    </w:pPr>
    <w:rPr>
      <w:rFonts w:ascii="Atlas Grotesk Light" w:hAnsi="Atlas Grotesk Light"/>
      <w:sz w:val="18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CA3"/>
    <w:pPr>
      <w:keepNext/>
      <w:keepLines/>
      <w:spacing w:before="240" w:after="360"/>
      <w:outlineLvl w:val="0"/>
    </w:pPr>
    <w:rPr>
      <w:rFonts w:ascii="Publico Headline" w:eastAsiaTheme="majorEastAsia" w:hAnsi="Publico Headline" w:cstheme="majorBidi"/>
      <w:color w:val="500778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A3"/>
    <w:rPr>
      <w:rFonts w:ascii="Publico Headline" w:eastAsiaTheme="majorEastAsia" w:hAnsi="Publico Headline" w:cstheme="majorBidi"/>
      <w:color w:val="500778"/>
      <w:sz w:val="30"/>
      <w:szCs w:val="32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AE6C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E6CA3"/>
    <w:rPr>
      <w:rFonts w:ascii="Atlas Grotesk Light" w:hAnsi="Atlas Grotesk Light"/>
      <w:sz w:val="18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2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2C"/>
    <w:rPr>
      <w:rFonts w:ascii="Segoe UI" w:hAnsi="Segoe UI" w:cs="Segoe UI"/>
      <w:sz w:val="18"/>
      <w:szCs w:val="18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2A6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875"/>
    <w:rPr>
      <w:rFonts w:ascii="Atlas Grotesk Light" w:hAnsi="Atlas Grotesk Light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875"/>
    <w:rPr>
      <w:rFonts w:ascii="Atlas Grotesk Light" w:hAnsi="Atlas Grotesk Light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hlebov\Documents\My%20Documents\&#220;levaadete%20koostamine.%20Sektor\2017.%20II%20kv\I&#220;\2017%20II%20kv%20KJD%20kvartali&#252;levaade%20-%20investeerimis&#252;hign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hlebov\Documents\My%20Documents\&#220;levaadete%20koostamine.%20Sektor\2017.%20II%20kv\I&#220;\2017%20II%20kv%20KJD%20kvartali&#252;levaade%20-%20investeerimis&#252;hign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2"/>
                </a:solidFill>
                <a:latin typeface="Atlas Grotesk Light" pitchFamily="50" charset="-70"/>
                <a:ea typeface="+mn-ea"/>
                <a:cs typeface="+mn-cs"/>
              </a:defRPr>
            </a:pPr>
            <a:r>
              <a:rPr lang="et-EE" sz="1000" b="1"/>
              <a:t>Investeerimisühingute avatud valuutapositsioon, % omavahenditest</a:t>
            </a:r>
          </a:p>
        </c:rich>
      </c:tx>
      <c:layout>
        <c:manualLayout>
          <c:xMode val="edge"/>
          <c:yMode val="edge"/>
          <c:x val="0.1638031398835773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2"/>
              </a:solidFill>
              <a:latin typeface="Atlas Grotesk Light" pitchFamily="50" charset="-70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6332228183948341"/>
          <c:y val="0.18905543862648103"/>
          <c:w val="0.7807588192989009"/>
          <c:h val="0.4932196345905534"/>
        </c:manualLayout>
      </c:layout>
      <c:areaChart>
        <c:grouping val="stacked"/>
        <c:varyColors val="0"/>
        <c:ser>
          <c:idx val="1"/>
          <c:order val="0"/>
          <c:tx>
            <c:strRef>
              <c:f>'VVNP sek'!$B$4</c:f>
              <c:strCache>
                <c:ptCount val="1"/>
                <c:pt idx="0">
                  <c:v>Pound Sterling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'VVNP sek'!$D$2:$P$2</c:f>
              <c:strCache>
                <c:ptCount val="13"/>
                <c:pt idx="0">
                  <c:v>II 14</c:v>
                </c:pt>
                <c:pt idx="1">
                  <c:v>III 14</c:v>
                </c:pt>
                <c:pt idx="2">
                  <c:v>IV 14</c:v>
                </c:pt>
                <c:pt idx="3">
                  <c:v>I 15</c:v>
                </c:pt>
                <c:pt idx="4">
                  <c:v>II 15</c:v>
                </c:pt>
                <c:pt idx="5">
                  <c:v>III 15</c:v>
                </c:pt>
                <c:pt idx="6">
                  <c:v>IV 15</c:v>
                </c:pt>
                <c:pt idx="7">
                  <c:v>I 16</c:v>
                </c:pt>
                <c:pt idx="8">
                  <c:v>II 16</c:v>
                </c:pt>
                <c:pt idx="9">
                  <c:v>III 16</c:v>
                </c:pt>
                <c:pt idx="10">
                  <c:v>IV 16</c:v>
                </c:pt>
                <c:pt idx="11">
                  <c:v>I 17</c:v>
                </c:pt>
                <c:pt idx="12">
                  <c:v>II 17</c:v>
                </c:pt>
              </c:strCache>
            </c:strRef>
          </c:cat>
          <c:val>
            <c:numRef>
              <c:f>'VVNP sek'!$D$4:$P$4</c:f>
              <c:numCache>
                <c:formatCode>0%</c:formatCode>
                <c:ptCount val="13"/>
                <c:pt idx="0">
                  <c:v>0.71792362581983837</c:v>
                </c:pt>
                <c:pt idx="1">
                  <c:v>8.4311939553977755E-2</c:v>
                </c:pt>
                <c:pt idx="2">
                  <c:v>0.1521999090163666</c:v>
                </c:pt>
                <c:pt idx="3">
                  <c:v>7.7469261542128853E-2</c:v>
                </c:pt>
                <c:pt idx="4">
                  <c:v>2.3290476695940695E-2</c:v>
                </c:pt>
                <c:pt idx="5">
                  <c:v>0.35719957460522977</c:v>
                </c:pt>
                <c:pt idx="6">
                  <c:v>0.4687416155146702</c:v>
                </c:pt>
                <c:pt idx="7">
                  <c:v>2.948474897975302E-2</c:v>
                </c:pt>
                <c:pt idx="8">
                  <c:v>0.20347448732731518</c:v>
                </c:pt>
                <c:pt idx="9">
                  <c:v>1.8257007665030368E-3</c:v>
                </c:pt>
                <c:pt idx="10">
                  <c:v>9.0911669615077462E-2</c:v>
                </c:pt>
                <c:pt idx="11">
                  <c:v>2.8742781249185647E-3</c:v>
                </c:pt>
                <c:pt idx="12">
                  <c:v>9.8720182207204132E-2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A3-482E-A0A2-2EB709B3659A}"/>
            </c:ext>
          </c:extLst>
        </c:ser>
        <c:ser>
          <c:idx val="2"/>
          <c:order val="1"/>
          <c:tx>
            <c:strRef>
              <c:f>'VVNP sek'!$B$5</c:f>
              <c:strCache>
                <c:ptCount val="1"/>
                <c:pt idx="0">
                  <c:v>Canadian Dollar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'VVNP sek'!$D$2:$P$2</c:f>
              <c:strCache>
                <c:ptCount val="13"/>
                <c:pt idx="0">
                  <c:v>II 14</c:v>
                </c:pt>
                <c:pt idx="1">
                  <c:v>III 14</c:v>
                </c:pt>
                <c:pt idx="2">
                  <c:v>IV 14</c:v>
                </c:pt>
                <c:pt idx="3">
                  <c:v>I 15</c:v>
                </c:pt>
                <c:pt idx="4">
                  <c:v>II 15</c:v>
                </c:pt>
                <c:pt idx="5">
                  <c:v>III 15</c:v>
                </c:pt>
                <c:pt idx="6">
                  <c:v>IV 15</c:v>
                </c:pt>
                <c:pt idx="7">
                  <c:v>I 16</c:v>
                </c:pt>
                <c:pt idx="8">
                  <c:v>II 16</c:v>
                </c:pt>
                <c:pt idx="9">
                  <c:v>III 16</c:v>
                </c:pt>
                <c:pt idx="10">
                  <c:v>IV 16</c:v>
                </c:pt>
                <c:pt idx="11">
                  <c:v>I 17</c:v>
                </c:pt>
                <c:pt idx="12">
                  <c:v>II 17</c:v>
                </c:pt>
              </c:strCache>
            </c:strRef>
          </c:cat>
          <c:val>
            <c:numRef>
              <c:f>'VVNP sek'!$D$5:$P$5</c:f>
              <c:numCache>
                <c:formatCode>0%</c:formatCode>
                <c:ptCount val="13"/>
                <c:pt idx="0">
                  <c:v>0.15350578383901811</c:v>
                </c:pt>
                <c:pt idx="1">
                  <c:v>8.1616149983445192E-3</c:v>
                </c:pt>
                <c:pt idx="2">
                  <c:v>5.4631766694865865E-2</c:v>
                </c:pt>
                <c:pt idx="3">
                  <c:v>1.4237907937445834E-2</c:v>
                </c:pt>
                <c:pt idx="4">
                  <c:v>0.17380438610431209</c:v>
                </c:pt>
                <c:pt idx="5">
                  <c:v>1.8760468054052255E-2</c:v>
                </c:pt>
                <c:pt idx="6">
                  <c:v>0.24134348946879497</c:v>
                </c:pt>
                <c:pt idx="7">
                  <c:v>3.3978815189981727E-2</c:v>
                </c:pt>
                <c:pt idx="8">
                  <c:v>4.2565416678081169E-2</c:v>
                </c:pt>
                <c:pt idx="9">
                  <c:v>9.791896555721008E-5</c:v>
                </c:pt>
                <c:pt idx="10">
                  <c:v>2.7364478812381035E-2</c:v>
                </c:pt>
                <c:pt idx="11">
                  <c:v>2.4280314236979294E-4</c:v>
                </c:pt>
                <c:pt idx="12">
                  <c:v>0.18310092935623121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A3-482E-A0A2-2EB709B3659A}"/>
            </c:ext>
          </c:extLst>
        </c:ser>
        <c:ser>
          <c:idx val="3"/>
          <c:order val="2"/>
          <c:tx>
            <c:strRef>
              <c:f>'VVNP sek'!$B$6</c:f>
              <c:strCache>
                <c:ptCount val="1"/>
                <c:pt idx="0">
                  <c:v>Yen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'VVNP sek'!$D$2:$P$2</c:f>
              <c:strCache>
                <c:ptCount val="13"/>
                <c:pt idx="0">
                  <c:v>II 14</c:v>
                </c:pt>
                <c:pt idx="1">
                  <c:v>III 14</c:v>
                </c:pt>
                <c:pt idx="2">
                  <c:v>IV 14</c:v>
                </c:pt>
                <c:pt idx="3">
                  <c:v>I 15</c:v>
                </c:pt>
                <c:pt idx="4">
                  <c:v>II 15</c:v>
                </c:pt>
                <c:pt idx="5">
                  <c:v>III 15</c:v>
                </c:pt>
                <c:pt idx="6">
                  <c:v>IV 15</c:v>
                </c:pt>
                <c:pt idx="7">
                  <c:v>I 16</c:v>
                </c:pt>
                <c:pt idx="8">
                  <c:v>II 16</c:v>
                </c:pt>
                <c:pt idx="9">
                  <c:v>III 16</c:v>
                </c:pt>
                <c:pt idx="10">
                  <c:v>IV 16</c:v>
                </c:pt>
                <c:pt idx="11">
                  <c:v>I 17</c:v>
                </c:pt>
                <c:pt idx="12">
                  <c:v>II 17</c:v>
                </c:pt>
              </c:strCache>
            </c:strRef>
          </c:cat>
          <c:val>
            <c:numRef>
              <c:f>'VVNP sek'!$D$6:$P$6</c:f>
              <c:numCache>
                <c:formatCode>0%</c:formatCode>
                <c:ptCount val="13"/>
                <c:pt idx="0">
                  <c:v>4.5247217687925577E-2</c:v>
                </c:pt>
                <c:pt idx="1">
                  <c:v>8.9365205201402245E-2</c:v>
                </c:pt>
                <c:pt idx="2">
                  <c:v>3.3813822746945596E-2</c:v>
                </c:pt>
                <c:pt idx="3">
                  <c:v>2.2074447844303277E-2</c:v>
                </c:pt>
                <c:pt idx="4">
                  <c:v>8.7593194076715317E-3</c:v>
                </c:pt>
                <c:pt idx="5">
                  <c:v>8.5443342938748987E-2</c:v>
                </c:pt>
                <c:pt idx="6">
                  <c:v>0.23145471797367595</c:v>
                </c:pt>
                <c:pt idx="7">
                  <c:v>0.10651268875695996</c:v>
                </c:pt>
                <c:pt idx="8">
                  <c:v>2.7245333673715376E-3</c:v>
                </c:pt>
                <c:pt idx="9">
                  <c:v>3.1524661765185963E-5</c:v>
                </c:pt>
                <c:pt idx="10">
                  <c:v>0.21259691555732194</c:v>
                </c:pt>
                <c:pt idx="11">
                  <c:v>5.3018589501549795E-5</c:v>
                </c:pt>
                <c:pt idx="12">
                  <c:v>0.184375452002529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A3-482E-A0A2-2EB709B3659A}"/>
            </c:ext>
          </c:extLst>
        </c:ser>
        <c:ser>
          <c:idx val="4"/>
          <c:order val="3"/>
          <c:tx>
            <c:strRef>
              <c:f>'VVNP sek'!$B$7</c:f>
              <c:strCache>
                <c:ptCount val="1"/>
                <c:pt idx="0">
                  <c:v>Russian Ruble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'VVNP sek'!$D$2:$P$2</c:f>
              <c:strCache>
                <c:ptCount val="13"/>
                <c:pt idx="0">
                  <c:v>II 14</c:v>
                </c:pt>
                <c:pt idx="1">
                  <c:v>III 14</c:v>
                </c:pt>
                <c:pt idx="2">
                  <c:v>IV 14</c:v>
                </c:pt>
                <c:pt idx="3">
                  <c:v>I 15</c:v>
                </c:pt>
                <c:pt idx="4">
                  <c:v>II 15</c:v>
                </c:pt>
                <c:pt idx="5">
                  <c:v>III 15</c:v>
                </c:pt>
                <c:pt idx="6">
                  <c:v>IV 15</c:v>
                </c:pt>
                <c:pt idx="7">
                  <c:v>I 16</c:v>
                </c:pt>
                <c:pt idx="8">
                  <c:v>II 16</c:v>
                </c:pt>
                <c:pt idx="9">
                  <c:v>III 16</c:v>
                </c:pt>
                <c:pt idx="10">
                  <c:v>IV 16</c:v>
                </c:pt>
                <c:pt idx="11">
                  <c:v>I 17</c:v>
                </c:pt>
                <c:pt idx="12">
                  <c:v>II 17</c:v>
                </c:pt>
              </c:strCache>
            </c:strRef>
          </c:cat>
          <c:val>
            <c:numRef>
              <c:f>'VVNP sek'!$D$7:$P$7</c:f>
              <c:numCache>
                <c:formatCode>0%</c:formatCode>
                <c:ptCount val="13"/>
                <c:pt idx="0">
                  <c:v>1.2295007451424674E-2</c:v>
                </c:pt>
                <c:pt idx="1">
                  <c:v>2.76213398693015E-3</c:v>
                </c:pt>
                <c:pt idx="2">
                  <c:v>3.0318589015224085E-3</c:v>
                </c:pt>
                <c:pt idx="3">
                  <c:v>2.6137482977321193E-2</c:v>
                </c:pt>
                <c:pt idx="4">
                  <c:v>0.13577413337070723</c:v>
                </c:pt>
                <c:pt idx="5">
                  <c:v>5.3644310446396152E-3</c:v>
                </c:pt>
                <c:pt idx="6">
                  <c:v>0.25663865325413021</c:v>
                </c:pt>
                <c:pt idx="7">
                  <c:v>0.1470532727777743</c:v>
                </c:pt>
                <c:pt idx="8">
                  <c:v>0.15839894347415068</c:v>
                </c:pt>
                <c:pt idx="9">
                  <c:v>0.16751792457366216</c:v>
                </c:pt>
                <c:pt idx="10">
                  <c:v>0.29005374549854523</c:v>
                </c:pt>
                <c:pt idx="11">
                  <c:v>0.49034578610737106</c:v>
                </c:pt>
                <c:pt idx="12">
                  <c:v>0.21326077802676435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A3-482E-A0A2-2EB709B3659A}"/>
            </c:ext>
          </c:extLst>
        </c:ser>
        <c:ser>
          <c:idx val="5"/>
          <c:order val="4"/>
          <c:tx>
            <c:strRef>
              <c:f>'VVNP sek'!$B$8</c:f>
              <c:strCache>
                <c:ptCount val="1"/>
                <c:pt idx="0">
                  <c:v>Gold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'VVNP sek'!$D$2:$P$2</c:f>
              <c:strCache>
                <c:ptCount val="13"/>
                <c:pt idx="0">
                  <c:v>II 14</c:v>
                </c:pt>
                <c:pt idx="1">
                  <c:v>III 14</c:v>
                </c:pt>
                <c:pt idx="2">
                  <c:v>IV 14</c:v>
                </c:pt>
                <c:pt idx="3">
                  <c:v>I 15</c:v>
                </c:pt>
                <c:pt idx="4">
                  <c:v>II 15</c:v>
                </c:pt>
                <c:pt idx="5">
                  <c:v>III 15</c:v>
                </c:pt>
                <c:pt idx="6">
                  <c:v>IV 15</c:v>
                </c:pt>
                <c:pt idx="7">
                  <c:v>I 16</c:v>
                </c:pt>
                <c:pt idx="8">
                  <c:v>II 16</c:v>
                </c:pt>
                <c:pt idx="9">
                  <c:v>III 16</c:v>
                </c:pt>
                <c:pt idx="10">
                  <c:v>IV 16</c:v>
                </c:pt>
                <c:pt idx="11">
                  <c:v>I 17</c:v>
                </c:pt>
                <c:pt idx="12">
                  <c:v>II 17</c:v>
                </c:pt>
              </c:strCache>
            </c:strRef>
          </c:cat>
          <c:val>
            <c:numRef>
              <c:f>'VVNP sek'!$D$8:$P$8</c:f>
              <c:numCache>
                <c:formatCode>0%</c:formatCode>
                <c:ptCount val="13"/>
                <c:pt idx="0">
                  <c:v>2.5284834575938168E-2</c:v>
                </c:pt>
                <c:pt idx="1">
                  <c:v>3.556422561983523E-2</c:v>
                </c:pt>
                <c:pt idx="2">
                  <c:v>3.3498797528285697E-2</c:v>
                </c:pt>
                <c:pt idx="3">
                  <c:v>4.0118353659478176E-2</c:v>
                </c:pt>
                <c:pt idx="4">
                  <c:v>0.18458997158387416</c:v>
                </c:pt>
                <c:pt idx="5">
                  <c:v>7.7948623115465252E-3</c:v>
                </c:pt>
                <c:pt idx="6">
                  <c:v>6.8155685281213352E-2</c:v>
                </c:pt>
                <c:pt idx="7">
                  <c:v>1.503102513781648E-2</c:v>
                </c:pt>
                <c:pt idx="8">
                  <c:v>8.2644729020005081E-2</c:v>
                </c:pt>
                <c:pt idx="9">
                  <c:v>0</c:v>
                </c:pt>
                <c:pt idx="10">
                  <c:v>8.5346854673173655E-2</c:v>
                </c:pt>
                <c:pt idx="11">
                  <c:v>0</c:v>
                </c:pt>
                <c:pt idx="12">
                  <c:v>1.1290849122099982E-2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5A3-482E-A0A2-2EB709B3659A}"/>
            </c:ext>
          </c:extLst>
        </c:ser>
        <c:ser>
          <c:idx val="6"/>
          <c:order val="5"/>
          <c:tx>
            <c:strRef>
              <c:f>'VVNP sek'!$B$9</c:f>
              <c:strCache>
                <c:ptCount val="1"/>
                <c:pt idx="0">
                  <c:v>Muud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strRef>
              <c:f>'VVNP sek'!$D$2:$P$2</c:f>
              <c:strCache>
                <c:ptCount val="13"/>
                <c:pt idx="0">
                  <c:v>II 14</c:v>
                </c:pt>
                <c:pt idx="1">
                  <c:v>III 14</c:v>
                </c:pt>
                <c:pt idx="2">
                  <c:v>IV 14</c:v>
                </c:pt>
                <c:pt idx="3">
                  <c:v>I 15</c:v>
                </c:pt>
                <c:pt idx="4">
                  <c:v>II 15</c:v>
                </c:pt>
                <c:pt idx="5">
                  <c:v>III 15</c:v>
                </c:pt>
                <c:pt idx="6">
                  <c:v>IV 15</c:v>
                </c:pt>
                <c:pt idx="7">
                  <c:v>I 16</c:v>
                </c:pt>
                <c:pt idx="8">
                  <c:v>II 16</c:v>
                </c:pt>
                <c:pt idx="9">
                  <c:v>III 16</c:v>
                </c:pt>
                <c:pt idx="10">
                  <c:v>IV 16</c:v>
                </c:pt>
                <c:pt idx="11">
                  <c:v>I 17</c:v>
                </c:pt>
                <c:pt idx="12">
                  <c:v>II 17</c:v>
                </c:pt>
              </c:strCache>
            </c:strRef>
          </c:cat>
          <c:val>
            <c:numRef>
              <c:f>'VVNP sek'!$D$9:$P$9</c:f>
              <c:numCache>
                <c:formatCode>0%</c:formatCode>
                <c:ptCount val="13"/>
                <c:pt idx="0">
                  <c:v>0.56448645726753899</c:v>
                </c:pt>
                <c:pt idx="1">
                  <c:v>0.31567459597189251</c:v>
                </c:pt>
                <c:pt idx="2">
                  <c:v>0.41945935874729012</c:v>
                </c:pt>
                <c:pt idx="3">
                  <c:v>0.38132300005907049</c:v>
                </c:pt>
                <c:pt idx="4">
                  <c:v>0.27719869526585172</c:v>
                </c:pt>
                <c:pt idx="5">
                  <c:v>0.31218936642058082</c:v>
                </c:pt>
                <c:pt idx="6">
                  <c:v>0.19609075219924388</c:v>
                </c:pt>
                <c:pt idx="7">
                  <c:v>0.12898088946628783</c:v>
                </c:pt>
                <c:pt idx="8">
                  <c:v>0.16851234496215362</c:v>
                </c:pt>
                <c:pt idx="9">
                  <c:v>3.3143374757859667E-3</c:v>
                </c:pt>
                <c:pt idx="10">
                  <c:v>0.32737514332863227</c:v>
                </c:pt>
                <c:pt idx="11">
                  <c:v>3.9375277627364258E-3</c:v>
                </c:pt>
                <c:pt idx="12">
                  <c:v>0.2328876188523743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A3-482E-A0A2-2EB709B365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4778824"/>
        <c:axId val="494779608"/>
      </c:areaChart>
      <c:catAx>
        <c:axId val="494778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Atlas Grotesk Light" pitchFamily="50" charset="-70"/>
                <a:ea typeface="+mn-ea"/>
                <a:cs typeface="+mn-cs"/>
              </a:defRPr>
            </a:pPr>
            <a:endParaRPr lang="et-EE"/>
          </a:p>
        </c:txPr>
        <c:crossAx val="494779608"/>
        <c:crosses val="autoZero"/>
        <c:auto val="1"/>
        <c:lblAlgn val="ctr"/>
        <c:lblOffset val="100"/>
        <c:noMultiLvlLbl val="0"/>
      </c:catAx>
      <c:valAx>
        <c:axId val="494779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Atlas Grotesk Light" pitchFamily="50" charset="-70"/>
                    <a:ea typeface="+mn-ea"/>
                    <a:cs typeface="+mn-cs"/>
                  </a:defRPr>
                </a:pPr>
                <a:r>
                  <a:rPr lang="et-EE"/>
                  <a:t>% omavahenditest</a:t>
                </a:r>
              </a:p>
            </c:rich>
          </c:tx>
          <c:layout>
            <c:manualLayout>
              <c:xMode val="edge"/>
              <c:yMode val="edge"/>
              <c:x val="5.0963730080573573E-3"/>
              <c:y val="0.28088847103067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2"/>
                  </a:solidFill>
                  <a:latin typeface="Atlas Grotesk Light" pitchFamily="50" charset="-70"/>
                  <a:ea typeface="+mn-ea"/>
                  <a:cs typeface="+mn-cs"/>
                </a:defRPr>
              </a:pPr>
              <a:endParaRPr lang="et-EE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Atlas Grotesk Light" pitchFamily="50" charset="-70"/>
                <a:ea typeface="+mn-ea"/>
                <a:cs typeface="+mn-cs"/>
              </a:defRPr>
            </a:pPr>
            <a:endParaRPr lang="et-EE"/>
          </a:p>
        </c:txPr>
        <c:crossAx val="4947788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328750227442245E-2"/>
          <c:y val="0.83442088056496333"/>
          <c:w val="0.95526194760739191"/>
          <c:h val="0.164273792617582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Atlas Grotesk Light" pitchFamily="50" charset="-70"/>
              <a:ea typeface="+mn-ea"/>
              <a:cs typeface="+mn-cs"/>
            </a:defRPr>
          </a:pPr>
          <a:endParaRPr lang="et-EE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2"/>
          </a:solidFill>
          <a:latin typeface="Atlas Grotesk Light" pitchFamily="50" charset="-70"/>
        </a:defRPr>
      </a:pPr>
      <a:endParaRPr lang="et-EE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spc="0" baseline="0">
                <a:solidFill>
                  <a:schemeClr val="tx2"/>
                </a:solidFill>
                <a:latin typeface="Atlas Grotesk Light" pitchFamily="50" charset="-70"/>
                <a:ea typeface="+mn-ea"/>
                <a:cs typeface="+mn-cs"/>
              </a:defRPr>
            </a:pPr>
            <a:r>
              <a:rPr lang="et-EE" b="1"/>
              <a:t>Investeerimisühingute netotulud ja kasum, tuh eurot</a:t>
            </a:r>
          </a:p>
        </c:rich>
      </c:tx>
      <c:layout>
        <c:manualLayout>
          <c:xMode val="edge"/>
          <c:yMode val="edge"/>
          <c:x val="0.10210802499572895"/>
          <c:y val="1.08548168249660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spc="0" baseline="0">
              <a:solidFill>
                <a:schemeClr val="tx2"/>
              </a:solidFill>
              <a:latin typeface="Atlas Grotesk Light" pitchFamily="50" charset="-70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114169755945791"/>
          <c:y val="0.18560784167381922"/>
          <c:w val="0.73886089238845143"/>
          <c:h val="0.4728128770633528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Netotulud!$B$3</c:f>
              <c:strCache>
                <c:ptCount val="1"/>
                <c:pt idx="0">
                  <c:v>Tasud v.p. valitsemiselt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Netotulud!$D$3:$O$3</c:f>
              <c:numCache>
                <c:formatCode>#,##0</c:formatCode>
                <c:ptCount val="9"/>
                <c:pt idx="0">
                  <c:v>6698.1970000000001</c:v>
                </c:pt>
                <c:pt idx="1">
                  <c:v>4150.3879999999999</c:v>
                </c:pt>
                <c:pt idx="2">
                  <c:v>333.01799999999997</c:v>
                </c:pt>
                <c:pt idx="3">
                  <c:v>503.09399999999999</c:v>
                </c:pt>
                <c:pt idx="4">
                  <c:v>463.24299999999999</c:v>
                </c:pt>
                <c:pt idx="5">
                  <c:v>32.139000000000003</c:v>
                </c:pt>
                <c:pt idx="6">
                  <c:v>51.658000000000001</c:v>
                </c:pt>
                <c:pt idx="7">
                  <c:v>12.856999999999999</c:v>
                </c:pt>
                <c:pt idx="8">
                  <c:v>24.893999999999998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6A-4410-B6FC-587595F2AFD2}"/>
            </c:ext>
          </c:extLst>
        </c:ser>
        <c:ser>
          <c:idx val="1"/>
          <c:order val="1"/>
          <c:tx>
            <c:strRef>
              <c:f>Netotulud!$B$4</c:f>
              <c:strCache>
                <c:ptCount val="1"/>
                <c:pt idx="0">
                  <c:v>Tasud v.p. tehingutelt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Netotulud!$D$4:$O$4</c:f>
              <c:numCache>
                <c:formatCode>#,##0</c:formatCode>
                <c:ptCount val="9"/>
                <c:pt idx="0">
                  <c:v>162.399</c:v>
                </c:pt>
                <c:pt idx="1">
                  <c:v>-1057.3489999999999</c:v>
                </c:pt>
                <c:pt idx="2">
                  <c:v>1337.5440000000001</c:v>
                </c:pt>
                <c:pt idx="3">
                  <c:v>2232.2049999999999</c:v>
                </c:pt>
                <c:pt idx="4">
                  <c:v>2461.511</c:v>
                </c:pt>
                <c:pt idx="5">
                  <c:v>2170.5810000000001</c:v>
                </c:pt>
                <c:pt idx="6">
                  <c:v>1722.35</c:v>
                </c:pt>
                <c:pt idx="7">
                  <c:v>480.298</c:v>
                </c:pt>
                <c:pt idx="8">
                  <c:v>1161.77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6A-4410-B6FC-587595F2AFD2}"/>
            </c:ext>
          </c:extLst>
        </c:ser>
        <c:ser>
          <c:idx val="2"/>
          <c:order val="2"/>
          <c:tx>
            <c:strRef>
              <c:f>Netotulud!$B$5</c:f>
              <c:strCache>
                <c:ptCount val="1"/>
                <c:pt idx="0">
                  <c:v>Tasud nõustamiselt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Netotulud!$D$5:$O$5</c:f>
              <c:numCache>
                <c:formatCode>#,##0</c:formatCode>
                <c:ptCount val="9"/>
                <c:pt idx="0">
                  <c:v>798.32100000000003</c:v>
                </c:pt>
                <c:pt idx="1">
                  <c:v>2097.9780000000001</c:v>
                </c:pt>
                <c:pt idx="2">
                  <c:v>22.5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6A-4410-B6FC-587595F2AFD2}"/>
            </c:ext>
          </c:extLst>
        </c:ser>
        <c:ser>
          <c:idx val="3"/>
          <c:order val="3"/>
          <c:tx>
            <c:strRef>
              <c:f>Netotulud!$B$6</c:f>
              <c:strCache>
                <c:ptCount val="1"/>
                <c:pt idx="0">
                  <c:v>Tasud muudelt inv. teenustelt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Netotulud!$D$6:$O$6</c:f>
              <c:numCache>
                <c:formatCode>#,##0</c:formatCode>
                <c:ptCount val="9"/>
                <c:pt idx="0">
                  <c:v>6336.393</c:v>
                </c:pt>
                <c:pt idx="1">
                  <c:v>8863.69</c:v>
                </c:pt>
                <c:pt idx="2">
                  <c:v>13650.226000000001</c:v>
                </c:pt>
                <c:pt idx="3">
                  <c:v>14427.022000000001</c:v>
                </c:pt>
                <c:pt idx="4">
                  <c:v>13369.304</c:v>
                </c:pt>
                <c:pt idx="5">
                  <c:v>17960.341</c:v>
                </c:pt>
                <c:pt idx="6">
                  <c:v>19692.378000000001</c:v>
                </c:pt>
                <c:pt idx="7">
                  <c:v>4472.2759999999998</c:v>
                </c:pt>
                <c:pt idx="8">
                  <c:v>10437.804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6A-4410-B6FC-587595F2AFD2}"/>
            </c:ext>
          </c:extLst>
        </c:ser>
        <c:ser>
          <c:idx val="4"/>
          <c:order val="4"/>
          <c:tx>
            <c:strRef>
              <c:f>Netotulud!$B$7</c:f>
              <c:strCache>
                <c:ptCount val="1"/>
                <c:pt idx="0">
                  <c:v>Muu teenustasutulu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Netotulud!$D$7:$O$7</c:f>
              <c:numCache>
                <c:formatCode>#,##0</c:formatCode>
                <c:ptCount val="9"/>
                <c:pt idx="0">
                  <c:v>2193.7040000000002</c:v>
                </c:pt>
                <c:pt idx="1">
                  <c:v>41.488999999999997</c:v>
                </c:pt>
                <c:pt idx="2">
                  <c:v>-114.033</c:v>
                </c:pt>
                <c:pt idx="3">
                  <c:v>1161.3420000000001</c:v>
                </c:pt>
                <c:pt idx="4">
                  <c:v>94.488</c:v>
                </c:pt>
                <c:pt idx="5">
                  <c:v>109.986</c:v>
                </c:pt>
                <c:pt idx="6">
                  <c:v>49.622999999999998</c:v>
                </c:pt>
                <c:pt idx="7">
                  <c:v>10.087</c:v>
                </c:pt>
                <c:pt idx="8">
                  <c:v>18.923999999999999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6A-4410-B6FC-587595F2AFD2}"/>
            </c:ext>
          </c:extLst>
        </c:ser>
        <c:ser>
          <c:idx val="5"/>
          <c:order val="5"/>
          <c:tx>
            <c:strRef>
              <c:f>Netotulud!$B$8</c:f>
              <c:strCache>
                <c:ptCount val="1"/>
                <c:pt idx="0">
                  <c:v>Netointressitulu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Netotulud!$D$8:$O$8</c:f>
              <c:numCache>
                <c:formatCode>#,##0</c:formatCode>
                <c:ptCount val="9"/>
                <c:pt idx="0">
                  <c:v>2568.2249999999999</c:v>
                </c:pt>
                <c:pt idx="1">
                  <c:v>6115.4110000000001</c:v>
                </c:pt>
                <c:pt idx="2">
                  <c:v>5838.6419999999998</c:v>
                </c:pt>
                <c:pt idx="3">
                  <c:v>4079.0839999999998</c:v>
                </c:pt>
                <c:pt idx="4">
                  <c:v>2591.8470000000002</c:v>
                </c:pt>
                <c:pt idx="5">
                  <c:v>826.41300000000001</c:v>
                </c:pt>
                <c:pt idx="6">
                  <c:v>206.43899999999999</c:v>
                </c:pt>
                <c:pt idx="7">
                  <c:v>429.75099999999998</c:v>
                </c:pt>
                <c:pt idx="8">
                  <c:v>615.87199999999996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B6A-4410-B6FC-587595F2AFD2}"/>
            </c:ext>
          </c:extLst>
        </c:ser>
        <c:ser>
          <c:idx val="6"/>
          <c:order val="6"/>
          <c:tx>
            <c:strRef>
              <c:f>Netotulud!$B$9</c:f>
              <c:strCache>
                <c:ptCount val="1"/>
                <c:pt idx="0">
                  <c:v>Muud netotulud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Netotulud!$D$9:$O$9</c:f>
              <c:numCache>
                <c:formatCode>#,##0</c:formatCode>
                <c:ptCount val="9"/>
                <c:pt idx="0">
                  <c:v>-2710.8130000000001</c:v>
                </c:pt>
                <c:pt idx="1">
                  <c:v>451.63</c:v>
                </c:pt>
                <c:pt idx="2">
                  <c:v>-721.43299999999999</c:v>
                </c:pt>
                <c:pt idx="3">
                  <c:v>816.18</c:v>
                </c:pt>
                <c:pt idx="4">
                  <c:v>1901.64</c:v>
                </c:pt>
                <c:pt idx="5">
                  <c:v>-1442.213</c:v>
                </c:pt>
                <c:pt idx="6">
                  <c:v>-1012.7999999999956</c:v>
                </c:pt>
                <c:pt idx="7">
                  <c:v>-311.7470000000003</c:v>
                </c:pt>
                <c:pt idx="8">
                  <c:v>-2504.0620000000017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6A-4410-B6FC-587595F2A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93275416"/>
        <c:axId val="393274240"/>
      </c:barChart>
      <c:lineChart>
        <c:grouping val="standard"/>
        <c:varyColors val="0"/>
        <c:ser>
          <c:idx val="7"/>
          <c:order val="7"/>
          <c:tx>
            <c:strRef>
              <c:f>Netotulud!$B$10</c:f>
              <c:strCache>
                <c:ptCount val="1"/>
                <c:pt idx="0">
                  <c:v>Puhaskasum (p.s)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Netotulud!$D$2:$O$2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 3k</c:v>
                </c:pt>
                <c:pt idx="8">
                  <c:v>2017 6k</c:v>
                </c:pt>
              </c:strCache>
            </c:strRef>
          </c:cat>
          <c:val>
            <c:numRef>
              <c:f>Netotulud!$D$10:$O$10</c:f>
              <c:numCache>
                <c:formatCode>#,##0</c:formatCode>
                <c:ptCount val="9"/>
                <c:pt idx="0">
                  <c:v>8167.5259999999998</c:v>
                </c:pt>
                <c:pt idx="1">
                  <c:v>5868.6989999999996</c:v>
                </c:pt>
                <c:pt idx="2">
                  <c:v>5935.6779999999999</c:v>
                </c:pt>
                <c:pt idx="3">
                  <c:v>8674.4449999999997</c:v>
                </c:pt>
                <c:pt idx="4">
                  <c:v>5481.0879999999997</c:v>
                </c:pt>
                <c:pt idx="5">
                  <c:v>1389.374</c:v>
                </c:pt>
                <c:pt idx="6">
                  <c:v>6245.6419999999998</c:v>
                </c:pt>
                <c:pt idx="7">
                  <c:v>1171.191</c:v>
                </c:pt>
                <c:pt idx="8">
                  <c:v>2378.2800000000002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B6A-4410-B6FC-587595F2A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8025704"/>
        <c:axId val="393274632"/>
      </c:lineChart>
      <c:catAx>
        <c:axId val="393275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Atlas Grotesk Light" pitchFamily="50" charset="-70"/>
                <a:ea typeface="+mn-ea"/>
                <a:cs typeface="+mn-cs"/>
              </a:defRPr>
            </a:pPr>
            <a:endParaRPr lang="et-EE"/>
          </a:p>
        </c:txPr>
        <c:crossAx val="393274240"/>
        <c:crosses val="autoZero"/>
        <c:auto val="1"/>
        <c:lblAlgn val="ctr"/>
        <c:lblOffset val="100"/>
        <c:noMultiLvlLbl val="0"/>
      </c:catAx>
      <c:valAx>
        <c:axId val="39327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Atlas Grotesk Light" pitchFamily="50" charset="-70"/>
                <a:ea typeface="+mn-ea"/>
                <a:cs typeface="+mn-cs"/>
              </a:defRPr>
            </a:pPr>
            <a:endParaRPr lang="et-EE"/>
          </a:p>
        </c:txPr>
        <c:crossAx val="393275416"/>
        <c:crosses val="autoZero"/>
        <c:crossBetween val="between"/>
        <c:majorUnit val="10000"/>
      </c:valAx>
      <c:valAx>
        <c:axId val="393274632"/>
        <c:scaling>
          <c:orientation val="minMax"/>
          <c:max val="15000"/>
          <c:min val="-500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Atlas Grotesk Light" pitchFamily="50" charset="-70"/>
                <a:ea typeface="+mn-ea"/>
                <a:cs typeface="+mn-cs"/>
              </a:defRPr>
            </a:pPr>
            <a:endParaRPr lang="et-EE"/>
          </a:p>
        </c:txPr>
        <c:crossAx val="388025704"/>
        <c:crosses val="max"/>
        <c:crossBetween val="between"/>
        <c:majorUnit val="4000"/>
      </c:valAx>
      <c:catAx>
        <c:axId val="3880257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932746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359580052493433E-2"/>
          <c:y val="0.73474844816718132"/>
          <c:w val="0.9641695100612423"/>
          <c:h val="0.237473904635733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Atlas Grotesk Light" pitchFamily="50" charset="-70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2"/>
          </a:solidFill>
          <a:latin typeface="Atlas Grotesk Light" pitchFamily="50" charset="-70"/>
        </a:defRPr>
      </a:pPr>
      <a:endParaRPr lang="et-E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Picture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-3212592" y="-5455920"/>
          <a:ext cx="3599815" cy="233997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Picture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715798" cy="377242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FCBB-0842-411B-BF77-C5AAF8A0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Finantsinspektsioon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Lakson</dc:creator>
  <cp:keywords/>
  <dc:description/>
  <cp:lastModifiedBy>Piret Lakson</cp:lastModifiedBy>
  <cp:revision>7</cp:revision>
  <dcterms:created xsi:type="dcterms:W3CDTF">2017-12-18T10:02:00Z</dcterms:created>
  <dcterms:modified xsi:type="dcterms:W3CDTF">2017-12-18T10:12:00Z</dcterms:modified>
</cp:coreProperties>
</file>