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EC" w:rsidRPr="002E6399" w:rsidRDefault="002964EC" w:rsidP="00BF161E">
      <w:pPr>
        <w:pStyle w:val="Heading1"/>
        <w:rPr>
          <w:rFonts w:ascii="Publico Headline" w:hAnsi="Publico Headline"/>
          <w:sz w:val="28"/>
          <w:szCs w:val="28"/>
        </w:rPr>
      </w:pPr>
      <w:bookmarkStart w:id="0" w:name="_Toc507671953"/>
      <w:bookmarkStart w:id="1" w:name="_Toc511977582"/>
      <w:r w:rsidRPr="002E6399">
        <w:rPr>
          <w:rFonts w:ascii="Publico Headline" w:hAnsi="Publico Headline"/>
          <w:sz w:val="28"/>
          <w:szCs w:val="28"/>
        </w:rPr>
        <w:t>Kahjukindlustus</w:t>
      </w:r>
      <w:bookmarkEnd w:id="0"/>
      <w:bookmarkEnd w:id="1"/>
      <w:r w:rsidR="006F5C4C">
        <w:rPr>
          <w:rFonts w:ascii="Publico Headline" w:hAnsi="Publico Headline"/>
          <w:sz w:val="28"/>
          <w:szCs w:val="28"/>
        </w:rPr>
        <w:t>e sektori ülevaade</w:t>
      </w:r>
    </w:p>
    <w:tbl>
      <w:tblPr>
        <w:tblStyle w:val="TableGrid"/>
        <w:tblpPr w:leftFromText="180" w:rightFromText="180" w:vertAnchor="text" w:tblpY="1"/>
        <w:tblW w:w="47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1467"/>
        <w:gridCol w:w="490"/>
        <w:gridCol w:w="1698"/>
      </w:tblGrid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  <w:t>II kv 2017</w:t>
            </w:r>
          </w:p>
        </w:tc>
        <w:tc>
          <w:tcPr>
            <w:tcW w:w="253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  <w:t>III kv 2017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Kindlustusmaksete maht</w:t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123</w:t>
            </w:r>
          </w:p>
        </w:tc>
        <w:tc>
          <w:tcPr>
            <w:tcW w:w="253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FA5C1D" w:themeColor="accent3"/>
                <w:spacing w:val="5"/>
                <w:szCs w:val="21"/>
              </w:rPr>
              <w:t>↓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122 mln eurot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Esinenud kahjunõuete maht</w:t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64</w:t>
            </w:r>
          </w:p>
        </w:tc>
        <w:tc>
          <w:tcPr>
            <w:tcW w:w="253" w:type="pct"/>
          </w:tcPr>
          <w:p w:rsidR="000B1684" w:rsidRPr="00884B0F" w:rsidRDefault="00816748" w:rsidP="000B1684">
            <w:pPr>
              <w:spacing w:before="0" w:after="0" w:line="276" w:lineRule="auto"/>
              <w:rPr>
                <w:rFonts w:asciiTheme="minorHAnsi" w:hAnsiTheme="minorHAnsi"/>
                <w:color w:val="00BB4A" w:themeColor="accent2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FA5C1D" w:themeColor="accent3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76 mln eurot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Kindlustusseltside varade maht</w:t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705</w:t>
            </w:r>
          </w:p>
        </w:tc>
        <w:tc>
          <w:tcPr>
            <w:tcW w:w="253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  <w:lang w:val="en-US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734 mln eurot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tabs>
                <w:tab w:val="left" w:pos="375"/>
              </w:tabs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Neto kombineeritud suhe</w:t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88,4%</w:t>
            </w:r>
          </w:p>
        </w:tc>
        <w:tc>
          <w:tcPr>
            <w:tcW w:w="253" w:type="pct"/>
          </w:tcPr>
          <w:p w:rsidR="000B1684" w:rsidRPr="00884B0F" w:rsidRDefault="00D032CA" w:rsidP="00D032CA">
            <w:pPr>
              <w:spacing w:before="0" w:after="0" w:line="276" w:lineRule="auto"/>
              <w:jc w:val="center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500778" w:themeColor="text2"/>
                <w:spacing w:val="5"/>
                <w:szCs w:val="21"/>
              </w:rPr>
              <w:t>↔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88,4%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Kasum</w:t>
            </w:r>
            <w:r w:rsidRPr="00884B0F">
              <w:rPr>
                <w:rStyle w:val="FootnoteReference"/>
                <w:rFonts w:asciiTheme="minorHAnsi" w:hAnsiTheme="minorHAnsi"/>
                <w:szCs w:val="21"/>
              </w:rPr>
              <w:footnoteReference w:id="1"/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12</w:t>
            </w:r>
          </w:p>
        </w:tc>
        <w:tc>
          <w:tcPr>
            <w:tcW w:w="253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color w:val="00BB4A" w:themeColor="accent2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14,6 mln eurot</w:t>
            </w:r>
          </w:p>
        </w:tc>
      </w:tr>
      <w:tr w:rsidR="000B1684" w:rsidRPr="00884B0F" w:rsidTr="00816748">
        <w:tc>
          <w:tcPr>
            <w:tcW w:w="2957" w:type="pct"/>
          </w:tcPr>
          <w:p w:rsidR="000B1684" w:rsidRPr="00884B0F" w:rsidRDefault="000B1684" w:rsidP="000B1684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rPr>
                <w:rFonts w:asciiTheme="minorHAnsi" w:hAnsiTheme="minorHAnsi"/>
                <w:szCs w:val="21"/>
              </w:rPr>
            </w:pPr>
            <w:proofErr w:type="spellStart"/>
            <w:r w:rsidRPr="00884B0F">
              <w:rPr>
                <w:rFonts w:asciiTheme="minorHAnsi" w:hAnsiTheme="minorHAnsi"/>
                <w:szCs w:val="21"/>
              </w:rPr>
              <w:t>Solventsuskapitalinõude</w:t>
            </w:r>
            <w:proofErr w:type="spellEnd"/>
            <w:r w:rsidRPr="00884B0F">
              <w:rPr>
                <w:rFonts w:asciiTheme="minorHAnsi" w:hAnsiTheme="minorHAnsi"/>
                <w:szCs w:val="21"/>
              </w:rPr>
              <w:t xml:space="preserve"> kaetus</w:t>
            </w:r>
          </w:p>
        </w:tc>
        <w:tc>
          <w:tcPr>
            <w:tcW w:w="830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214%</w:t>
            </w:r>
          </w:p>
        </w:tc>
        <w:tc>
          <w:tcPr>
            <w:tcW w:w="253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color w:val="00BB4A" w:themeColor="accent2"/>
                <w:szCs w:val="21"/>
              </w:rPr>
            </w:pPr>
            <w:r w:rsidRPr="00884B0F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0B1684" w:rsidRPr="00884B0F" w:rsidRDefault="000B1684" w:rsidP="000B1684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884B0F">
              <w:rPr>
                <w:rFonts w:asciiTheme="minorHAnsi" w:hAnsiTheme="minorHAnsi"/>
                <w:szCs w:val="21"/>
              </w:rPr>
              <w:t>221%</w:t>
            </w:r>
          </w:p>
        </w:tc>
      </w:tr>
    </w:tbl>
    <w:p w:rsidR="00DD4A27" w:rsidRPr="00884B0F" w:rsidRDefault="00DD4A27" w:rsidP="00DD4A27">
      <w:pPr>
        <w:pStyle w:val="MainText"/>
        <w:rPr>
          <w:sz w:val="21"/>
          <w:szCs w:val="21"/>
        </w:rPr>
      </w:pPr>
    </w:p>
    <w:p w:rsidR="00DD4A27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noProof/>
          <w:sz w:val="21"/>
          <w:szCs w:val="21"/>
          <w:lang w:eastAsia="et-EE"/>
        </w:rPr>
        <w:drawing>
          <wp:anchor distT="107950" distB="71755" distL="114300" distR="114300" simplePos="0" relativeHeight="251663360" behindDoc="0" locked="0" layoutInCell="1" allowOverlap="1" wp14:anchorId="45279451" wp14:editId="1A71B414">
            <wp:simplePos x="0" y="0"/>
            <wp:positionH relativeFrom="page">
              <wp:posOffset>3618230</wp:posOffset>
            </wp:positionH>
            <wp:positionV relativeFrom="paragraph">
              <wp:posOffset>567690</wp:posOffset>
            </wp:positionV>
            <wp:extent cx="3599815" cy="2159635"/>
            <wp:effectExtent l="0" t="0" r="635" b="0"/>
            <wp:wrapSquare wrapText="bothSides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B0F">
        <w:rPr>
          <w:sz w:val="21"/>
          <w:szCs w:val="21"/>
        </w:rPr>
        <w:t xml:space="preserve">Eesti kahjukindlustusseltsid koos oma filiaalidega </w:t>
      </w:r>
      <w:r w:rsidR="00884B0F" w:rsidRPr="00884B0F">
        <w:rPr>
          <w:sz w:val="21"/>
          <w:szCs w:val="21"/>
        </w:rPr>
        <w:t xml:space="preserve">kogusid </w:t>
      </w:r>
      <w:r w:rsidRPr="00884B0F">
        <w:rPr>
          <w:sz w:val="21"/>
          <w:szCs w:val="21"/>
        </w:rPr>
        <w:t xml:space="preserve">2017. aasta kolmandas kvartalis kindlustusmakseid 122 miljoni euro ulatuses ehk ühe protsendi võrra vähem kui teises kvartalis. Aasta esimese kolme kvartali kokkuvõttes on maksete maht siiski </w:t>
      </w:r>
      <w:r w:rsidR="00130577" w:rsidRPr="00884B0F">
        <w:rPr>
          <w:sz w:val="21"/>
          <w:szCs w:val="21"/>
        </w:rPr>
        <w:t>üpris kiiresti kasvanud.</w:t>
      </w:r>
      <w:r w:rsidRPr="00884B0F">
        <w:rPr>
          <w:sz w:val="21"/>
          <w:szCs w:val="21"/>
        </w:rPr>
        <w:t xml:space="preserve"> </w:t>
      </w:r>
      <w:r w:rsidR="00130577" w:rsidRPr="00884B0F">
        <w:rPr>
          <w:sz w:val="21"/>
          <w:szCs w:val="21"/>
        </w:rPr>
        <w:t xml:space="preserve">Üheksa kuuga </w:t>
      </w:r>
      <w:r w:rsidRPr="00884B0F">
        <w:rPr>
          <w:sz w:val="21"/>
          <w:szCs w:val="21"/>
        </w:rPr>
        <w:t xml:space="preserve">koguti </w:t>
      </w:r>
      <w:r w:rsidR="00130577" w:rsidRPr="00884B0F">
        <w:rPr>
          <w:sz w:val="21"/>
          <w:szCs w:val="21"/>
        </w:rPr>
        <w:t xml:space="preserve">makseid </w:t>
      </w:r>
      <w:r w:rsidRPr="00884B0F">
        <w:rPr>
          <w:sz w:val="21"/>
          <w:szCs w:val="21"/>
        </w:rPr>
        <w:t xml:space="preserve">363 miljonit eurot ehk 13,8% rohkem kui 2016. aasta samal perioodil. Mahtude sedavõrd kiiret kasvu toetas nii tarbimise kasv majanduse elavnemise läbi kui ka tariifide tõus. Maksete maht on suurenenud kõikidel kindlustusseltsidel. </w:t>
      </w:r>
    </w:p>
    <w:p w:rsidR="00DD4A27" w:rsidRPr="00884B0F" w:rsidRDefault="00884B0F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61312" behindDoc="0" locked="0" layoutInCell="1" allowOverlap="1" wp14:anchorId="22403C88" wp14:editId="155EF078">
            <wp:simplePos x="0" y="0"/>
            <wp:positionH relativeFrom="column">
              <wp:posOffset>2510790</wp:posOffset>
            </wp:positionH>
            <wp:positionV relativeFrom="paragraph">
              <wp:posOffset>917575</wp:posOffset>
            </wp:positionV>
            <wp:extent cx="3599815" cy="2590800"/>
            <wp:effectExtent l="0" t="0" r="635" b="0"/>
            <wp:wrapSquare wrapText="bothSides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A27" w:rsidRPr="00884B0F">
        <w:rPr>
          <w:sz w:val="21"/>
          <w:szCs w:val="21"/>
        </w:rPr>
        <w:t xml:space="preserve">Esinenud kahjunõuete maht moodustas kolmandas kvartalis 76 miljonit eurot ehk 16% rohkem kui teises kvartalis. Kolme kvartali kokkuvõttes oli kahjunõudeid kokku 205 </w:t>
      </w:r>
      <w:bookmarkStart w:id="2" w:name="_GoBack"/>
      <w:bookmarkEnd w:id="2"/>
      <w:r w:rsidR="00DD4A27" w:rsidRPr="00884B0F">
        <w:rPr>
          <w:sz w:val="21"/>
          <w:szCs w:val="21"/>
        </w:rPr>
        <w:t>miljoni euro eest ehk ligi kümnendiku võrra enam kui eelneva aasta samal perioodil.</w:t>
      </w:r>
    </w:p>
    <w:p w:rsidR="00DD4A27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sz w:val="21"/>
          <w:szCs w:val="21"/>
        </w:rPr>
        <w:t xml:space="preserve">Eesti kahjukindlustusturu mahuks koos siin tegutsevate </w:t>
      </w:r>
      <w:proofErr w:type="spellStart"/>
      <w:r w:rsidRPr="00884B0F">
        <w:rPr>
          <w:sz w:val="21"/>
          <w:szCs w:val="21"/>
        </w:rPr>
        <w:t>välisfiliaalidega</w:t>
      </w:r>
      <w:proofErr w:type="spellEnd"/>
      <w:r w:rsidRPr="00884B0F">
        <w:rPr>
          <w:sz w:val="21"/>
          <w:szCs w:val="21"/>
        </w:rPr>
        <w:t xml:space="preserve"> kujunes kolmanda kvartali lõpuks 249 miljonit eurot. </w:t>
      </w:r>
    </w:p>
    <w:p w:rsidR="00DD4A27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sz w:val="21"/>
          <w:szCs w:val="21"/>
        </w:rPr>
        <w:t>Kahjukindlustusseltside kombineeritud suhe ehk kahjusuhe koos kulu</w:t>
      </w:r>
      <w:r w:rsidR="006F5C4C">
        <w:rPr>
          <w:sz w:val="21"/>
          <w:szCs w:val="21"/>
        </w:rPr>
        <w:t>suhtega oli aasta 9 kuu lõikes</w:t>
      </w:r>
      <w:r w:rsidRPr="00884B0F">
        <w:rPr>
          <w:sz w:val="21"/>
          <w:szCs w:val="21"/>
        </w:rPr>
        <w:t xml:space="preserve"> madalam kui eelmise aasta samal perioodil, moodustades 90,2%. Turg tervikuna on tehnilises k</w:t>
      </w:r>
      <w:r w:rsidR="00130577" w:rsidRPr="00884B0F">
        <w:rPr>
          <w:sz w:val="21"/>
          <w:szCs w:val="21"/>
        </w:rPr>
        <w:t>asumis ehk kombineeritud suh</w:t>
      </w:r>
      <w:r w:rsidR="006F5C4C">
        <w:rPr>
          <w:sz w:val="21"/>
          <w:szCs w:val="21"/>
        </w:rPr>
        <w:t xml:space="preserve">e oli </w:t>
      </w:r>
      <w:r w:rsidR="00130577" w:rsidRPr="00884B0F">
        <w:rPr>
          <w:sz w:val="21"/>
          <w:szCs w:val="21"/>
        </w:rPr>
        <w:t>alla 100%.</w:t>
      </w:r>
      <w:r w:rsidRPr="00884B0F">
        <w:rPr>
          <w:sz w:val="21"/>
          <w:szCs w:val="21"/>
        </w:rPr>
        <w:t xml:space="preserve"> </w:t>
      </w:r>
      <w:r w:rsidR="00130577" w:rsidRPr="00884B0F">
        <w:rPr>
          <w:sz w:val="21"/>
          <w:szCs w:val="21"/>
        </w:rPr>
        <w:t xml:space="preserve">Tehnilist </w:t>
      </w:r>
      <w:r w:rsidRPr="00884B0F">
        <w:rPr>
          <w:sz w:val="21"/>
          <w:szCs w:val="21"/>
        </w:rPr>
        <w:t>kahjumit teenitakse vaid liikluskindlustuses.</w:t>
      </w:r>
    </w:p>
    <w:p w:rsidR="00DD4A27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sz w:val="21"/>
          <w:szCs w:val="21"/>
        </w:rPr>
        <w:lastRenderedPageBreak/>
        <w:t>Kahjukindlustusseltsid teenisid aasta esimese üheksa kuu</w:t>
      </w:r>
      <w:r w:rsidR="00130577" w:rsidRPr="00884B0F">
        <w:rPr>
          <w:sz w:val="21"/>
          <w:szCs w:val="21"/>
        </w:rPr>
        <w:t>ga 32,2 miljonit eurot kasumit. Vaatamata ärimahu suhtelisele väiksusele on kahjukindlustus kasumi suuruselt teiseks sektoriks peale pangandust.</w:t>
      </w:r>
    </w:p>
    <w:p w:rsidR="00DD4A27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sz w:val="21"/>
          <w:szCs w:val="21"/>
        </w:rPr>
        <w:t xml:space="preserve">Valdav osa kasumist teenitakse endiselt kindlustustegevusega ning olulisimaks kasumiallikaks on varakindlustus. </w:t>
      </w:r>
    </w:p>
    <w:p w:rsidR="00557490" w:rsidRPr="00884B0F" w:rsidRDefault="00DD4A27" w:rsidP="002E6399">
      <w:pPr>
        <w:pStyle w:val="MainText"/>
        <w:spacing w:after="120"/>
        <w:jc w:val="both"/>
        <w:rPr>
          <w:sz w:val="21"/>
          <w:szCs w:val="21"/>
        </w:rPr>
      </w:pPr>
      <w:r w:rsidRPr="00884B0F">
        <w:rPr>
          <w:sz w:val="21"/>
          <w:szCs w:val="21"/>
        </w:rPr>
        <w:t xml:space="preserve">Kahjukindlustussektori kapitaliseeritus on hea, kindlustusseltside </w:t>
      </w:r>
      <w:proofErr w:type="spellStart"/>
      <w:r w:rsidRPr="00884B0F">
        <w:rPr>
          <w:sz w:val="21"/>
          <w:szCs w:val="21"/>
        </w:rPr>
        <w:t>solventsuskapitalinõude</w:t>
      </w:r>
      <w:proofErr w:type="spellEnd"/>
      <w:r w:rsidRPr="00884B0F">
        <w:rPr>
          <w:sz w:val="21"/>
          <w:szCs w:val="21"/>
        </w:rPr>
        <w:t xml:space="preserve"> kaetus sobivate omavahenditega kerkis 2017. aasta teise kvartali 214%lt 221%ni. Nõuet täidavad kõik kahjukindlustusseltsid</w:t>
      </w:r>
      <w:r w:rsidR="00A7281F" w:rsidRPr="00884B0F">
        <w:rPr>
          <w:sz w:val="21"/>
          <w:szCs w:val="21"/>
        </w:rPr>
        <w:t>.</w:t>
      </w:r>
    </w:p>
    <w:p w:rsidR="00884B0F" w:rsidRDefault="00884B0F" w:rsidP="002E6399">
      <w:pPr>
        <w:pStyle w:val="Heading3"/>
        <w:spacing w:before="0" w:after="120" w:line="300" w:lineRule="auto"/>
        <w:rPr>
          <w:rFonts w:ascii="Publico Headline" w:hAnsi="Publico Headline"/>
          <w:sz w:val="24"/>
        </w:rPr>
      </w:pPr>
      <w:bookmarkStart w:id="3" w:name="_Toc507671954"/>
    </w:p>
    <w:p w:rsidR="00DD4A27" w:rsidRPr="002E6399" w:rsidRDefault="00DD4A27" w:rsidP="002E6399">
      <w:pPr>
        <w:pStyle w:val="Heading3"/>
        <w:spacing w:before="0" w:after="120" w:line="300" w:lineRule="auto"/>
        <w:rPr>
          <w:rFonts w:ascii="Publico Headline" w:hAnsi="Publico Headline"/>
          <w:sz w:val="24"/>
        </w:rPr>
      </w:pPr>
      <w:r w:rsidRPr="002E6399">
        <w:rPr>
          <w:rFonts w:ascii="Publico Headline" w:hAnsi="Publico Headline"/>
          <w:sz w:val="24"/>
        </w:rPr>
        <w:t>Peamised arengusuunad ja riskid</w:t>
      </w:r>
      <w:bookmarkEnd w:id="3"/>
    </w:p>
    <w:p w:rsidR="00DD4A27" w:rsidRPr="00884B0F" w:rsidRDefault="00DD4A27" w:rsidP="002E6399">
      <w:pPr>
        <w:pStyle w:val="ListParagraph"/>
        <w:numPr>
          <w:ilvl w:val="0"/>
          <w:numId w:val="12"/>
        </w:numPr>
        <w:tabs>
          <w:tab w:val="left" w:pos="284"/>
        </w:tabs>
        <w:spacing w:after="120" w:line="300" w:lineRule="auto"/>
        <w:ind w:left="714" w:hanging="357"/>
        <w:contextualSpacing w:val="0"/>
        <w:rPr>
          <w:szCs w:val="21"/>
        </w:rPr>
      </w:pPr>
      <w:r w:rsidRPr="00884B0F">
        <w:rPr>
          <w:szCs w:val="21"/>
        </w:rPr>
        <w:t xml:space="preserve">Tegevusloa sai kaks kahjukindlustuse filiaali. Telia </w:t>
      </w:r>
      <w:proofErr w:type="spellStart"/>
      <w:r w:rsidRPr="00884B0F">
        <w:rPr>
          <w:szCs w:val="21"/>
        </w:rPr>
        <w:t>Försäkring</w:t>
      </w:r>
      <w:proofErr w:type="spellEnd"/>
      <w:r w:rsidRPr="00884B0F">
        <w:rPr>
          <w:szCs w:val="21"/>
        </w:rPr>
        <w:t xml:space="preserve"> AB Eesti filiaal pakub seadmekindlustust ja </w:t>
      </w:r>
      <w:proofErr w:type="spellStart"/>
      <w:r w:rsidRPr="00884B0F">
        <w:rPr>
          <w:szCs w:val="21"/>
        </w:rPr>
        <w:t>If</w:t>
      </w:r>
      <w:proofErr w:type="spellEnd"/>
      <w:r w:rsidRPr="00884B0F">
        <w:rPr>
          <w:szCs w:val="21"/>
        </w:rPr>
        <w:t xml:space="preserve"> P&amp;C </w:t>
      </w:r>
      <w:proofErr w:type="spellStart"/>
      <w:r w:rsidRPr="00884B0F">
        <w:rPr>
          <w:szCs w:val="21"/>
        </w:rPr>
        <w:t>Insurance</w:t>
      </w:r>
      <w:proofErr w:type="spellEnd"/>
      <w:r w:rsidRPr="00884B0F">
        <w:rPr>
          <w:szCs w:val="21"/>
        </w:rPr>
        <w:t xml:space="preserve"> </w:t>
      </w:r>
      <w:proofErr w:type="spellStart"/>
      <w:r w:rsidRPr="00884B0F">
        <w:rPr>
          <w:szCs w:val="21"/>
        </w:rPr>
        <w:t>Ltd</w:t>
      </w:r>
      <w:proofErr w:type="spellEnd"/>
      <w:r w:rsidRPr="00884B0F">
        <w:rPr>
          <w:szCs w:val="21"/>
        </w:rPr>
        <w:t xml:space="preserve"> (</w:t>
      </w:r>
      <w:proofErr w:type="spellStart"/>
      <w:r w:rsidRPr="00884B0F">
        <w:rPr>
          <w:szCs w:val="21"/>
        </w:rPr>
        <w:t>publ</w:t>
      </w:r>
      <w:proofErr w:type="spellEnd"/>
      <w:r w:rsidRPr="00884B0F">
        <w:rPr>
          <w:szCs w:val="21"/>
        </w:rPr>
        <w:t xml:space="preserve">) Eesti filiaali tegevuseks on edasikindlustuse pakkumine. </w:t>
      </w:r>
    </w:p>
    <w:p w:rsidR="00DD4A27" w:rsidRPr="00884B0F" w:rsidRDefault="00DD4A27" w:rsidP="002E6399">
      <w:pPr>
        <w:pStyle w:val="ListParagraph"/>
        <w:numPr>
          <w:ilvl w:val="0"/>
          <w:numId w:val="12"/>
        </w:numPr>
        <w:tabs>
          <w:tab w:val="left" w:pos="284"/>
        </w:tabs>
        <w:spacing w:after="120" w:line="300" w:lineRule="auto"/>
        <w:ind w:left="714" w:hanging="357"/>
        <w:contextualSpacing w:val="0"/>
        <w:rPr>
          <w:szCs w:val="21"/>
        </w:rPr>
      </w:pPr>
      <w:r w:rsidRPr="00884B0F">
        <w:rPr>
          <w:szCs w:val="21"/>
        </w:rPr>
        <w:t>Eesti kahjukindlustusandjate kogutud kindlustusmaksete mahust suureneb Leedust kogutud kindlustusmaksete osakaal tänu Leedu turu kiirele kasvule – sealne kahjukindlustusturg on kasvanud aastaga enam kui viiendiku võrra.</w:t>
      </w:r>
    </w:p>
    <w:p w:rsidR="00DD4A27" w:rsidRPr="00884B0F" w:rsidRDefault="00DD4A27" w:rsidP="002E6399">
      <w:pPr>
        <w:pStyle w:val="ListParagraph"/>
        <w:numPr>
          <w:ilvl w:val="0"/>
          <w:numId w:val="12"/>
        </w:numPr>
        <w:tabs>
          <w:tab w:val="left" w:pos="284"/>
        </w:tabs>
        <w:spacing w:after="120" w:line="300" w:lineRule="auto"/>
        <w:ind w:left="714" w:hanging="357"/>
        <w:contextualSpacing w:val="0"/>
        <w:rPr>
          <w:szCs w:val="21"/>
        </w:rPr>
      </w:pPr>
      <w:r w:rsidRPr="00884B0F">
        <w:rPr>
          <w:szCs w:val="21"/>
        </w:rPr>
        <w:t>Sõidukitega seotud kindlustusliikides on tariifid tõusnud kogu Baltikumis.</w:t>
      </w:r>
    </w:p>
    <w:p w:rsidR="00162479" w:rsidRPr="00884B0F" w:rsidRDefault="00DD4A27" w:rsidP="002E6399">
      <w:pPr>
        <w:pStyle w:val="ListParagraph"/>
        <w:numPr>
          <w:ilvl w:val="0"/>
          <w:numId w:val="12"/>
        </w:numPr>
        <w:tabs>
          <w:tab w:val="left" w:pos="284"/>
        </w:tabs>
        <w:spacing w:after="120" w:line="300" w:lineRule="auto"/>
        <w:ind w:left="714" w:hanging="357"/>
        <w:contextualSpacing w:val="0"/>
        <w:rPr>
          <w:szCs w:val="21"/>
        </w:rPr>
      </w:pPr>
      <w:r w:rsidRPr="00884B0F">
        <w:rPr>
          <w:szCs w:val="21"/>
        </w:rPr>
        <w:t xml:space="preserve">Kahjukindlustussektorile oli 2017. aasta üldjoontes positiivne: mahud kasvasid, </w:t>
      </w:r>
      <w:r w:rsidR="00130577" w:rsidRPr="00884B0F">
        <w:rPr>
          <w:szCs w:val="21"/>
        </w:rPr>
        <w:t>kogu</w:t>
      </w:r>
      <w:r w:rsidRPr="00884B0F">
        <w:rPr>
          <w:szCs w:val="21"/>
        </w:rPr>
        <w:t>kasum</w:t>
      </w:r>
      <w:r w:rsidR="00130577" w:rsidRPr="00884B0F">
        <w:rPr>
          <w:szCs w:val="21"/>
        </w:rPr>
        <w:t xml:space="preserve"> suurenes</w:t>
      </w:r>
      <w:r w:rsidR="00884B0F">
        <w:rPr>
          <w:szCs w:val="21"/>
        </w:rPr>
        <w:t>, kahjum liikluskindlustuses</w:t>
      </w:r>
      <w:r w:rsidR="00130577" w:rsidRPr="00884B0F">
        <w:rPr>
          <w:szCs w:val="21"/>
        </w:rPr>
        <w:t xml:space="preserve"> vähenes</w:t>
      </w:r>
      <w:r w:rsidRPr="00884B0F">
        <w:rPr>
          <w:szCs w:val="21"/>
        </w:rPr>
        <w:t>.</w:t>
      </w:r>
    </w:p>
    <w:p w:rsidR="00B93C43" w:rsidRDefault="00B93C43" w:rsidP="006957FA"/>
    <w:sectPr w:rsidR="00B93C43" w:rsidSect="00884B0F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851" w:right="851" w:bottom="851" w:left="1701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DD" w:rsidRDefault="00551DDD" w:rsidP="00DD5C49">
      <w:r>
        <w:separator/>
      </w:r>
    </w:p>
    <w:p w:rsidR="00551DDD" w:rsidRDefault="00551DDD"/>
  </w:endnote>
  <w:endnote w:type="continuationSeparator" w:id="0">
    <w:p w:rsidR="00551DDD" w:rsidRDefault="00551DDD" w:rsidP="00DD5C49">
      <w:r>
        <w:continuationSeparator/>
      </w:r>
    </w:p>
    <w:p w:rsidR="00551DDD" w:rsidRDefault="00551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ublico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o Headline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32102"/>
      <w:docPartObj>
        <w:docPartGallery w:val="Page Numbers (Bottom of Page)"/>
        <w:docPartUnique/>
      </w:docPartObj>
    </w:sdtPr>
    <w:sdtEndPr/>
    <w:sdtContent>
      <w:sdt>
        <w:sdtPr>
          <w:id w:val="-1308784095"/>
          <w:docPartObj>
            <w:docPartGallery w:val="Page Numbers (Top of Page)"/>
            <w:docPartUnique/>
          </w:docPartObj>
        </w:sdtPr>
        <w:sdtEndPr/>
        <w:sdtContent>
          <w:p w:rsidR="00115410" w:rsidRDefault="00115410" w:rsidP="00447F54">
            <w:pPr>
              <w:pStyle w:val="Footer"/>
              <w:jc w:val="right"/>
            </w:pPr>
            <w:r>
              <w:rPr>
                <w:noProof/>
                <w:lang w:eastAsia="et-EE"/>
              </w:rPr>
              <w:drawing>
                <wp:anchor distT="180340" distB="0" distL="114300" distR="114300" simplePos="0" relativeHeight="251662336" behindDoc="0" locked="0" layoutInCell="1" allowOverlap="1" wp14:anchorId="2C7D0297" wp14:editId="52D914C6">
                  <wp:simplePos x="0" y="0"/>
                  <wp:positionH relativeFrom="column">
                    <wp:align>left</wp:align>
                  </wp:positionH>
                  <wp:positionV relativeFrom="page">
                    <wp:posOffset>10081260</wp:posOffset>
                  </wp:positionV>
                  <wp:extent cx="1077480" cy="122040"/>
                  <wp:effectExtent l="0" t="0" r="8890" b="0"/>
                  <wp:wrapNone/>
                  <wp:docPr id="4" name="Picture 4" descr="C:\Users\i7design\AppData\Local\Microsoft\Windows\INetCache\Content.Word\logo_top_small_test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i7design\AppData\Local\Microsoft\Windows\INetCache\Content.Word\logo_top_small_test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80" cy="12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PAGE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5F6EA6">
              <w:rPr>
                <w:bCs/>
                <w:noProof/>
                <w:color w:val="500778"/>
                <w:sz w:val="14"/>
                <w:szCs w:val="14"/>
              </w:rPr>
              <w:t>2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  <w:r w:rsidRPr="00FF5F65">
              <w:rPr>
                <w:color w:val="500778"/>
                <w:sz w:val="14"/>
                <w:szCs w:val="14"/>
              </w:rPr>
              <w:t xml:space="preserve"> / 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NUMPAGES 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5F6EA6">
              <w:rPr>
                <w:bCs/>
                <w:noProof/>
                <w:color w:val="500778"/>
                <w:sz w:val="14"/>
                <w:szCs w:val="14"/>
              </w:rPr>
              <w:t>2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DD" w:rsidRPr="003010D2" w:rsidRDefault="00551DDD" w:rsidP="00DD5C49">
      <w:pPr>
        <w:rPr>
          <w:color w:val="500778"/>
        </w:rPr>
      </w:pPr>
      <w:r w:rsidRPr="003010D2">
        <w:rPr>
          <w:color w:val="500778"/>
        </w:rPr>
        <w:separator/>
      </w:r>
    </w:p>
    <w:p w:rsidR="00551DDD" w:rsidRDefault="00551DDD"/>
  </w:footnote>
  <w:footnote w:type="continuationSeparator" w:id="0">
    <w:p w:rsidR="00551DDD" w:rsidRDefault="00551DDD" w:rsidP="00DD5C49">
      <w:r>
        <w:continuationSeparator/>
      </w:r>
    </w:p>
    <w:p w:rsidR="00551DDD" w:rsidRDefault="00551DDD"/>
  </w:footnote>
  <w:footnote w:id="1">
    <w:p w:rsidR="00115410" w:rsidRDefault="00115410" w:rsidP="000B16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5B35">
        <w:rPr>
          <w:sz w:val="16"/>
          <w:szCs w:val="16"/>
        </w:rPr>
        <w:t>Sektori kasum on arvutatud kindlustusseltside avalike aruannete, mitte Finantsinspektsiooni järelevalveliste aruannete põhjal.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99" w:rsidRDefault="002E6399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 wp14:anchorId="0A110DA3" wp14:editId="4B44CEC0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77120" cy="122040"/>
          <wp:effectExtent l="0" t="0" r="0" b="0"/>
          <wp:wrapNone/>
          <wp:docPr id="6" name="Picture 6" descr="C:\Users\i7design\AppData\Local\Microsoft\Windows\INetCache\Content.Word\logo_top_small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:\Users\i7design\AppData\Local\Microsoft\Windows\INetCache\Content.Word\logo_top_small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12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5410" w:rsidRPr="0015129C" w:rsidRDefault="00115410" w:rsidP="00151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10" w:rsidRPr="00812B47" w:rsidRDefault="00115410" w:rsidP="004C0791">
    <w:pPr>
      <w:pStyle w:val="Header"/>
      <w:spacing w:after="1701"/>
    </w:pPr>
    <w:r w:rsidRPr="00812B47">
      <w:rPr>
        <w:noProof/>
        <w:lang w:eastAsia="et-E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4386</wp:posOffset>
          </wp:positionH>
          <wp:positionV relativeFrom="paragraph">
            <wp:posOffset>1875</wp:posOffset>
          </wp:positionV>
          <wp:extent cx="3959225" cy="603885"/>
          <wp:effectExtent l="0" t="0" r="3175" b="5715"/>
          <wp:wrapNone/>
          <wp:docPr id="5" name="Picture 5" descr="C:\Users\i7design\AppData\Local\Microsoft\Windows\INetCache\Content.Word\logo_top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i7design\AppData\Local\Microsoft\Windows\INetCache\Content.Word\logo_top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F06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D49FE"/>
    <w:multiLevelType w:val="hybridMultilevel"/>
    <w:tmpl w:val="426A6320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6E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B7770"/>
    <w:multiLevelType w:val="hybridMultilevel"/>
    <w:tmpl w:val="9C0E5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302F"/>
    <w:multiLevelType w:val="multilevel"/>
    <w:tmpl w:val="C248D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C5007"/>
    <w:multiLevelType w:val="hybridMultilevel"/>
    <w:tmpl w:val="0A82912C"/>
    <w:lvl w:ilvl="0" w:tplc="CA28E1D2">
      <w:numFmt w:val="bullet"/>
      <w:pStyle w:val="MainGrayBoxBulletlist"/>
      <w:lvlText w:val="•"/>
      <w:lvlJc w:val="left"/>
      <w:pPr>
        <w:ind w:left="3101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7" w15:restartNumberingAfterBreak="0">
    <w:nsid w:val="2DCF0B11"/>
    <w:multiLevelType w:val="hybridMultilevel"/>
    <w:tmpl w:val="5824C4F0"/>
    <w:lvl w:ilvl="0" w:tplc="8796F4F0">
      <w:numFmt w:val="bullet"/>
      <w:lvlText w:val="•"/>
      <w:lvlJc w:val="left"/>
      <w:pPr>
        <w:ind w:left="720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02B6"/>
    <w:multiLevelType w:val="hybridMultilevel"/>
    <w:tmpl w:val="121E880C"/>
    <w:lvl w:ilvl="0" w:tplc="B95A4A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8C1699"/>
    <w:multiLevelType w:val="hybridMultilevel"/>
    <w:tmpl w:val="427C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964"/>
    <w:multiLevelType w:val="hybridMultilevel"/>
    <w:tmpl w:val="3116A29C"/>
    <w:lvl w:ilvl="0" w:tplc="D142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5F23"/>
    <w:multiLevelType w:val="hybridMultilevel"/>
    <w:tmpl w:val="638AFD80"/>
    <w:lvl w:ilvl="0" w:tplc="B95A4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7DF9"/>
    <w:multiLevelType w:val="hybridMultilevel"/>
    <w:tmpl w:val="36B890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A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BB63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C56625"/>
    <w:multiLevelType w:val="hybridMultilevel"/>
    <w:tmpl w:val="66A074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3F2D"/>
    <w:multiLevelType w:val="hybridMultilevel"/>
    <w:tmpl w:val="96CA322A"/>
    <w:lvl w:ilvl="0" w:tplc="D0F26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16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452BE"/>
    <w:multiLevelType w:val="hybridMultilevel"/>
    <w:tmpl w:val="2AC41F88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E5D1C"/>
    <w:multiLevelType w:val="hybridMultilevel"/>
    <w:tmpl w:val="27A2E3DE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8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1B"/>
    <w:rsid w:val="000014CC"/>
    <w:rsid w:val="00005089"/>
    <w:rsid w:val="00005B3E"/>
    <w:rsid w:val="00011CD9"/>
    <w:rsid w:val="0002047D"/>
    <w:rsid w:val="00022657"/>
    <w:rsid w:val="000233CC"/>
    <w:rsid w:val="0003000E"/>
    <w:rsid w:val="0004478E"/>
    <w:rsid w:val="00045665"/>
    <w:rsid w:val="00087B78"/>
    <w:rsid w:val="0009671A"/>
    <w:rsid w:val="000A2680"/>
    <w:rsid w:val="000B1684"/>
    <w:rsid w:val="000C5091"/>
    <w:rsid w:val="000D165A"/>
    <w:rsid w:val="000D509E"/>
    <w:rsid w:val="000E201C"/>
    <w:rsid w:val="000E5BB8"/>
    <w:rsid w:val="000F162F"/>
    <w:rsid w:val="000F1AEF"/>
    <w:rsid w:val="000F4687"/>
    <w:rsid w:val="001127A8"/>
    <w:rsid w:val="00115410"/>
    <w:rsid w:val="00130577"/>
    <w:rsid w:val="00137C90"/>
    <w:rsid w:val="0015072C"/>
    <w:rsid w:val="0015129C"/>
    <w:rsid w:val="00154E93"/>
    <w:rsid w:val="00162479"/>
    <w:rsid w:val="00170A82"/>
    <w:rsid w:val="00176DDC"/>
    <w:rsid w:val="001A6DA7"/>
    <w:rsid w:val="001B287A"/>
    <w:rsid w:val="001B2D51"/>
    <w:rsid w:val="001B3A22"/>
    <w:rsid w:val="001C3BE9"/>
    <w:rsid w:val="001C4F14"/>
    <w:rsid w:val="001C579F"/>
    <w:rsid w:val="001D611A"/>
    <w:rsid w:val="001E1FBB"/>
    <w:rsid w:val="001F2E4C"/>
    <w:rsid w:val="00225666"/>
    <w:rsid w:val="002261FE"/>
    <w:rsid w:val="00226E54"/>
    <w:rsid w:val="00234BEA"/>
    <w:rsid w:val="00242638"/>
    <w:rsid w:val="002512AA"/>
    <w:rsid w:val="002626B6"/>
    <w:rsid w:val="00262828"/>
    <w:rsid w:val="00272CBF"/>
    <w:rsid w:val="00283690"/>
    <w:rsid w:val="00292CFF"/>
    <w:rsid w:val="002964EC"/>
    <w:rsid w:val="00297FB8"/>
    <w:rsid w:val="002A1DA1"/>
    <w:rsid w:val="002A3D01"/>
    <w:rsid w:val="002A69DF"/>
    <w:rsid w:val="002B4131"/>
    <w:rsid w:val="002C1614"/>
    <w:rsid w:val="002C70CC"/>
    <w:rsid w:val="002E6399"/>
    <w:rsid w:val="002F58A1"/>
    <w:rsid w:val="002F6FF2"/>
    <w:rsid w:val="003010D2"/>
    <w:rsid w:val="0030173F"/>
    <w:rsid w:val="00314DD4"/>
    <w:rsid w:val="00331AA9"/>
    <w:rsid w:val="0033263C"/>
    <w:rsid w:val="00341820"/>
    <w:rsid w:val="003459F8"/>
    <w:rsid w:val="003461FD"/>
    <w:rsid w:val="0035134A"/>
    <w:rsid w:val="00362712"/>
    <w:rsid w:val="00364603"/>
    <w:rsid w:val="00387A01"/>
    <w:rsid w:val="0039144F"/>
    <w:rsid w:val="00397BFB"/>
    <w:rsid w:val="003A472D"/>
    <w:rsid w:val="003B291D"/>
    <w:rsid w:val="003B3C64"/>
    <w:rsid w:val="003B47E0"/>
    <w:rsid w:val="003B5CD2"/>
    <w:rsid w:val="00416BE0"/>
    <w:rsid w:val="00434700"/>
    <w:rsid w:val="004355B6"/>
    <w:rsid w:val="00447F54"/>
    <w:rsid w:val="004500DE"/>
    <w:rsid w:val="004524AF"/>
    <w:rsid w:val="0046078E"/>
    <w:rsid w:val="00471A0B"/>
    <w:rsid w:val="00481144"/>
    <w:rsid w:val="00493E0D"/>
    <w:rsid w:val="00496240"/>
    <w:rsid w:val="004A348C"/>
    <w:rsid w:val="004B4C7B"/>
    <w:rsid w:val="004C0791"/>
    <w:rsid w:val="004D4037"/>
    <w:rsid w:val="004D6AE5"/>
    <w:rsid w:val="004E0AE8"/>
    <w:rsid w:val="004F71BC"/>
    <w:rsid w:val="0051065D"/>
    <w:rsid w:val="0051369B"/>
    <w:rsid w:val="00517E8A"/>
    <w:rsid w:val="005237D6"/>
    <w:rsid w:val="00525943"/>
    <w:rsid w:val="00536E25"/>
    <w:rsid w:val="0053770C"/>
    <w:rsid w:val="00550B68"/>
    <w:rsid w:val="00551DDD"/>
    <w:rsid w:val="00557346"/>
    <w:rsid w:val="00557490"/>
    <w:rsid w:val="0056613C"/>
    <w:rsid w:val="00567569"/>
    <w:rsid w:val="005701AD"/>
    <w:rsid w:val="00582086"/>
    <w:rsid w:val="00592E07"/>
    <w:rsid w:val="00593306"/>
    <w:rsid w:val="005A6B46"/>
    <w:rsid w:val="005B52FA"/>
    <w:rsid w:val="005B6467"/>
    <w:rsid w:val="005C36E5"/>
    <w:rsid w:val="005C52F5"/>
    <w:rsid w:val="005D0053"/>
    <w:rsid w:val="005F15E6"/>
    <w:rsid w:val="005F6EA6"/>
    <w:rsid w:val="006058C9"/>
    <w:rsid w:val="0060724F"/>
    <w:rsid w:val="00613B48"/>
    <w:rsid w:val="006316F9"/>
    <w:rsid w:val="006363B9"/>
    <w:rsid w:val="00642971"/>
    <w:rsid w:val="006446C5"/>
    <w:rsid w:val="00647B73"/>
    <w:rsid w:val="006507FB"/>
    <w:rsid w:val="00653DE1"/>
    <w:rsid w:val="0065579B"/>
    <w:rsid w:val="006604D8"/>
    <w:rsid w:val="006633D8"/>
    <w:rsid w:val="006957FA"/>
    <w:rsid w:val="006965B2"/>
    <w:rsid w:val="006D46B2"/>
    <w:rsid w:val="006E2A08"/>
    <w:rsid w:val="006E2F49"/>
    <w:rsid w:val="006F3569"/>
    <w:rsid w:val="006F5C4C"/>
    <w:rsid w:val="007046C1"/>
    <w:rsid w:val="00713047"/>
    <w:rsid w:val="007233F3"/>
    <w:rsid w:val="0073678A"/>
    <w:rsid w:val="00745F96"/>
    <w:rsid w:val="00750F9A"/>
    <w:rsid w:val="00783D8F"/>
    <w:rsid w:val="007B2875"/>
    <w:rsid w:val="007C1062"/>
    <w:rsid w:val="007C6630"/>
    <w:rsid w:val="007D75EC"/>
    <w:rsid w:val="007E1049"/>
    <w:rsid w:val="007E2D15"/>
    <w:rsid w:val="007F180D"/>
    <w:rsid w:val="007F4C07"/>
    <w:rsid w:val="00807BEE"/>
    <w:rsid w:val="00812B47"/>
    <w:rsid w:val="00813D65"/>
    <w:rsid w:val="00816748"/>
    <w:rsid w:val="008265FC"/>
    <w:rsid w:val="00841F41"/>
    <w:rsid w:val="008665F1"/>
    <w:rsid w:val="00870A54"/>
    <w:rsid w:val="00884656"/>
    <w:rsid w:val="00884B0F"/>
    <w:rsid w:val="008B0F2F"/>
    <w:rsid w:val="008C3007"/>
    <w:rsid w:val="008C4BEF"/>
    <w:rsid w:val="008E628E"/>
    <w:rsid w:val="008F1574"/>
    <w:rsid w:val="008F5088"/>
    <w:rsid w:val="009025C8"/>
    <w:rsid w:val="00911842"/>
    <w:rsid w:val="00913474"/>
    <w:rsid w:val="00933E8C"/>
    <w:rsid w:val="00952602"/>
    <w:rsid w:val="009555A2"/>
    <w:rsid w:val="009572EC"/>
    <w:rsid w:val="00957D9A"/>
    <w:rsid w:val="00965A95"/>
    <w:rsid w:val="00980D5E"/>
    <w:rsid w:val="00981C83"/>
    <w:rsid w:val="00987C41"/>
    <w:rsid w:val="009940B2"/>
    <w:rsid w:val="009B2F76"/>
    <w:rsid w:val="009C1BF2"/>
    <w:rsid w:val="009D0862"/>
    <w:rsid w:val="009F1363"/>
    <w:rsid w:val="009F1F98"/>
    <w:rsid w:val="00A02BF6"/>
    <w:rsid w:val="00A22AFE"/>
    <w:rsid w:val="00A40F77"/>
    <w:rsid w:val="00A44487"/>
    <w:rsid w:val="00A56945"/>
    <w:rsid w:val="00A7281F"/>
    <w:rsid w:val="00A75FB7"/>
    <w:rsid w:val="00A80BC0"/>
    <w:rsid w:val="00A92A27"/>
    <w:rsid w:val="00A92F74"/>
    <w:rsid w:val="00AB1162"/>
    <w:rsid w:val="00AB51FC"/>
    <w:rsid w:val="00AB5BD0"/>
    <w:rsid w:val="00AF787B"/>
    <w:rsid w:val="00B01374"/>
    <w:rsid w:val="00B21DBF"/>
    <w:rsid w:val="00B22B97"/>
    <w:rsid w:val="00B26FBD"/>
    <w:rsid w:val="00B44B2C"/>
    <w:rsid w:val="00B719EB"/>
    <w:rsid w:val="00B93C43"/>
    <w:rsid w:val="00B948E7"/>
    <w:rsid w:val="00BA0506"/>
    <w:rsid w:val="00BA5E1B"/>
    <w:rsid w:val="00BA6221"/>
    <w:rsid w:val="00BB06C2"/>
    <w:rsid w:val="00BB0C28"/>
    <w:rsid w:val="00BB5F40"/>
    <w:rsid w:val="00BB6F28"/>
    <w:rsid w:val="00BD771A"/>
    <w:rsid w:val="00BE215F"/>
    <w:rsid w:val="00BF161E"/>
    <w:rsid w:val="00C05214"/>
    <w:rsid w:val="00C12531"/>
    <w:rsid w:val="00C333FB"/>
    <w:rsid w:val="00C77BE3"/>
    <w:rsid w:val="00C91757"/>
    <w:rsid w:val="00C933D2"/>
    <w:rsid w:val="00CB25D1"/>
    <w:rsid w:val="00CC72D6"/>
    <w:rsid w:val="00CC78A5"/>
    <w:rsid w:val="00CD1C6A"/>
    <w:rsid w:val="00CD22E1"/>
    <w:rsid w:val="00CD5EF7"/>
    <w:rsid w:val="00CE1C61"/>
    <w:rsid w:val="00CE3A53"/>
    <w:rsid w:val="00CF2305"/>
    <w:rsid w:val="00CF47D8"/>
    <w:rsid w:val="00D032CA"/>
    <w:rsid w:val="00D04BC3"/>
    <w:rsid w:val="00D158DA"/>
    <w:rsid w:val="00D206FA"/>
    <w:rsid w:val="00D22995"/>
    <w:rsid w:val="00D2733A"/>
    <w:rsid w:val="00D403BE"/>
    <w:rsid w:val="00D76AEC"/>
    <w:rsid w:val="00D8700D"/>
    <w:rsid w:val="00D94D26"/>
    <w:rsid w:val="00DA6829"/>
    <w:rsid w:val="00DC2B6D"/>
    <w:rsid w:val="00DD4A27"/>
    <w:rsid w:val="00DD5C49"/>
    <w:rsid w:val="00DD735D"/>
    <w:rsid w:val="00DE3816"/>
    <w:rsid w:val="00DF087F"/>
    <w:rsid w:val="00E10AA9"/>
    <w:rsid w:val="00E16041"/>
    <w:rsid w:val="00E2081C"/>
    <w:rsid w:val="00E23536"/>
    <w:rsid w:val="00E24CEF"/>
    <w:rsid w:val="00E345E9"/>
    <w:rsid w:val="00E45B16"/>
    <w:rsid w:val="00E54D00"/>
    <w:rsid w:val="00E64ED7"/>
    <w:rsid w:val="00E64EFE"/>
    <w:rsid w:val="00ED3A3C"/>
    <w:rsid w:val="00ED5BDF"/>
    <w:rsid w:val="00ED6F20"/>
    <w:rsid w:val="00F0345C"/>
    <w:rsid w:val="00F0483B"/>
    <w:rsid w:val="00F2586E"/>
    <w:rsid w:val="00F27AE5"/>
    <w:rsid w:val="00F3070F"/>
    <w:rsid w:val="00F41502"/>
    <w:rsid w:val="00F4316D"/>
    <w:rsid w:val="00F44EDC"/>
    <w:rsid w:val="00F456F0"/>
    <w:rsid w:val="00F50979"/>
    <w:rsid w:val="00F610D1"/>
    <w:rsid w:val="00F655A8"/>
    <w:rsid w:val="00F75AF0"/>
    <w:rsid w:val="00F822B0"/>
    <w:rsid w:val="00FA7D85"/>
    <w:rsid w:val="00FC29EA"/>
    <w:rsid w:val="00FD12AF"/>
    <w:rsid w:val="00FD1B44"/>
    <w:rsid w:val="00FD3A7E"/>
    <w:rsid w:val="00FE4FD9"/>
    <w:rsid w:val="00FE6308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F7C9D03-F51B-40E9-9DE6-312DE43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_INFO"/>
    <w:qFormat/>
    <w:rsid w:val="00BB5F40"/>
    <w:pPr>
      <w:spacing w:after="240" w:line="240" w:lineRule="auto"/>
      <w:jc w:val="both"/>
    </w:pPr>
    <w:rPr>
      <w:sz w:val="21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C41"/>
    <w:pPr>
      <w:keepNext/>
      <w:keepLines/>
      <w:pageBreakBefore/>
      <w:spacing w:before="240" w:after="360"/>
      <w:outlineLvl w:val="0"/>
    </w:pPr>
    <w:rPr>
      <w:rFonts w:asciiTheme="majorHAnsi" w:eastAsiaTheme="majorEastAsia" w:hAnsiTheme="majorHAnsi" w:cstheme="majorBidi"/>
      <w:color w:val="500778"/>
      <w:sz w:val="30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B5F40"/>
    <w:pPr>
      <w:numPr>
        <w:ilvl w:val="1"/>
        <w:numId w:val="8"/>
      </w:numPr>
      <w:spacing w:before="360" w:after="240"/>
      <w:ind w:left="425" w:hanging="425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C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50077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B05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55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4CC"/>
    <w:pPr>
      <w:tabs>
        <w:tab w:val="center" w:pos="4513"/>
        <w:tab w:val="right" w:pos="9026"/>
      </w:tabs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014CC"/>
    <w:rPr>
      <w:rFonts w:ascii="Atlas Grotesk Light" w:hAnsi="Atlas Grotesk Light"/>
      <w:sz w:val="17"/>
      <w:lang w:val="et-EE"/>
    </w:rPr>
  </w:style>
  <w:style w:type="paragraph" w:styleId="Footer">
    <w:name w:val="footer"/>
    <w:link w:val="FooterChar"/>
    <w:uiPriority w:val="99"/>
    <w:unhideWhenUsed/>
    <w:rsid w:val="00AB51FC"/>
    <w:pPr>
      <w:spacing w:before="300" w:after="0" w:line="240" w:lineRule="auto"/>
    </w:pPr>
    <w:rPr>
      <w:sz w:val="18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AB51FC"/>
    <w:rPr>
      <w:sz w:val="18"/>
      <w:lang w:val="et-EE"/>
    </w:rPr>
  </w:style>
  <w:style w:type="paragraph" w:customStyle="1" w:styleId="MainGrayboxParagraph">
    <w:name w:val="Main_Graybox_Paragraph"/>
    <w:link w:val="MainGrayboxParagraphChar"/>
    <w:qFormat/>
    <w:rsid w:val="00BB5F40"/>
    <w:pPr>
      <w:pBdr>
        <w:top w:val="single" w:sz="4" w:space="15" w:color="F6F6F6"/>
        <w:left w:val="single" w:sz="4" w:space="15" w:color="F6F6F6"/>
        <w:bottom w:val="single" w:sz="4" w:space="15" w:color="F6F6F6"/>
        <w:right w:val="single" w:sz="4" w:space="15" w:color="F6F6F6"/>
      </w:pBdr>
      <w:shd w:val="clear" w:color="auto" w:fill="F6F6F6"/>
      <w:spacing w:line="300" w:lineRule="auto"/>
      <w:ind w:left="284" w:right="284"/>
    </w:pPr>
    <w:rPr>
      <w:sz w:val="21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987C41"/>
    <w:rPr>
      <w:rFonts w:asciiTheme="majorHAnsi" w:eastAsiaTheme="majorEastAsia" w:hAnsiTheme="majorHAnsi" w:cstheme="majorBidi"/>
      <w:color w:val="500778"/>
      <w:sz w:val="30"/>
      <w:szCs w:val="32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BB5F40"/>
    <w:rPr>
      <w:rFonts w:asciiTheme="majorHAnsi" w:eastAsiaTheme="majorEastAsia" w:hAnsiTheme="majorHAnsi" w:cstheme="majorBidi"/>
      <w:color w:val="500778"/>
      <w:sz w:val="30"/>
      <w:szCs w:val="26"/>
      <w:lang w:val="et-EE"/>
    </w:rPr>
  </w:style>
  <w:style w:type="paragraph" w:styleId="Title">
    <w:name w:val="Title"/>
    <w:basedOn w:val="Normal"/>
    <w:next w:val="Default"/>
    <w:link w:val="TitleChar"/>
    <w:uiPriority w:val="10"/>
    <w:qFormat/>
    <w:rsid w:val="00BB5F40"/>
    <w:pPr>
      <w:ind w:left="2381"/>
      <w:contextualSpacing/>
    </w:pPr>
    <w:rPr>
      <w:rFonts w:asciiTheme="majorHAnsi" w:eastAsiaTheme="majorEastAsia" w:hAnsiTheme="majorHAnsi" w:cstheme="majorBidi"/>
      <w:color w:val="50077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40"/>
    <w:rPr>
      <w:rFonts w:asciiTheme="majorHAnsi" w:eastAsiaTheme="majorEastAsia" w:hAnsiTheme="majorHAnsi" w:cstheme="majorBidi"/>
      <w:color w:val="500778"/>
      <w:sz w:val="7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rsid w:val="00AB51FC"/>
    <w:pPr>
      <w:numPr>
        <w:ilvl w:val="1"/>
      </w:numPr>
      <w:spacing w:after="160"/>
      <w:ind w:left="2381"/>
    </w:pPr>
    <w:rPr>
      <w:rFonts w:eastAsiaTheme="minorEastAsia"/>
      <w:color w:val="500778" w:themeColor="accent6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51FC"/>
    <w:rPr>
      <w:rFonts w:eastAsiaTheme="minorEastAsia"/>
      <w:color w:val="500778" w:themeColor="accent6"/>
      <w:spacing w:val="15"/>
      <w:lang w:val="et-EE"/>
    </w:rPr>
  </w:style>
  <w:style w:type="paragraph" w:customStyle="1" w:styleId="Default">
    <w:name w:val="Default"/>
    <w:rsid w:val="00BB5F40"/>
    <w:pPr>
      <w:autoSpaceDE w:val="0"/>
      <w:autoSpaceDN w:val="0"/>
      <w:adjustRightInd w:val="0"/>
      <w:spacing w:after="240" w:line="300" w:lineRule="auto"/>
    </w:pPr>
    <w:rPr>
      <w:rFonts w:cs="Publico Light"/>
      <w:color w:val="000000"/>
      <w:sz w:val="18"/>
      <w:szCs w:val="24"/>
    </w:rPr>
  </w:style>
  <w:style w:type="paragraph" w:customStyle="1" w:styleId="PageTitleTableOfContent">
    <w:name w:val="Page_Title_TableOfContent"/>
    <w:qFormat/>
    <w:rsid w:val="00AB51FC"/>
    <w:pPr>
      <w:pBdr>
        <w:bottom w:val="single" w:sz="4" w:space="8" w:color="auto"/>
      </w:pBdr>
      <w:spacing w:after="360" w:line="300" w:lineRule="auto"/>
    </w:pPr>
    <w:rPr>
      <w:rFonts w:asciiTheme="majorHAnsi" w:hAnsiTheme="majorHAnsi"/>
      <w:color w:val="5B027A"/>
      <w:sz w:val="30"/>
      <w:szCs w:val="3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2964EC"/>
    <w:pPr>
      <w:ind w:left="720"/>
      <w:contextualSpacing/>
    </w:pPr>
  </w:style>
  <w:style w:type="paragraph" w:styleId="TOC1">
    <w:name w:val="toc 1"/>
    <w:basedOn w:val="Normal"/>
    <w:next w:val="Default"/>
    <w:link w:val="TOC1Char"/>
    <w:autoRedefine/>
    <w:uiPriority w:val="39"/>
    <w:unhideWhenUsed/>
    <w:rsid w:val="00BB5F40"/>
    <w:pPr>
      <w:tabs>
        <w:tab w:val="left" w:pos="284"/>
        <w:tab w:val="right" w:pos="9344"/>
      </w:tabs>
      <w:spacing w:after="360"/>
    </w:pPr>
    <w:rPr>
      <w:rFonts w:asciiTheme="majorHAnsi" w:hAnsiTheme="majorHAnsi"/>
      <w:color w:val="500778"/>
      <w:sz w:val="30"/>
    </w:rPr>
  </w:style>
  <w:style w:type="character" w:styleId="Hyperlink">
    <w:name w:val="Hyperlink"/>
    <w:basedOn w:val="DefaultParagraphFont"/>
    <w:uiPriority w:val="99"/>
    <w:unhideWhenUsed/>
    <w:rsid w:val="002964EC"/>
    <w:rPr>
      <w:color w:val="500778" w:themeColor="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BB5F40"/>
    <w:rPr>
      <w:rFonts w:asciiTheme="majorHAnsi" w:hAnsiTheme="majorHAnsi"/>
      <w:color w:val="500778"/>
      <w:sz w:val="30"/>
      <w:lang w:val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AB51FC"/>
    <w:pPr>
      <w:spacing w:line="259" w:lineRule="auto"/>
      <w:outlineLvl w:val="9"/>
    </w:pPr>
    <w:rPr>
      <w:color w:val="3B0559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B51FC"/>
    <w:pPr>
      <w:spacing w:after="100" w:line="259" w:lineRule="auto"/>
      <w:ind w:left="440"/>
    </w:pPr>
    <w:rPr>
      <w:rFonts w:asciiTheme="majorHAnsi" w:eastAsiaTheme="minorEastAsia" w:hAnsiTheme="majorHAnsi" w:cs="Times New Roman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5F40"/>
    <w:pPr>
      <w:tabs>
        <w:tab w:val="left" w:pos="993"/>
        <w:tab w:val="right" w:pos="9344"/>
      </w:tabs>
      <w:spacing w:after="360"/>
      <w:ind w:left="426"/>
      <w:contextualSpacing/>
    </w:pPr>
    <w:rPr>
      <w:rFonts w:asciiTheme="majorHAnsi" w:hAnsiTheme="majorHAnsi"/>
      <w:color w:val="500778"/>
      <w:sz w:val="30"/>
    </w:rPr>
  </w:style>
  <w:style w:type="paragraph" w:customStyle="1" w:styleId="MainGrayBoxBulletlist">
    <w:name w:val="Main_GrayBox_Bulletlist"/>
    <w:basedOn w:val="ListParagraph"/>
    <w:link w:val="MainGrayBoxBulletlistChar"/>
    <w:qFormat/>
    <w:rsid w:val="00BB5F40"/>
    <w:pPr>
      <w:numPr>
        <w:numId w:val="11"/>
      </w:numPr>
      <w:pBdr>
        <w:top w:val="single" w:sz="2" w:space="15" w:color="F6F6F6"/>
        <w:left w:val="single" w:sz="2" w:space="15" w:color="F6F6F6"/>
        <w:bottom w:val="single" w:sz="2" w:space="15" w:color="F6F6F6"/>
        <w:right w:val="single" w:sz="2" w:space="15" w:color="F6F6F6"/>
      </w:pBdr>
      <w:shd w:val="clear" w:color="auto" w:fill="F6F6F6"/>
      <w:ind w:left="641" w:right="28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6446C5"/>
    <w:rPr>
      <w:rFonts w:asciiTheme="majorHAnsi" w:eastAsiaTheme="majorEastAsia" w:hAnsiTheme="majorHAnsi" w:cstheme="majorBidi"/>
      <w:color w:val="500778"/>
      <w:sz w:val="21"/>
      <w:szCs w:val="24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345C"/>
    <w:rPr>
      <w:rFonts w:ascii="Atlas Grotesk" w:hAnsi="Atlas Grotesk"/>
      <w:sz w:val="17"/>
      <w:lang w:val="et-EE"/>
    </w:rPr>
  </w:style>
  <w:style w:type="character" w:customStyle="1" w:styleId="MainGrayBoxBulletlistChar">
    <w:name w:val="Main_GrayBox_Bulletlist Char"/>
    <w:basedOn w:val="ListParagraphChar"/>
    <w:link w:val="MainGrayBoxBulletlist"/>
    <w:rsid w:val="00BB5F40"/>
    <w:rPr>
      <w:rFonts w:ascii="Atlas Grotesk" w:hAnsi="Atlas Grotesk"/>
      <w:sz w:val="21"/>
      <w:shd w:val="clear" w:color="auto" w:fill="F6F6F6"/>
      <w:lang w:val="et-EE"/>
    </w:rPr>
  </w:style>
  <w:style w:type="character" w:styleId="SubtleReference">
    <w:name w:val="Subtle Reference"/>
    <w:basedOn w:val="DefaultParagraphFont"/>
    <w:uiPriority w:val="31"/>
    <w:qFormat/>
    <w:rsid w:val="00262828"/>
    <w:rPr>
      <w:smallCaps/>
      <w:color w:val="500778" w:themeColor="accent6"/>
    </w:rPr>
  </w:style>
  <w:style w:type="character" w:styleId="IntenseReference">
    <w:name w:val="Intense Reference"/>
    <w:basedOn w:val="DefaultParagraphFont"/>
    <w:uiPriority w:val="32"/>
    <w:qFormat/>
    <w:rsid w:val="00D22995"/>
    <w:rPr>
      <w:b/>
      <w:bCs/>
      <w:smallCaps/>
      <w:color w:val="500778" w:themeColor="accent1"/>
      <w:spacing w:val="5"/>
    </w:rPr>
  </w:style>
  <w:style w:type="paragraph" w:styleId="NoSpacing">
    <w:name w:val="No Spacing"/>
    <w:uiPriority w:val="1"/>
    <w:rsid w:val="00BB5F40"/>
    <w:pPr>
      <w:spacing w:after="0" w:line="240" w:lineRule="auto"/>
    </w:pPr>
    <w:rPr>
      <w:sz w:val="21"/>
      <w:lang w:val="et-EE"/>
    </w:rPr>
  </w:style>
  <w:style w:type="character" w:customStyle="1" w:styleId="MainGrayboxParagraphChar">
    <w:name w:val="Main_Graybox_Paragraph Char"/>
    <w:basedOn w:val="DefaultParagraphFont"/>
    <w:link w:val="MainGrayboxParagraph"/>
    <w:rsid w:val="00BB5F40"/>
    <w:rPr>
      <w:sz w:val="21"/>
      <w:shd w:val="clear" w:color="auto" w:fill="F6F6F6"/>
      <w:lang w:val="et-EE"/>
    </w:rPr>
  </w:style>
  <w:style w:type="paragraph" w:styleId="Quote">
    <w:name w:val="Quote"/>
    <w:basedOn w:val="Normal"/>
    <w:next w:val="Normal"/>
    <w:link w:val="QuoteChar"/>
    <w:uiPriority w:val="29"/>
    <w:rsid w:val="00262828"/>
    <w:pPr>
      <w:spacing w:before="200" w:after="160"/>
      <w:ind w:left="864" w:right="864"/>
      <w:jc w:val="center"/>
    </w:pPr>
    <w:rPr>
      <w:i/>
      <w:iCs/>
      <w:color w:val="500778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262828"/>
    <w:rPr>
      <w:rFonts w:ascii="Atlas Grotesk Light" w:hAnsi="Atlas Grotesk Light"/>
      <w:i/>
      <w:iCs/>
      <w:color w:val="500778" w:themeColor="accent6"/>
      <w:sz w:val="18"/>
      <w:lang w:val="et-EE"/>
    </w:rPr>
  </w:style>
  <w:style w:type="character" w:styleId="Strong">
    <w:name w:val="Strong"/>
    <w:basedOn w:val="DefaultParagraphFont"/>
    <w:uiPriority w:val="22"/>
    <w:qFormat/>
    <w:rsid w:val="00D229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22995"/>
    <w:rPr>
      <w:i/>
      <w:iCs/>
      <w:color w:val="500778" w:themeColor="accent1"/>
    </w:rPr>
  </w:style>
  <w:style w:type="character" w:styleId="Emphasis">
    <w:name w:val="Emphasis"/>
    <w:basedOn w:val="DefaultParagraphFont"/>
    <w:uiPriority w:val="20"/>
    <w:qFormat/>
    <w:rsid w:val="00D2299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62828"/>
    <w:rPr>
      <w:i/>
      <w:iCs/>
      <w:color w:val="500778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AB51FC"/>
    <w:rPr>
      <w:rFonts w:asciiTheme="majorHAnsi" w:eastAsiaTheme="majorEastAsia" w:hAnsiTheme="majorHAnsi" w:cstheme="majorBidi"/>
      <w:i/>
      <w:iCs/>
      <w:color w:val="3B0559" w:themeColor="accent1" w:themeShade="BF"/>
      <w:sz w:val="21"/>
      <w:lang w:val="et-EE"/>
    </w:rPr>
  </w:style>
  <w:style w:type="paragraph" w:customStyle="1" w:styleId="Image">
    <w:name w:val="Image"/>
    <w:link w:val="ImageChar"/>
    <w:qFormat/>
    <w:rsid w:val="00AB51FC"/>
    <w:rPr>
      <w:rFonts w:cs="Publico Light"/>
      <w:color w:val="000000"/>
      <w:sz w:val="21"/>
      <w:szCs w:val="24"/>
    </w:rPr>
  </w:style>
  <w:style w:type="paragraph" w:customStyle="1" w:styleId="MainFootnote">
    <w:name w:val="Main_Footnote"/>
    <w:basedOn w:val="Normal"/>
    <w:link w:val="MainFootnoteChar"/>
    <w:qFormat/>
    <w:rsid w:val="00AB51FC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0D2"/>
    <w:rPr>
      <w:sz w:val="20"/>
      <w:szCs w:val="20"/>
    </w:rPr>
  </w:style>
  <w:style w:type="character" w:customStyle="1" w:styleId="MainFootnoteChar">
    <w:name w:val="Main_Footnote Char"/>
    <w:basedOn w:val="DefaultParagraphFont"/>
    <w:link w:val="MainFootnote"/>
    <w:rsid w:val="00AB51FC"/>
    <w:rPr>
      <w:sz w:val="18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0D2"/>
    <w:rPr>
      <w:rFonts w:ascii="Atlas Grotesk" w:hAnsi="Atlas Grotesk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010D2"/>
    <w:rPr>
      <w:vertAlign w:val="superscript"/>
    </w:rPr>
  </w:style>
  <w:style w:type="character" w:customStyle="1" w:styleId="ImageChar">
    <w:name w:val="Image Char"/>
    <w:basedOn w:val="DefaultParagraphFont"/>
    <w:link w:val="Image"/>
    <w:rsid w:val="00AB51FC"/>
    <w:rPr>
      <w:rFonts w:cs="Publico Light"/>
      <w:color w:val="000000"/>
      <w:sz w:val="21"/>
      <w:szCs w:val="24"/>
    </w:rPr>
  </w:style>
  <w:style w:type="paragraph" w:customStyle="1" w:styleId="ChartTitleFull">
    <w:name w:val="Chart_Title_Full"/>
    <w:basedOn w:val="Normal"/>
    <w:link w:val="ChartTitleFullChar"/>
    <w:qFormat/>
    <w:rsid w:val="00AB51FC"/>
    <w:pPr>
      <w:pBdr>
        <w:bottom w:val="single" w:sz="4" w:space="5" w:color="5B027A"/>
      </w:pBdr>
      <w:spacing w:after="360"/>
    </w:pPr>
    <w:rPr>
      <w:color w:val="5B027A"/>
      <w:sz w:val="16"/>
    </w:rPr>
  </w:style>
  <w:style w:type="paragraph" w:customStyle="1" w:styleId="ChartTitleRight">
    <w:name w:val="Chart_Title_Right"/>
    <w:basedOn w:val="ChartTitleFull"/>
    <w:link w:val="ChartTitleRightChar"/>
    <w:qFormat/>
    <w:rsid w:val="00BB5F40"/>
  </w:style>
  <w:style w:type="character" w:customStyle="1" w:styleId="ChartTitleFullChar">
    <w:name w:val="Chart_Title_Full Char"/>
    <w:basedOn w:val="DefaultParagraphFont"/>
    <w:link w:val="ChartTitleFull"/>
    <w:rsid w:val="00AB51FC"/>
    <w:rPr>
      <w:color w:val="5B027A"/>
      <w:sz w:val="16"/>
      <w:lang w:val="et-EE"/>
    </w:rPr>
  </w:style>
  <w:style w:type="character" w:customStyle="1" w:styleId="ChartTitleRightChar">
    <w:name w:val="Chart_Title_Right Char"/>
    <w:basedOn w:val="ChartTitleFullChar"/>
    <w:link w:val="ChartTitleRight"/>
    <w:rsid w:val="00BB5F40"/>
    <w:rPr>
      <w:color w:val="5B027A"/>
      <w:sz w:val="16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FC"/>
    <w:rPr>
      <w:rFonts w:asciiTheme="majorHAnsi" w:eastAsiaTheme="majorEastAsia" w:hAnsiTheme="majorHAnsi" w:cstheme="majorBidi"/>
      <w:color w:val="3B0559" w:themeColor="accent1" w:themeShade="BF"/>
      <w:sz w:val="21"/>
      <w:lang w:val="et-EE"/>
    </w:rPr>
  </w:style>
  <w:style w:type="paragraph" w:customStyle="1" w:styleId="MainText">
    <w:name w:val="Main_Text"/>
    <w:basedOn w:val="Normal"/>
    <w:link w:val="MainTextChar"/>
    <w:qFormat/>
    <w:rsid w:val="00DD4A27"/>
    <w:pPr>
      <w:spacing w:line="300" w:lineRule="auto"/>
      <w:jc w:val="left"/>
    </w:pPr>
    <w:rPr>
      <w:sz w:val="20"/>
    </w:rPr>
  </w:style>
  <w:style w:type="character" w:customStyle="1" w:styleId="MainTextChar">
    <w:name w:val="Main_Text Char"/>
    <w:basedOn w:val="DefaultParagraphFont"/>
    <w:link w:val="MainText"/>
    <w:rsid w:val="00DD4A27"/>
    <w:rPr>
      <w:sz w:val="20"/>
      <w:lang w:val="et-EE"/>
    </w:rPr>
  </w:style>
  <w:style w:type="table" w:styleId="TableGrid">
    <w:name w:val="Table Grid"/>
    <w:basedOn w:val="TableNormal"/>
    <w:uiPriority w:val="39"/>
    <w:rsid w:val="008F508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D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E1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lebov\Documents\Custom%20Office%20Templates\FI%20mallid\Raport_Lon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r>
              <a:rPr lang="et-EE" sz="1100" b="1" i="0" u="none" strike="noStrike" baseline="0">
                <a:solidFill>
                  <a:schemeClr val="accent6"/>
                </a:solidFill>
                <a:effectLst/>
                <a:latin typeface="+mn-lt"/>
              </a:rPr>
              <a:t>Eesti kahjukindlustusseltside turuosad brutopreemiate alusel, 9 kuud 2017 </a:t>
            </a:r>
            <a:endParaRPr lang="en-US" sz="1100" b="1">
              <a:solidFill>
                <a:schemeClr val="accent6"/>
              </a:solidFill>
              <a:latin typeface="+mn-lt"/>
            </a:endParaRPr>
          </a:p>
        </c:rich>
      </c:tx>
      <c:layout>
        <c:manualLayout>
          <c:xMode val="edge"/>
          <c:yMode val="edge"/>
          <c:x val="0.1928287981465714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accent6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36602138019460856"/>
          <c:y val="0.28107388517041076"/>
          <c:w val="0.36269808309593687"/>
          <c:h val="0.60456790152039586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494-48AB-98D6-16E5C29DFC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494-48AB-98D6-16E5C29DFC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494-48AB-98D6-16E5C29DFC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494-48AB-98D6-16E5C29DFCB4}"/>
              </c:ext>
            </c:extLst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494-48AB-98D6-16E5C29DFC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494-48AB-98D6-16E5C29DFCB4}"/>
              </c:ext>
            </c:extLst>
          </c:dPt>
          <c:dPt>
            <c:idx val="6"/>
            <c:bubble3D val="0"/>
            <c:spPr>
              <a:solidFill>
                <a:schemeClr val="tx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494-48AB-98D6-16E5C29DFCB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494-48AB-98D6-16E5C29DFCB4}"/>
              </c:ext>
            </c:extLst>
          </c:dPt>
          <c:dLbls>
            <c:dLbl>
              <c:idx val="0"/>
              <c:layout>
                <c:manualLayout>
                  <c:x val="2.0704614566351011E-2"/>
                  <c:y val="6.79288216726213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Seesam Insurance
</a:t>
                    </a:r>
                    <a:fld id="{64335E3B-202F-48FC-BC9E-60685BCC257A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44211268745591"/>
                      <c:h val="0.211189658561402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494-48AB-98D6-16E5C29DFCB4}"/>
                </c:ext>
              </c:extLst>
            </c:dLbl>
            <c:dLbl>
              <c:idx val="1"/>
              <c:layout>
                <c:manualLayout>
                  <c:x val="1.184001600199565E-2"/>
                  <c:y val="-6.566744814905559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>
                        <a:solidFill>
                          <a:schemeClr val="accent6"/>
                        </a:solidFill>
                        <a:latin typeface="+mn-lt"/>
                      </a:rPr>
                      <a:t>If P&amp;C </a:t>
                    </a:r>
                  </a:p>
                  <a:p>
                    <a:pPr>
                      <a:defRPr sz="800">
                        <a:solidFill>
                          <a:schemeClr val="accent6"/>
                        </a:solidFill>
                      </a:defRPr>
                    </a:pPr>
                    <a:r>
                      <a:rPr lang="en-US" sz="800" baseline="0">
                        <a:solidFill>
                          <a:schemeClr val="accent6"/>
                        </a:solidFill>
                        <a:latin typeface="+mn-lt"/>
                      </a:rPr>
                      <a:t>Insurance 29%</a:t>
                    </a:r>
                    <a:endParaRPr lang="en-US" sz="800">
                      <a:solidFill>
                        <a:schemeClr val="accent6"/>
                      </a:solidFill>
                      <a:latin typeface="+mn-lt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5677153791899"/>
                      <c:h val="0.175066310543781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494-48AB-98D6-16E5C29DFCB4}"/>
                </c:ext>
              </c:extLst>
            </c:dLbl>
            <c:dLbl>
              <c:idx val="2"/>
              <c:layout>
                <c:manualLayout>
                  <c:x val="-2.5722710750413595E-2"/>
                  <c:y val="-1.0781018257894025E-16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Ergo Insurance
</a:t>
                    </a:r>
                    <a:fld id="{CF51CB77-223E-402A-B1D3-B1FF428736C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494-48AB-98D6-16E5C29DFCB4}"/>
                </c:ext>
              </c:extLst>
            </c:dLbl>
            <c:dLbl>
              <c:idx val="3"/>
              <c:layout>
                <c:manualLayout>
                  <c:x val="-7.7943172079676312E-2"/>
                  <c:y val="0.1265320297179847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Inges Kindlustus</a:t>
                    </a:r>
                    <a:r>
                      <a:rPr lang="en-US" baseline="0"/>
                      <a:t>
</a:t>
                    </a:r>
                    <a:fld id="{AC3C4410-7C3C-4DE9-9522-0BED85F06413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494-48AB-98D6-16E5C29DFCB4}"/>
                </c:ext>
              </c:extLst>
            </c:dLbl>
            <c:dLbl>
              <c:idx val="4"/>
              <c:layout>
                <c:manualLayout>
                  <c:x val="-3.7852222961457758E-2"/>
                  <c:y val="-5.467775804707745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Salva Kindlustus</a:t>
                    </a:r>
                  </a:p>
                  <a:p>
                    <a:fld id="{5A0E463F-3838-4F3D-ADB8-C8A833F82A41}" type="PERCENTAGE">
                      <a:rPr lang="en-US" baseline="0"/>
                      <a:pPr/>
                      <a:t>[PERCENTAGE]</a:t>
                    </a:fld>
                    <a:endParaRPr lang="et-EE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68293500757341"/>
                      <c:h val="0.146666666666666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494-48AB-98D6-16E5C29DFCB4}"/>
                </c:ext>
              </c:extLst>
            </c:dLbl>
            <c:dLbl>
              <c:idx val="5"/>
              <c:layout>
                <c:manualLayout>
                  <c:x val="-0.11680601851851852"/>
                  <c:y val="-6.73629629629629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94-48AB-98D6-16E5C29DFCB4}"/>
                </c:ext>
              </c:extLst>
            </c:dLbl>
            <c:dLbl>
              <c:idx val="6"/>
              <c:layout>
                <c:manualLayout>
                  <c:x val="0.10342098846035856"/>
                  <c:y val="1.86787028441312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Swedbank P&amp;C Insurance </a:t>
                    </a:r>
                  </a:p>
                  <a:p>
                    <a:fld id="{3FABB9FC-4340-4F62-BDD7-DF9B09E6F3E5}" type="PERCENTAGE">
                      <a:rPr lang="en-US" baseline="0"/>
                      <a:pPr/>
                      <a:t>[PERCENTAGE]</a:t>
                    </a:fld>
                    <a:endParaRPr lang="et-EE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00115744772662"/>
                      <c:h val="0.211189509104681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494-48AB-98D6-16E5C29DFCB4}"/>
                </c:ext>
              </c:extLst>
            </c:dLbl>
            <c:dLbl>
              <c:idx val="7"/>
              <c:layout>
                <c:manualLayout>
                  <c:x val="0.21911237105240131"/>
                  <c:y val="0.670569100797125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KredEx Krediidikindlustus </a:t>
                    </a:r>
                    <a:fld id="{A2E0ABC0-AC54-4FB9-9EB9-5B144FF8626E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90312724395964"/>
                      <c:h val="0.2052814123327361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5494-48AB-98D6-16E5C29DFC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7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GWP_cum!$C$30:$C$37</c:f>
              <c:strCache>
                <c:ptCount val="8"/>
                <c:pt idx="0">
                  <c:v>SEV</c:v>
                </c:pt>
                <c:pt idx="1">
                  <c:v>IFK</c:v>
                </c:pt>
                <c:pt idx="2">
                  <c:v>ERG</c:v>
                </c:pt>
                <c:pt idx="3">
                  <c:v>ING</c:v>
                </c:pt>
                <c:pt idx="4">
                  <c:v>SAL</c:v>
                </c:pt>
                <c:pt idx="5">
                  <c:v>DAS</c:v>
                </c:pt>
                <c:pt idx="6">
                  <c:v>SWK</c:v>
                </c:pt>
                <c:pt idx="7">
                  <c:v>KDX</c:v>
                </c:pt>
              </c:strCache>
            </c:strRef>
          </c:cat>
          <c:val>
            <c:numRef>
              <c:f>GWP_cum!$D$30:$D$37</c:f>
              <c:numCache>
                <c:formatCode>#,##0</c:formatCode>
                <c:ptCount val="8"/>
                <c:pt idx="0">
                  <c:v>49191012</c:v>
                </c:pt>
                <c:pt idx="1">
                  <c:v>104833138.56</c:v>
                </c:pt>
                <c:pt idx="2">
                  <c:v>123894540.58</c:v>
                </c:pt>
                <c:pt idx="3">
                  <c:v>4500996.37</c:v>
                </c:pt>
                <c:pt idx="4">
                  <c:v>15115011</c:v>
                </c:pt>
                <c:pt idx="6">
                  <c:v>64285763.590000004</c:v>
                </c:pt>
                <c:pt idx="7">
                  <c:v>1384836.31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494-48AB-98D6-16E5C29DF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 sz="1100" b="1"/>
              <a:t>Eesti kahjukindlustussektori turuosad brutopreemiate alusel, 9 kuud 2017</a:t>
            </a:r>
          </a:p>
        </c:rich>
      </c:tx>
      <c:layout>
        <c:manualLayout>
          <c:xMode val="edge"/>
          <c:yMode val="edge"/>
          <c:x val="0.2253468581024302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33734344681601691"/>
          <c:y val="0.28325897663262545"/>
          <c:w val="0.37096573018335666"/>
          <c:h val="0.61834893396337809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0F-4B39-BC23-D8CE739950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80F-4B39-BC23-D8CE739950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80F-4B39-BC23-D8CE739950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0F-4B39-BC23-D8CE7399508C}"/>
              </c:ext>
            </c:extLst>
          </c:dPt>
          <c:dPt>
            <c:idx val="4"/>
            <c:bubble3D val="0"/>
            <c:spPr>
              <a:solidFill>
                <a:srgbClr val="FFFF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80F-4B39-BC23-D8CE739950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80F-4B39-BC23-D8CE7399508C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80F-4B39-BC23-D8CE739950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80F-4B39-BC23-D8CE7399508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80F-4B39-BC23-D8CE7399508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80F-4B39-BC23-D8CE7399508C}"/>
              </c:ext>
            </c:extLst>
          </c:dPt>
          <c:dPt>
            <c:idx val="1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80F-4B39-BC23-D8CE7399508C}"/>
              </c:ext>
            </c:extLst>
          </c:dPt>
          <c:dLbls>
            <c:dLbl>
              <c:idx val="0"/>
              <c:layout>
                <c:manualLayout>
                  <c:x val="1.8306997691401511E-2"/>
                  <c:y val="3.2933666613187348E-2"/>
                </c:manualLayout>
              </c:layout>
              <c:tx>
                <c:rich>
                  <a:bodyPr/>
                  <a:lstStyle/>
                  <a:p>
                    <a:fld id="{C9DF3525-2295-4ECE-BB0A-C8B5573B2173}" type="CATEGORYNAME">
                      <a:rPr lang="en-US"/>
                      <a:pPr/>
                      <a:t>[CATEGORY NAME]</a:t>
                    </a:fld>
                    <a:r>
                      <a:rPr lang="en-US"/>
                      <a:t> Insurance</a:t>
                    </a:r>
                    <a:r>
                      <a:rPr lang="en-US" baseline="0"/>
                      <a:t>
</a:t>
                    </a:r>
                    <a:fld id="{A4A3A85C-3CB7-47B6-BD0C-5B1F4AF7188F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168067226890754"/>
                      <c:h val="0.127298444130127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80F-4B39-BC23-D8CE7399508C}"/>
                </c:ext>
              </c:extLst>
            </c:dLbl>
            <c:dLbl>
              <c:idx val="1"/>
              <c:layout>
                <c:manualLayout>
                  <c:x val="2.6980839736962709E-2"/>
                  <c:y val="-8.606575581059836E-2"/>
                </c:manualLayout>
              </c:layout>
              <c:tx>
                <c:rich>
                  <a:bodyPr/>
                  <a:lstStyle/>
                  <a:p>
                    <a:fld id="{8738BA3F-7702-4C20-AD11-6D58418D41C9}" type="CATEGORYNAME">
                      <a:rPr lang="en-US"/>
                      <a:pPr/>
                      <a:t>[CATEGORY NAME]</a:t>
                    </a:fld>
                    <a:r>
                      <a:rPr lang="en-US"/>
                      <a:t> Insurance</a:t>
                    </a:r>
                    <a:r>
                      <a:rPr lang="en-US" baseline="0"/>
                      <a:t>
</a:t>
                    </a:r>
                    <a:fld id="{0D498C9B-32F1-4F5B-AE72-761602B2B53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47702153964207"/>
                      <c:h val="0.149474943297373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80F-4B39-BC23-D8CE7399508C}"/>
                </c:ext>
              </c:extLst>
            </c:dLbl>
            <c:dLbl>
              <c:idx val="2"/>
              <c:layout>
                <c:manualLayout>
                  <c:x val="7.9354823238513436E-2"/>
                  <c:y val="-0.12355434369738207"/>
                </c:manualLayout>
              </c:layout>
              <c:tx>
                <c:rich>
                  <a:bodyPr/>
                  <a:lstStyle/>
                  <a:p>
                    <a:fld id="{9727F305-379A-40AC-940D-0E59B0AC49B2}" type="CATEGORYNAME">
                      <a:rPr lang="en-US"/>
                      <a:pPr/>
                      <a:t>[CATEGORY NAME]</a:t>
                    </a:fld>
                    <a:r>
                      <a:rPr lang="en-US"/>
                      <a:t> Kindlustus </a:t>
                    </a:r>
                    <a:fld id="{8D9AC427-7465-4A13-B15E-6A184F74D04C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70040961912172"/>
                      <c:h val="0.1414427157001414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80F-4B39-BC23-D8CE7399508C}"/>
                </c:ext>
              </c:extLst>
            </c:dLbl>
            <c:dLbl>
              <c:idx val="3"/>
              <c:layout>
                <c:manualLayout>
                  <c:x val="2.6680672268907562E-2"/>
                  <c:y val="-2.4948923463775041E-2"/>
                </c:manualLayout>
              </c:layout>
              <c:tx>
                <c:rich>
                  <a:bodyPr/>
                  <a:lstStyle/>
                  <a:p>
                    <a:fld id="{CF7B41F6-B039-4E0F-B8E4-FAE6393EBB0C}" type="CATEGORYNAME">
                      <a:rPr lang="en-US"/>
                      <a:pPr/>
                      <a:t>[CATEGORY NAME]</a:t>
                    </a:fld>
                    <a:r>
                      <a:rPr lang="en-US"/>
                      <a:t> Krediidikindlustus </a:t>
                    </a:r>
                    <a:fld id="{EA630F3A-49E9-4FC0-8EA7-5F26BFE1350B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207796451914096"/>
                      <c:h val="0.1414427157001414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80F-4B39-BC23-D8CE7399508C}"/>
                </c:ext>
              </c:extLst>
            </c:dLbl>
            <c:dLbl>
              <c:idx val="4"/>
              <c:layout>
                <c:manualLayout>
                  <c:x val="-0.11686937257657504"/>
                  <c:y val="3.0940481242239928E-2"/>
                </c:manualLayout>
              </c:layout>
              <c:tx>
                <c:rich>
                  <a:bodyPr/>
                  <a:lstStyle/>
                  <a:p>
                    <a:fld id="{F759CEFF-96D2-44B9-B97C-47CA797848A1}" type="CATEGORYNAME">
                      <a:rPr lang="en-US"/>
                      <a:pPr/>
                      <a:t>[CATEGORY NAME]</a:t>
                    </a:fld>
                    <a:r>
                      <a:rPr lang="en-US"/>
                      <a:t> Kindlustus</a:t>
                    </a:r>
                    <a:r>
                      <a:rPr lang="en-US" baseline="0"/>
                      <a:t> </a:t>
                    </a:r>
                    <a:fld id="{0D983B93-7593-4ADB-94B9-B23EF205D6E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24206349206351"/>
                      <c:h val="0.113154172560113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80F-4B39-BC23-D8CE7399508C}"/>
                </c:ext>
              </c:extLst>
            </c:dLbl>
            <c:dLbl>
              <c:idx val="5"/>
              <c:layout>
                <c:manualLayout>
                  <c:x val="-7.3646400645158996E-2"/>
                  <c:y val="1.3325510673384128E-2"/>
                </c:manualLayout>
              </c:layout>
              <c:tx>
                <c:rich>
                  <a:bodyPr/>
                  <a:lstStyle/>
                  <a:p>
                    <a:fld id="{BC0ED6F1-41E3-423E-B9CE-070A4D52D3B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r>
                      <a:rPr lang="en-US"/>
                      <a:t>Insurance </a:t>
                    </a:r>
                    <a:fld id="{D7666D1D-75C9-4989-BCFD-375B1EB31A02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51571509267058"/>
                      <c:h val="0.152841601628418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80F-4B39-BC23-D8CE7399508C}"/>
                </c:ext>
              </c:extLst>
            </c:dLbl>
            <c:dLbl>
              <c:idx val="6"/>
              <c:layout>
                <c:manualLayout>
                  <c:x val="-2.9550129659440833E-3"/>
                  <c:y val="-9.1316356699165518E-3"/>
                </c:manualLayout>
              </c:layout>
              <c:tx>
                <c:rich>
                  <a:bodyPr/>
                  <a:lstStyle/>
                  <a:p>
                    <a:fld id="{AE7FE3AE-AC9E-4DDD-B929-1E48178B16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P&amp;C Insurance </a:t>
                    </a:r>
                  </a:p>
                  <a:p>
                    <a:fld id="{45E6AC91-0D9E-41D9-9EB6-3F8A5708643C}" type="PERCENTAGE">
                      <a:rPr lang="en-US" baseline="0"/>
                      <a:pPr/>
                      <a:t>[PERCENTAGE]</a:t>
                    </a:fld>
                    <a:endParaRPr lang="et-EE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81232492997197"/>
                      <c:h val="0.183875530410183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80F-4B39-BC23-D8CE7399508C}"/>
                </c:ext>
              </c:extLst>
            </c:dLbl>
            <c:dLbl>
              <c:idx val="7"/>
              <c:layout>
                <c:manualLayout>
                  <c:x val="-3.9237745098039213E-2"/>
                  <c:y val="8.180791293415055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BTA Eesti </a:t>
                    </a:r>
                  </a:p>
                  <a:p>
                    <a:r>
                      <a:rPr lang="en-US" baseline="0"/>
                      <a:t>filiaal </a:t>
                    </a:r>
                    <a:fld id="{0CAB730C-5624-464B-9A83-F8482E313E7F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06722689075629"/>
                      <c:h val="0.156677667766776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80F-4B39-BC23-D8CE7399508C}"/>
                </c:ext>
              </c:extLst>
            </c:dLbl>
            <c:dLbl>
              <c:idx val="8"/>
              <c:layout>
                <c:manualLayout>
                  <c:x val="-5.0826698782511073E-2"/>
                  <c:y val="2.24292331986226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Gjensidige</a:t>
                    </a:r>
                    <a:r>
                      <a:rPr lang="en-US" baseline="0"/>
                      <a:t> </a:t>
                    </a:r>
                    <a:br>
                      <a:rPr lang="en-US" baseline="0"/>
                    </a:br>
                    <a:r>
                      <a:rPr lang="en-US" baseline="0"/>
                      <a:t>Eesti filiaal</a:t>
                    </a:r>
                    <a:r>
                      <a:rPr lang="en-US"/>
                      <a:t> </a:t>
                    </a:r>
                    <a:fld id="{A764D6BD-9D42-4A9A-AC8B-36DE441F27B9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180F-4B39-BC23-D8CE7399508C}"/>
                </c:ext>
              </c:extLst>
            </c:dLbl>
            <c:dLbl>
              <c:idx val="9"/>
              <c:layout>
                <c:manualLayout>
                  <c:x val="-1.4091970121381886E-2"/>
                  <c:y val="-6.317990727644197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Compensa</a:t>
                    </a:r>
                  </a:p>
                  <a:p>
                    <a:r>
                      <a:rPr lang="en-US" baseline="0"/>
                      <a:t>Eesti filiaal 2%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27731092436976"/>
                      <c:h val="0.175961234114958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80F-4B39-BC23-D8CE7399508C}"/>
                </c:ext>
              </c:extLst>
            </c:dLbl>
            <c:dLbl>
              <c:idx val="10"/>
              <c:layout>
                <c:manualLayout>
                  <c:x val="8.2183251083736253E-2"/>
                  <c:y val="-3.38330319706802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Lietuvos draudimas </a:t>
                    </a:r>
                  </a:p>
                  <a:p>
                    <a:r>
                      <a:rPr lang="en-US" baseline="0"/>
                      <a:t>Eesti filiaal </a:t>
                    </a:r>
                    <a:fld id="{543A5DB9-DD5F-4F68-A0AD-0F61C666FC00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50420168067229"/>
                      <c:h val="0.127298444130127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180F-4B39-BC23-D8CE739950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8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Pr_Eesti!$B$5:$B$17</c:f>
              <c:strCache>
                <c:ptCount val="11"/>
                <c:pt idx="0">
                  <c:v>Ergo</c:v>
                </c:pt>
                <c:pt idx="1">
                  <c:v>If P&amp;C</c:v>
                </c:pt>
                <c:pt idx="2">
                  <c:v>Inges</c:v>
                </c:pt>
                <c:pt idx="3">
                  <c:v>KredEx</c:v>
                </c:pt>
                <c:pt idx="4">
                  <c:v>Salva</c:v>
                </c:pt>
                <c:pt idx="5">
                  <c:v>Seesam</c:v>
                </c:pt>
                <c:pt idx="6">
                  <c:v>Swedbank</c:v>
                </c:pt>
                <c:pt idx="7">
                  <c:v>BTA filiaal</c:v>
                </c:pt>
                <c:pt idx="8">
                  <c:v>Gjensidige filiaal</c:v>
                </c:pt>
                <c:pt idx="9">
                  <c:v>Compensa filiaal</c:v>
                </c:pt>
                <c:pt idx="10">
                  <c:v>LD/PZU filiaal</c:v>
                </c:pt>
              </c:strCache>
            </c:strRef>
          </c:cat>
          <c:val>
            <c:numRef>
              <c:f>Pr_Eesti!$C$5:$C$17</c:f>
              <c:numCache>
                <c:formatCode>#,##0</c:formatCode>
                <c:ptCount val="11"/>
                <c:pt idx="0">
                  <c:v>42919.894999999997</c:v>
                </c:pt>
                <c:pt idx="1">
                  <c:v>54315.973000000005</c:v>
                </c:pt>
                <c:pt idx="2">
                  <c:v>4506.085</c:v>
                </c:pt>
                <c:pt idx="3">
                  <c:v>1384.837</c:v>
                </c:pt>
                <c:pt idx="4">
                  <c:v>15115.010999999999</c:v>
                </c:pt>
                <c:pt idx="5">
                  <c:v>24107.5</c:v>
                </c:pt>
                <c:pt idx="6">
                  <c:v>40171.341</c:v>
                </c:pt>
                <c:pt idx="7">
                  <c:v>15784.016</c:v>
                </c:pt>
                <c:pt idx="8">
                  <c:v>6728.2449999999999</c:v>
                </c:pt>
                <c:pt idx="9">
                  <c:v>4581.7089999999998</c:v>
                </c:pt>
                <c:pt idx="10">
                  <c:v>38872.32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80F-4B39-BC23-D8CE739950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2"/>
          </a:solidFill>
        </a:defRPr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rgbClr val="500778"/>
      </a:dk1>
      <a:lt1>
        <a:sysClr val="window" lastClr="FFFFFF"/>
      </a:lt1>
      <a:dk2>
        <a:srgbClr val="500778"/>
      </a:dk2>
      <a:lt2>
        <a:srgbClr val="FFFFFF"/>
      </a:lt2>
      <a:accent1>
        <a:srgbClr val="500778"/>
      </a:accent1>
      <a:accent2>
        <a:srgbClr val="00BB4A"/>
      </a:accent2>
      <a:accent3>
        <a:srgbClr val="FA5C1D"/>
      </a:accent3>
      <a:accent4>
        <a:srgbClr val="0037F5"/>
      </a:accent4>
      <a:accent5>
        <a:srgbClr val="C66EF6"/>
      </a:accent5>
      <a:accent6>
        <a:srgbClr val="500778"/>
      </a:accent6>
      <a:hlink>
        <a:srgbClr val="500778"/>
      </a:hlink>
      <a:folHlink>
        <a:srgbClr val="500778"/>
      </a:folHlink>
    </a:clrScheme>
    <a:fontScheme name="FI_Georgia+CalibriLight">
      <a:majorFont>
        <a:latin typeface="Georgia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9BD1-49A9-4E55-A1BF-ADF6258F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Raport_Long</Template>
  <TotalTime>3</TotalTime>
  <Pages>2</Pages>
  <Words>397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Hlebov</dc:creator>
  <cp:keywords/>
  <dc:description/>
  <cp:lastModifiedBy>Piret Lakson</cp:lastModifiedBy>
  <cp:revision>4</cp:revision>
  <cp:lastPrinted>2018-03-15T14:34:00Z</cp:lastPrinted>
  <dcterms:created xsi:type="dcterms:W3CDTF">2018-04-26T09:02:00Z</dcterms:created>
  <dcterms:modified xsi:type="dcterms:W3CDTF">2018-05-14T10:33:00Z</dcterms:modified>
</cp:coreProperties>
</file>