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D2E62A" w14:textId="150E60F3" w:rsidR="009F79BC" w:rsidRPr="006C325A" w:rsidRDefault="009F79BC" w:rsidP="00C81E2E">
      <w:pPr>
        <w:rPr>
          <w:lang w:val="et-EE"/>
        </w:rPr>
      </w:pPr>
    </w:p>
    <w:p w14:paraId="4BD48338" w14:textId="11E32E0B" w:rsidR="006C325A" w:rsidRPr="00A76E23" w:rsidRDefault="009F40B6" w:rsidP="00C81E2E">
      <w:pPr>
        <w:rPr>
          <w:rFonts w:ascii="Publico Headline" w:hAnsi="Publico Headline"/>
          <w:color w:val="500778"/>
          <w:sz w:val="22"/>
        </w:rPr>
      </w:pPr>
      <w:r w:rsidRPr="00A76E23">
        <w:rPr>
          <w:rFonts w:ascii="Publico Headline" w:hAnsi="Publico Headline"/>
          <w:color w:val="500778"/>
          <w:sz w:val="22"/>
        </w:rPr>
        <w:t>Overview of life insurance undertakings in the 3rd quarter of 2016</w:t>
      </w:r>
    </w:p>
    <w:p w14:paraId="32BACA65" w14:textId="3DB00C03" w:rsidR="006C325A" w:rsidRPr="00A76E23" w:rsidRDefault="006C325A" w:rsidP="00C81E2E">
      <w:pPr>
        <w:rPr>
          <w:color w:val="500778"/>
        </w:rPr>
      </w:pPr>
    </w:p>
    <w:p w14:paraId="0BBD4133" w14:textId="669B139C" w:rsidR="00FD15DE" w:rsidRPr="00A76E23" w:rsidRDefault="001A2999" w:rsidP="00261E7A">
      <w:r w:rsidRPr="00A76E23">
        <w:tab/>
      </w:r>
      <w:r w:rsidRPr="00A76E23">
        <w:tab/>
      </w:r>
      <w:r w:rsidRPr="00A76E23">
        <w:tab/>
      </w:r>
      <w:r w:rsidRPr="00A76E23">
        <w:tab/>
      </w:r>
      <w:r w:rsidRPr="00A76E23">
        <w:tab/>
      </w:r>
      <w:r w:rsidR="00E02FBC" w:rsidRPr="00A76E23">
        <w:tab/>
      </w:r>
      <w:r w:rsidR="00CB0B2F" w:rsidRPr="00A76E23">
        <w:tab/>
      </w:r>
      <w:r w:rsidR="009F40B6" w:rsidRPr="00A76E23">
        <w:rPr>
          <w:color w:val="500778"/>
        </w:rPr>
        <w:t>Q2</w:t>
      </w:r>
      <w:r w:rsidR="00AB27DA" w:rsidRPr="00A76E23">
        <w:rPr>
          <w:color w:val="500778"/>
        </w:rPr>
        <w:t xml:space="preserve"> 2016</w:t>
      </w:r>
      <w:r w:rsidRPr="00A76E23">
        <w:rPr>
          <w:color w:val="500778"/>
        </w:rPr>
        <w:tab/>
      </w:r>
      <w:r w:rsidR="009F40B6" w:rsidRPr="00A76E23">
        <w:rPr>
          <w:color w:val="500778"/>
        </w:rPr>
        <w:t>Q3</w:t>
      </w:r>
      <w:r w:rsidR="00AB27DA" w:rsidRPr="00A76E23">
        <w:rPr>
          <w:color w:val="500778"/>
        </w:rPr>
        <w:t xml:space="preserve"> 2016</w:t>
      </w:r>
      <w:r w:rsidR="00FD15DE" w:rsidRPr="00A76E23">
        <w:tab/>
      </w:r>
    </w:p>
    <w:p w14:paraId="0B5F1186" w14:textId="7227F903" w:rsidR="00ED5011" w:rsidRPr="00A76E23" w:rsidRDefault="005D4636" w:rsidP="00ED5011">
      <w:pPr>
        <w:pStyle w:val="ListParagraph"/>
        <w:numPr>
          <w:ilvl w:val="0"/>
          <w:numId w:val="3"/>
        </w:numPr>
        <w:ind w:left="284" w:hanging="284"/>
      </w:pPr>
      <w:r w:rsidRPr="00A76E23">
        <w:rPr>
          <w:noProof/>
          <w:lang w:eastAsia="et-EE"/>
        </w:rPr>
        <mc:AlternateContent>
          <mc:Choice Requires="wps">
            <w:drawing>
              <wp:anchor distT="0" distB="0" distL="114300" distR="114300" simplePos="0" relativeHeight="251685888" behindDoc="0" locked="0" layoutInCell="1" allowOverlap="1" wp14:anchorId="661588FE" wp14:editId="4FE6ED53">
                <wp:simplePos x="0" y="0"/>
                <wp:positionH relativeFrom="column">
                  <wp:posOffset>4029075</wp:posOffset>
                </wp:positionH>
                <wp:positionV relativeFrom="paragraph">
                  <wp:posOffset>19050</wp:posOffset>
                </wp:positionV>
                <wp:extent cx="0" cy="123825"/>
                <wp:effectExtent l="76200" t="0" r="76200" b="47625"/>
                <wp:wrapNone/>
                <wp:docPr id="1" name="Straight Arrow Connector 1"/>
                <wp:cNvGraphicFramePr/>
                <a:graphic xmlns:a="http://schemas.openxmlformats.org/drawingml/2006/main">
                  <a:graphicData uri="http://schemas.microsoft.com/office/word/2010/wordprocessingShape">
                    <wps:wsp>
                      <wps:cNvCnPr/>
                      <wps:spPr>
                        <a:xfrm>
                          <a:off x="0" y="0"/>
                          <a:ext cx="0" cy="123825"/>
                        </a:xfrm>
                        <a:prstGeom prst="straightConnector1">
                          <a:avLst/>
                        </a:prstGeom>
                        <a:noFill/>
                        <a:ln w="6350" cap="flat" cmpd="sng" algn="ctr">
                          <a:solidFill>
                            <a:srgbClr val="500778"/>
                          </a:solidFill>
                          <a:prstDash val="solid"/>
                          <a:miter lim="800000"/>
                          <a:tailEnd type="arrow" w="med" len="sm"/>
                        </a:ln>
                        <a:effectLst/>
                      </wps:spPr>
                      <wps:bodyPr/>
                    </wps:wsp>
                  </a:graphicData>
                </a:graphic>
              </wp:anchor>
            </w:drawing>
          </mc:Choice>
          <mc:Fallback>
            <w:pict>
              <v:shapetype w14:anchorId="0427741B" id="_x0000_t32" coordsize="21600,21600" o:spt="32" o:oned="t" path="m,l21600,21600e" filled="f">
                <v:path arrowok="t" fillok="f" o:connecttype="none"/>
                <o:lock v:ext="edit" shapetype="t"/>
              </v:shapetype>
              <v:shape id="Straight Arrow Connector 1" o:spid="_x0000_s1026" type="#_x0000_t32" style="position:absolute;margin-left:317.25pt;margin-top:1.5pt;width:0;height:9.7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" strokecolor="#500778" strokeweight=".5pt">
                <v:stroke endarrow="open" endarrowlength="short" joinstyle="miter"/>
              </v:shape>
            </w:pict>
          </mc:Fallback>
        </mc:AlternateContent>
      </w:r>
      <w:r w:rsidR="009F40B6" w:rsidRPr="00A76E23">
        <w:t>V</w:t>
      </w:r>
      <w:r w:rsidR="005E62DD">
        <w:t xml:space="preserve">olume of </w:t>
      </w:r>
      <w:r w:rsidR="009F40B6" w:rsidRPr="00A76E23">
        <w:t>premiums</w:t>
      </w:r>
      <w:r w:rsidR="005E62DD">
        <w:t xml:space="preserve"> written</w:t>
      </w:r>
      <w:r w:rsidR="005E62DD">
        <w:tab/>
      </w:r>
      <w:r w:rsidR="007C09F9" w:rsidRPr="00A76E23">
        <w:tab/>
      </w:r>
      <w:r w:rsidR="007C09F9" w:rsidRPr="00A76E23">
        <w:tab/>
      </w:r>
      <w:r w:rsidR="00CB0B2F" w:rsidRPr="00A76E23">
        <w:tab/>
      </w:r>
      <w:r w:rsidR="003C360E" w:rsidRPr="00A76E23">
        <w:t>51</w:t>
      </w:r>
      <w:r w:rsidR="003C360E" w:rsidRPr="00A76E23">
        <w:tab/>
      </w:r>
      <w:r w:rsidR="003C360E" w:rsidRPr="00A76E23">
        <w:tab/>
        <w:t>49</w:t>
      </w:r>
      <w:r w:rsidRPr="00A76E23">
        <w:t xml:space="preserve"> m</w:t>
      </w:r>
      <w:r w:rsidR="009F40B6" w:rsidRPr="00A76E23">
        <w:t>i</w:t>
      </w:r>
      <w:r w:rsidRPr="00A76E23">
        <w:t>l</w:t>
      </w:r>
      <w:r w:rsidR="009F40B6" w:rsidRPr="00A76E23">
        <w:t>lio</w:t>
      </w:r>
      <w:r w:rsidRPr="00A76E23">
        <w:t>n euro</w:t>
      </w:r>
      <w:r w:rsidR="009F40B6" w:rsidRPr="00A76E23">
        <w:t>s</w:t>
      </w:r>
      <w:r w:rsidR="00EF13C3" w:rsidRPr="00A76E23">
        <w:tab/>
      </w:r>
    </w:p>
    <w:p w14:paraId="48401E5F" w14:textId="34B75047" w:rsidR="00580083" w:rsidRPr="00A76E23" w:rsidRDefault="00580083" w:rsidP="00ED5011">
      <w:pPr>
        <w:pStyle w:val="ListParagraph"/>
        <w:numPr>
          <w:ilvl w:val="0"/>
          <w:numId w:val="3"/>
        </w:numPr>
        <w:ind w:left="284" w:hanging="284"/>
      </w:pPr>
      <w:r w:rsidRPr="00A76E23">
        <w:rPr>
          <w:noProof/>
          <w:lang w:eastAsia="et-EE"/>
        </w:rPr>
        <mc:AlternateContent>
          <mc:Choice Requires="wps">
            <w:drawing>
              <wp:anchor distT="0" distB="0" distL="114300" distR="114300" simplePos="0" relativeHeight="251698176" behindDoc="0" locked="0" layoutInCell="1" allowOverlap="1" wp14:anchorId="166A8DE6" wp14:editId="60090C0D">
                <wp:simplePos x="0" y="0"/>
                <wp:positionH relativeFrom="column">
                  <wp:posOffset>4029075</wp:posOffset>
                </wp:positionH>
                <wp:positionV relativeFrom="paragraph">
                  <wp:posOffset>8890</wp:posOffset>
                </wp:positionV>
                <wp:extent cx="0" cy="123825"/>
                <wp:effectExtent l="76200" t="0" r="76200" b="47625"/>
                <wp:wrapNone/>
                <wp:docPr id="12" name="Straight Arrow Connector 12"/>
                <wp:cNvGraphicFramePr/>
                <a:graphic xmlns:a="http://schemas.openxmlformats.org/drawingml/2006/main">
                  <a:graphicData uri="http://schemas.microsoft.com/office/word/2010/wordprocessingShape">
                    <wps:wsp>
                      <wps:cNvCnPr/>
                      <wps:spPr>
                        <a:xfrm>
                          <a:off x="0" y="0"/>
                          <a:ext cx="0" cy="123825"/>
                        </a:xfrm>
                        <a:prstGeom prst="straightConnector1">
                          <a:avLst/>
                        </a:prstGeom>
                        <a:noFill/>
                        <a:ln w="6350" cap="flat" cmpd="sng" algn="ctr">
                          <a:solidFill>
                            <a:srgbClr val="500778"/>
                          </a:solidFill>
                          <a:prstDash val="solid"/>
                          <a:miter lim="800000"/>
                          <a:tailEnd type="arrow" w="med" len="sm"/>
                        </a:ln>
                        <a:effectLst/>
                      </wps:spPr>
                      <wps:bodyPr/>
                    </wps:wsp>
                  </a:graphicData>
                </a:graphic>
              </wp:anchor>
            </w:drawing>
          </mc:Choice>
          <mc:Fallback>
            <w:pict>
              <v:shape w14:anchorId="7AEC0396" id="Straight Arrow Connector 12" o:spid="_x0000_s1026" type="#_x0000_t32" style="position:absolute;margin-left:317.25pt;margin-top:.7pt;width:0;height:9.7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" strokecolor="#500778" strokeweight=".5pt">
                <v:stroke endarrow="open" endarrowlength="short" joinstyle="miter"/>
              </v:shape>
            </w:pict>
          </mc:Fallback>
        </mc:AlternateContent>
      </w:r>
      <w:r w:rsidR="00A76E23" w:rsidRPr="00A76E23">
        <w:t xml:space="preserve">Volume of claims </w:t>
      </w:r>
      <w:r w:rsidR="005E62DD">
        <w:t>in</w:t>
      </w:r>
      <w:r w:rsidR="00A76E23" w:rsidRPr="00A76E23">
        <w:t>curred</w:t>
      </w:r>
      <w:r w:rsidR="003C360E" w:rsidRPr="00A76E23">
        <w:tab/>
      </w:r>
      <w:r w:rsidR="003C360E" w:rsidRPr="00A76E23">
        <w:tab/>
      </w:r>
      <w:r w:rsidR="003C360E" w:rsidRPr="00A76E23">
        <w:tab/>
      </w:r>
      <w:r w:rsidR="00CB0B2F" w:rsidRPr="00A76E23">
        <w:tab/>
      </w:r>
      <w:r w:rsidR="003C360E" w:rsidRPr="00A76E23">
        <w:t>28</w:t>
      </w:r>
      <w:r w:rsidR="003C360E" w:rsidRPr="00A76E23">
        <w:tab/>
      </w:r>
      <w:r w:rsidR="003C360E" w:rsidRPr="00A76E23">
        <w:tab/>
        <w:t>27</w:t>
      </w:r>
      <w:r w:rsidR="009F40B6" w:rsidRPr="00A76E23">
        <w:t xml:space="preserve"> million euros</w:t>
      </w:r>
      <w:r w:rsidRPr="00A76E23">
        <w:tab/>
      </w:r>
    </w:p>
    <w:p w14:paraId="24AA00B9" w14:textId="2859DCC2" w:rsidR="00261E7A" w:rsidRPr="00A76E23" w:rsidRDefault="00261E7A" w:rsidP="00ED5011">
      <w:pPr>
        <w:pStyle w:val="ListParagraph"/>
        <w:numPr>
          <w:ilvl w:val="0"/>
          <w:numId w:val="3"/>
        </w:numPr>
        <w:ind w:left="284" w:hanging="284"/>
      </w:pPr>
      <w:r w:rsidRPr="00A76E23">
        <w:rPr>
          <w:noProof/>
          <w:lang w:eastAsia="et-EE"/>
        </w:rPr>
        <mc:AlternateContent>
          <mc:Choice Requires="wps">
            <w:drawing>
              <wp:anchor distT="0" distB="0" distL="114300" distR="114300" simplePos="0" relativeHeight="251688960" behindDoc="0" locked="0" layoutInCell="1" allowOverlap="1" wp14:anchorId="561E1369" wp14:editId="59702142">
                <wp:simplePos x="0" y="0"/>
                <wp:positionH relativeFrom="column">
                  <wp:posOffset>4029075</wp:posOffset>
                </wp:positionH>
                <wp:positionV relativeFrom="paragraph">
                  <wp:posOffset>19685</wp:posOffset>
                </wp:positionV>
                <wp:extent cx="0" cy="123825"/>
                <wp:effectExtent l="76200" t="38100" r="57150" b="9525"/>
                <wp:wrapNone/>
                <wp:docPr id="5" name="Straight Arrow Connector 5"/>
                <wp:cNvGraphicFramePr/>
                <a:graphic xmlns:a="http://schemas.openxmlformats.org/drawingml/2006/main">
                  <a:graphicData uri="http://schemas.microsoft.com/office/word/2010/wordprocessingShape">
                    <wps:wsp>
                      <wps:cNvCnPr/>
                      <wps:spPr>
                        <a:xfrm rot="10800000">
                          <a:off x="0" y="0"/>
                          <a:ext cx="0" cy="123825"/>
                        </a:xfrm>
                        <a:prstGeom prst="straightConnector1">
                          <a:avLst/>
                        </a:prstGeom>
                        <a:ln>
                          <a:solidFill>
                            <a:srgbClr val="500778"/>
                          </a:solidFill>
                          <a:tailEnd type="arrow" w="med"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05F487" id="Straight Arrow Connector 5" o:spid="_x0000_s1026" type="#_x0000_t32" style="position:absolute;margin-left:317.25pt;margin-top:1.55pt;width:0;height:9.75pt;rotation:18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" strokecolor="#500778" strokeweight=".5pt">
                <v:stroke endarrow="open" endarrowlength="short" joinstyle="miter"/>
              </v:shape>
            </w:pict>
          </mc:Fallback>
        </mc:AlternateContent>
      </w:r>
      <w:r w:rsidR="00A76E23">
        <w:t>Volume of assets</w:t>
      </w:r>
      <w:r w:rsidR="00A76E23">
        <w:tab/>
      </w:r>
      <w:r w:rsidR="00A76E23">
        <w:tab/>
      </w:r>
      <w:r w:rsidRPr="00A76E23">
        <w:tab/>
      </w:r>
      <w:r w:rsidRPr="00A76E23">
        <w:tab/>
      </w:r>
      <w:r w:rsidR="00CB0B2F" w:rsidRPr="00A76E23">
        <w:tab/>
      </w:r>
      <w:r w:rsidR="009F40B6" w:rsidRPr="00A76E23">
        <w:t>1.06</w:t>
      </w:r>
      <w:r w:rsidR="009F40B6" w:rsidRPr="00A76E23">
        <w:tab/>
      </w:r>
      <w:r w:rsidR="009F40B6" w:rsidRPr="00A76E23">
        <w:tab/>
        <w:t>1.</w:t>
      </w:r>
      <w:r w:rsidRPr="00A76E23">
        <w:t>1</w:t>
      </w:r>
      <w:r w:rsidR="00453F62" w:rsidRPr="00A76E23">
        <w:t>0</w:t>
      </w:r>
      <w:r w:rsidR="009F40B6" w:rsidRPr="00A76E23">
        <w:t xml:space="preserve"> </w:t>
      </w:r>
      <w:proofErr w:type="spellStart"/>
      <w:r w:rsidR="009F40B6" w:rsidRPr="00A76E23">
        <w:t>bn</w:t>
      </w:r>
      <w:proofErr w:type="spellEnd"/>
      <w:r w:rsidRPr="00A76E23">
        <w:t xml:space="preserve"> euro</w:t>
      </w:r>
      <w:r w:rsidR="009F40B6" w:rsidRPr="00A76E23">
        <w:t>s</w:t>
      </w:r>
      <w:r w:rsidRPr="00A76E23">
        <w:tab/>
      </w:r>
    </w:p>
    <w:p w14:paraId="1D013A9D" w14:textId="5D3F543A" w:rsidR="00075FA9" w:rsidRPr="00A76E23" w:rsidRDefault="00075FA9" w:rsidP="00075FA9">
      <w:pPr>
        <w:pStyle w:val="ListParagraph"/>
        <w:numPr>
          <w:ilvl w:val="0"/>
          <w:numId w:val="3"/>
        </w:numPr>
        <w:ind w:left="284" w:hanging="284"/>
      </w:pPr>
      <w:r w:rsidRPr="00A76E23">
        <w:rPr>
          <w:noProof/>
          <w:lang w:eastAsia="et-EE"/>
        </w:rPr>
        <mc:AlternateContent>
          <mc:Choice Requires="wps">
            <w:drawing>
              <wp:anchor distT="0" distB="0" distL="114300" distR="114300" simplePos="0" relativeHeight="251691008" behindDoc="0" locked="0" layoutInCell="1" allowOverlap="1" wp14:anchorId="703E4106" wp14:editId="7DC16292">
                <wp:simplePos x="0" y="0"/>
                <wp:positionH relativeFrom="column">
                  <wp:posOffset>4029075</wp:posOffset>
                </wp:positionH>
                <wp:positionV relativeFrom="paragraph">
                  <wp:posOffset>19050</wp:posOffset>
                </wp:positionV>
                <wp:extent cx="0" cy="123825"/>
                <wp:effectExtent l="76200" t="38100" r="57150" b="9525"/>
                <wp:wrapNone/>
                <wp:docPr id="7" name="Straight Arrow Connector 7"/>
                <wp:cNvGraphicFramePr/>
                <a:graphic xmlns:a="http://schemas.openxmlformats.org/drawingml/2006/main">
                  <a:graphicData uri="http://schemas.microsoft.com/office/word/2010/wordprocessingShape">
                    <wps:wsp>
                      <wps:cNvCnPr/>
                      <wps:spPr>
                        <a:xfrm rot="10800000">
                          <a:off x="0" y="0"/>
                          <a:ext cx="0" cy="123825"/>
                        </a:xfrm>
                        <a:prstGeom prst="straightConnector1">
                          <a:avLst/>
                        </a:prstGeom>
                        <a:ln>
                          <a:solidFill>
                            <a:srgbClr val="500778"/>
                          </a:solidFill>
                          <a:tailEnd type="arrow" w="med"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B59FA9" id="Straight Arrow Connector 7" o:spid="_x0000_s1026" type="#_x0000_t32" style="position:absolute;margin-left:317.25pt;margin-top:1.5pt;width:0;height:9.75pt;rotation:18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" strokecolor="#500778" strokeweight=".5pt">
                <v:stroke endarrow="open" endarrowlength="short" joinstyle="miter"/>
              </v:shape>
            </w:pict>
          </mc:Fallback>
        </mc:AlternateContent>
      </w:r>
      <w:r w:rsidR="00A76E23">
        <w:t>Volume of liabilities</w:t>
      </w:r>
      <w:r w:rsidR="003C360E" w:rsidRPr="00A76E23">
        <w:tab/>
      </w:r>
      <w:r w:rsidR="003C360E" w:rsidRPr="00A76E23">
        <w:tab/>
      </w:r>
      <w:r w:rsidR="00A76E23">
        <w:tab/>
      </w:r>
      <w:r w:rsidR="003C360E" w:rsidRPr="00A76E23">
        <w:tab/>
      </w:r>
      <w:r w:rsidR="00CB0B2F" w:rsidRPr="00A76E23">
        <w:tab/>
      </w:r>
      <w:r w:rsidR="003C360E" w:rsidRPr="00A76E23">
        <w:t>812</w:t>
      </w:r>
      <w:r w:rsidR="003C360E" w:rsidRPr="00A76E23">
        <w:tab/>
      </w:r>
      <w:r w:rsidR="003C360E" w:rsidRPr="00A76E23">
        <w:tab/>
        <w:t>823</w:t>
      </w:r>
      <w:r w:rsidR="00F0500B" w:rsidRPr="00A76E23">
        <w:t xml:space="preserve"> m</w:t>
      </w:r>
      <w:r w:rsidR="009F40B6" w:rsidRPr="00A76E23">
        <w:t>i</w:t>
      </w:r>
      <w:r w:rsidR="00F0500B" w:rsidRPr="00A76E23">
        <w:t>l</w:t>
      </w:r>
      <w:r w:rsidR="009F40B6" w:rsidRPr="00A76E23">
        <w:t>lio</w:t>
      </w:r>
      <w:r w:rsidR="00F0500B" w:rsidRPr="00A76E23">
        <w:t>n euro</w:t>
      </w:r>
      <w:r w:rsidR="009F40B6" w:rsidRPr="00A76E23">
        <w:t>s</w:t>
      </w:r>
    </w:p>
    <w:p w14:paraId="337BB1A7" w14:textId="21B2E1CA" w:rsidR="008E43E7" w:rsidRPr="00A76E23" w:rsidRDefault="008E43E7" w:rsidP="00ED5011">
      <w:pPr>
        <w:pStyle w:val="ListParagraph"/>
        <w:numPr>
          <w:ilvl w:val="0"/>
          <w:numId w:val="3"/>
        </w:numPr>
        <w:ind w:left="284" w:hanging="284"/>
      </w:pPr>
      <w:r w:rsidRPr="00A76E23">
        <w:rPr>
          <w:noProof/>
          <w:lang w:eastAsia="et-EE"/>
        </w:rPr>
        <mc:AlternateContent>
          <mc:Choice Requires="wps">
            <w:drawing>
              <wp:anchor distT="0" distB="0" distL="114300" distR="114300" simplePos="0" relativeHeight="251693056" behindDoc="0" locked="0" layoutInCell="1" allowOverlap="1" wp14:anchorId="4EBF977A" wp14:editId="71694A4E">
                <wp:simplePos x="0" y="0"/>
                <wp:positionH relativeFrom="column">
                  <wp:posOffset>4029075</wp:posOffset>
                </wp:positionH>
                <wp:positionV relativeFrom="paragraph">
                  <wp:posOffset>18415</wp:posOffset>
                </wp:positionV>
                <wp:extent cx="0" cy="123825"/>
                <wp:effectExtent l="76200" t="38100" r="57150" b="9525"/>
                <wp:wrapNone/>
                <wp:docPr id="8" name="Straight Arrow Connector 8"/>
                <wp:cNvGraphicFramePr/>
                <a:graphic xmlns:a="http://schemas.openxmlformats.org/drawingml/2006/main">
                  <a:graphicData uri="http://schemas.microsoft.com/office/word/2010/wordprocessingShape">
                    <wps:wsp>
                      <wps:cNvCnPr/>
                      <wps:spPr>
                        <a:xfrm rot="10800000">
                          <a:off x="0" y="0"/>
                          <a:ext cx="0" cy="123825"/>
                        </a:xfrm>
                        <a:prstGeom prst="straightConnector1">
                          <a:avLst/>
                        </a:prstGeom>
                        <a:ln>
                          <a:solidFill>
                            <a:srgbClr val="500778"/>
                          </a:solidFill>
                          <a:tailEnd type="arrow" w="med"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3EEBB2" id="Straight Arrow Connector 8" o:spid="_x0000_s1026" type="#_x0000_t32" style="position:absolute;margin-left:317.25pt;margin-top:1.45pt;width:0;height:9.75pt;rotation:18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" strokecolor="#500778" strokeweight=".5pt">
                <v:stroke endarrow="open" endarrowlength="short" joinstyle="miter"/>
              </v:shape>
            </w:pict>
          </mc:Fallback>
        </mc:AlternateContent>
      </w:r>
      <w:r w:rsidR="00A76E23">
        <w:t>Ratio of costs to net insurance premiums (cumulative)</w:t>
      </w:r>
      <w:r w:rsidR="009F40B6" w:rsidRPr="00A76E23">
        <w:tab/>
        <w:t>16.4%</w:t>
      </w:r>
      <w:r w:rsidR="009F40B6" w:rsidRPr="00A76E23">
        <w:tab/>
      </w:r>
      <w:r w:rsidR="009F40B6" w:rsidRPr="00A76E23">
        <w:tab/>
        <w:t>16.</w:t>
      </w:r>
      <w:r w:rsidRPr="00A76E23">
        <w:t>6%</w:t>
      </w:r>
      <w:r w:rsidR="00C959B3" w:rsidRPr="00A76E23">
        <w:tab/>
      </w:r>
      <w:r w:rsidR="00C959B3" w:rsidRPr="00A76E23">
        <w:tab/>
      </w:r>
    </w:p>
    <w:p w14:paraId="60C4780A" w14:textId="770CB1A6" w:rsidR="00C959B3" w:rsidRPr="00A76E23" w:rsidRDefault="00CB0B2F" w:rsidP="00ED5011">
      <w:pPr>
        <w:pStyle w:val="ListParagraph"/>
        <w:numPr>
          <w:ilvl w:val="0"/>
          <w:numId w:val="3"/>
        </w:numPr>
        <w:ind w:left="284" w:hanging="284"/>
      </w:pPr>
      <w:r w:rsidRPr="00A76E23">
        <w:rPr>
          <w:noProof/>
          <w:lang w:eastAsia="et-EE"/>
        </w:rPr>
        <mc:AlternateContent>
          <mc:Choice Requires="wps">
            <w:drawing>
              <wp:anchor distT="0" distB="0" distL="114300" distR="114300" simplePos="0" relativeHeight="251700224" behindDoc="0" locked="0" layoutInCell="1" allowOverlap="1" wp14:anchorId="6EB67401" wp14:editId="24F1C7B8">
                <wp:simplePos x="0" y="0"/>
                <wp:positionH relativeFrom="column">
                  <wp:posOffset>4029075</wp:posOffset>
                </wp:positionH>
                <wp:positionV relativeFrom="paragraph">
                  <wp:posOffset>19050</wp:posOffset>
                </wp:positionV>
                <wp:extent cx="0" cy="123825"/>
                <wp:effectExtent l="76200" t="38100" r="57150" b="9525"/>
                <wp:wrapNone/>
                <wp:docPr id="4" name="Straight Arrow Connector 4"/>
                <wp:cNvGraphicFramePr/>
                <a:graphic xmlns:a="http://schemas.openxmlformats.org/drawingml/2006/main">
                  <a:graphicData uri="http://schemas.microsoft.com/office/word/2010/wordprocessingShape">
                    <wps:wsp>
                      <wps:cNvCnPr/>
                      <wps:spPr>
                        <a:xfrm rot="10800000">
                          <a:off x="0" y="0"/>
                          <a:ext cx="0" cy="123825"/>
                        </a:xfrm>
                        <a:prstGeom prst="straightConnector1">
                          <a:avLst/>
                        </a:prstGeom>
                        <a:ln>
                          <a:solidFill>
                            <a:srgbClr val="500778"/>
                          </a:solidFill>
                          <a:tailEnd type="arrow" w="med"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818A3BA" id="_x0000_t32" coordsize="21600,21600" o:spt="32" o:oned="t" path="m,l21600,21600e" filled="f">
                <v:path arrowok="t" fillok="f" o:connecttype="none"/>
                <o:lock v:ext="edit" shapetype="t"/>
              </v:shapetype>
              <v:shape id="Straight Arrow Connector 4" o:spid="_x0000_s1026" type="#_x0000_t32" style="position:absolute;margin-left:317.25pt;margin-top:1.5pt;width:0;height:9.75pt;rotation:180;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" strokecolor="#500778" strokeweight=".5pt">
                <v:stroke endarrow="open" endarrowlength="short" joinstyle="miter"/>
              </v:shape>
            </w:pict>
          </mc:Fallback>
        </mc:AlternateContent>
      </w:r>
      <w:r w:rsidR="00A76E23">
        <w:t>Profit</w:t>
      </w:r>
      <w:r w:rsidR="00322664" w:rsidRPr="00A76E23">
        <w:rPr>
          <w:rStyle w:val="FootnoteReference"/>
        </w:rPr>
        <w:footnoteReference w:id="1"/>
      </w:r>
      <w:r w:rsidR="00C959B3" w:rsidRPr="00A76E23">
        <w:tab/>
      </w:r>
      <w:r w:rsidR="00C959B3" w:rsidRPr="00A76E23">
        <w:tab/>
      </w:r>
      <w:r w:rsidR="00C959B3" w:rsidRPr="00A76E23">
        <w:tab/>
      </w:r>
      <w:r w:rsidR="00322664" w:rsidRPr="00A76E23">
        <w:tab/>
      </w:r>
      <w:r w:rsidR="00C959B3" w:rsidRPr="00A76E23">
        <w:tab/>
      </w:r>
      <w:r w:rsidRPr="00A76E23">
        <w:tab/>
      </w:r>
      <w:r w:rsidR="009F40B6" w:rsidRPr="00A76E23">
        <w:t>7.</w:t>
      </w:r>
      <w:r w:rsidRPr="00A76E23">
        <w:t>5</w:t>
      </w:r>
      <w:r w:rsidR="00C959B3" w:rsidRPr="00A76E23">
        <w:tab/>
      </w:r>
      <w:r w:rsidR="00C959B3" w:rsidRPr="00A76E23">
        <w:tab/>
      </w:r>
      <w:r w:rsidR="009F40B6" w:rsidRPr="00A76E23">
        <w:t>7.</w:t>
      </w:r>
      <w:r w:rsidRPr="00A76E23">
        <w:t>8</w:t>
      </w:r>
      <w:r w:rsidR="003C360E" w:rsidRPr="00A76E23">
        <w:t xml:space="preserve"> m</w:t>
      </w:r>
      <w:r w:rsidR="009F40B6" w:rsidRPr="00A76E23">
        <w:t>i</w:t>
      </w:r>
      <w:r w:rsidR="003C360E" w:rsidRPr="00A76E23">
        <w:t>l</w:t>
      </w:r>
      <w:r w:rsidR="009F40B6" w:rsidRPr="00A76E23">
        <w:t>lio</w:t>
      </w:r>
      <w:r w:rsidR="003C360E" w:rsidRPr="00A76E23">
        <w:t>n euro</w:t>
      </w:r>
      <w:r w:rsidR="009F40B6" w:rsidRPr="00A76E23">
        <w:t>s</w:t>
      </w:r>
      <w:r w:rsidR="00F37FF0" w:rsidRPr="00A76E23">
        <w:tab/>
      </w:r>
    </w:p>
    <w:p w14:paraId="244E32FE" w14:textId="2D26144E" w:rsidR="00D24B15" w:rsidRPr="00A76E23" w:rsidRDefault="00900D47" w:rsidP="003C360E">
      <w:pPr>
        <w:pStyle w:val="ListParagraph"/>
        <w:numPr>
          <w:ilvl w:val="0"/>
          <w:numId w:val="3"/>
        </w:numPr>
        <w:ind w:left="284" w:hanging="284"/>
      </w:pPr>
      <w:r w:rsidRPr="00A76E23">
        <w:rPr>
          <w:noProof/>
          <w:lang w:eastAsia="et-EE"/>
        </w:rPr>
        <mc:AlternateContent>
          <mc:Choice Requires="wps">
            <w:drawing>
              <wp:anchor distT="0" distB="0" distL="114300" distR="114300" simplePos="0" relativeHeight="251696128" behindDoc="0" locked="0" layoutInCell="1" allowOverlap="1" wp14:anchorId="24E1E449" wp14:editId="354B4FC1">
                <wp:simplePos x="0" y="0"/>
                <wp:positionH relativeFrom="column">
                  <wp:posOffset>4029075</wp:posOffset>
                </wp:positionH>
                <wp:positionV relativeFrom="paragraph">
                  <wp:posOffset>19050</wp:posOffset>
                </wp:positionV>
                <wp:extent cx="0" cy="123825"/>
                <wp:effectExtent l="76200" t="38100" r="57150" b="9525"/>
                <wp:wrapNone/>
                <wp:docPr id="11" name="Straight Arrow Connector 11"/>
                <wp:cNvGraphicFramePr/>
                <a:graphic xmlns:a="http://schemas.openxmlformats.org/drawingml/2006/main">
                  <a:graphicData uri="http://schemas.microsoft.com/office/word/2010/wordprocessingShape">
                    <wps:wsp>
                      <wps:cNvCnPr/>
                      <wps:spPr>
                        <a:xfrm rot="10800000">
                          <a:off x="0" y="0"/>
                          <a:ext cx="0" cy="123825"/>
                        </a:xfrm>
                        <a:prstGeom prst="straightConnector1">
                          <a:avLst/>
                        </a:prstGeom>
                        <a:ln>
                          <a:solidFill>
                            <a:srgbClr val="500778"/>
                          </a:solidFill>
                          <a:tailEnd type="arrow" w="med"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A4215A" id="Straight Arrow Connector 11" o:spid="_x0000_s1026" type="#_x0000_t32" style="position:absolute;margin-left:317.25pt;margin-top:1.5pt;width:0;height:9.75pt;rotation:18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" strokecolor="#500778" strokeweight=".5pt">
                <v:stroke endarrow="open" endarrowlength="short" joinstyle="miter"/>
              </v:shape>
            </w:pict>
          </mc:Fallback>
        </mc:AlternateContent>
      </w:r>
      <w:r w:rsidRPr="00A76E23">
        <w:t>Solven</w:t>
      </w:r>
      <w:r w:rsidR="00A76E23">
        <w:t>cy capital requirement (SCR)</w:t>
      </w:r>
      <w:r w:rsidR="005D4636" w:rsidRPr="00A76E23">
        <w:tab/>
      </w:r>
      <w:r w:rsidR="005D4636" w:rsidRPr="00A76E23">
        <w:tab/>
      </w:r>
      <w:r w:rsidR="00CB0B2F" w:rsidRPr="00A76E23">
        <w:tab/>
      </w:r>
      <w:r w:rsidRPr="00A76E23">
        <w:t>164%</w:t>
      </w:r>
      <w:r w:rsidR="005D4636" w:rsidRPr="00A76E23">
        <w:tab/>
      </w:r>
      <w:r w:rsidR="005D4636" w:rsidRPr="00A76E23">
        <w:tab/>
      </w:r>
      <w:r w:rsidRPr="00A76E23">
        <w:t>174%</w:t>
      </w:r>
      <w:r w:rsidR="005D4636" w:rsidRPr="00A76E23">
        <w:tab/>
      </w:r>
      <w:r w:rsidR="00453F62" w:rsidRPr="00A76E23">
        <w:tab/>
      </w:r>
    </w:p>
    <w:p w14:paraId="6706F397" w14:textId="77777777" w:rsidR="00AB27DA" w:rsidRDefault="00AB27DA" w:rsidP="00AB27DA">
      <w:pPr>
        <w:pStyle w:val="ListParagraph"/>
        <w:ind w:left="284"/>
        <w:rPr>
          <w:lang w:val="et-EE"/>
        </w:rPr>
      </w:pPr>
    </w:p>
    <w:p w14:paraId="10BBE656" w14:textId="77777777" w:rsidR="00AB27DA" w:rsidRPr="00AB27DA" w:rsidRDefault="00AB27DA" w:rsidP="00AB27DA">
      <w:pPr>
        <w:pStyle w:val="ListParagraph"/>
        <w:ind w:left="284"/>
        <w:rPr>
          <w:lang w:val="et-EE"/>
        </w:rPr>
      </w:pPr>
    </w:p>
    <w:p w14:paraId="28E5AEDB" w14:textId="0288D8B6" w:rsidR="00A76E23" w:rsidRPr="005E62DD" w:rsidRDefault="00A76E23" w:rsidP="002605ED">
      <w:pPr>
        <w:jc w:val="both"/>
      </w:pPr>
      <w:r w:rsidRPr="005E62DD">
        <w:t xml:space="preserve">The </w:t>
      </w:r>
      <w:r w:rsidR="005E62DD">
        <w:t xml:space="preserve">volume of </w:t>
      </w:r>
      <w:r w:rsidRPr="005E62DD">
        <w:t xml:space="preserve">insurance premiums </w:t>
      </w:r>
      <w:r w:rsidR="005E62DD">
        <w:t>written</w:t>
      </w:r>
      <w:r w:rsidRPr="005E62DD">
        <w:t xml:space="preserve"> by life insurance undertakings operating in Estonia amounted to 49 million euros in Q3 2016, i.e. 2.5% less than in Q2. In annual comparison, the volume of premiums has also </w:t>
      </w:r>
      <w:r w:rsidR="005E62DD" w:rsidRPr="005E62DD">
        <w:t>declined: du</w:t>
      </w:r>
      <w:bookmarkStart w:id="0" w:name="_GoBack"/>
      <w:bookmarkEnd w:id="0"/>
      <w:r w:rsidR="005E62DD" w:rsidRPr="005E62DD">
        <w:t>ring the first three quarters of the year, premiums amounted to 149 million euros or 1.4% less than a year before.</w:t>
      </w:r>
    </w:p>
    <w:p w14:paraId="3D077275" w14:textId="262ADCDA" w:rsidR="004B5FFF" w:rsidRDefault="004B5FFF" w:rsidP="002605ED">
      <w:pPr>
        <w:jc w:val="both"/>
        <w:rPr>
          <w:lang w:val="et-EE"/>
        </w:rPr>
      </w:pPr>
    </w:p>
    <w:p w14:paraId="7F596897" w14:textId="694A9880" w:rsidR="005E62DD" w:rsidRPr="00987F2F" w:rsidRDefault="00987F2F" w:rsidP="002605ED">
      <w:pPr>
        <w:jc w:val="both"/>
      </w:pPr>
      <w:r w:rsidRPr="00987F2F">
        <w:rPr>
          <w:noProof/>
          <w:lang w:eastAsia="et-EE"/>
        </w:rPr>
        <w:drawing>
          <wp:anchor distT="0" distB="0" distL="114300" distR="114300" simplePos="0" relativeHeight="251701248" behindDoc="0" locked="0" layoutInCell="1" allowOverlap="1" wp14:anchorId="345AB10B" wp14:editId="10766D5E">
            <wp:simplePos x="0" y="0"/>
            <wp:positionH relativeFrom="margin">
              <wp:align>right</wp:align>
            </wp:positionH>
            <wp:positionV relativeFrom="paragraph">
              <wp:posOffset>13275</wp:posOffset>
            </wp:positionV>
            <wp:extent cx="3649345" cy="2251075"/>
            <wp:effectExtent l="0" t="0" r="8255" b="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Pr="00987F2F">
        <w:t>Unit-linke</w:t>
      </w:r>
      <w:r w:rsidR="00381E44">
        <w:t xml:space="preserve">d </w:t>
      </w:r>
      <w:r>
        <w:t>insurance products make up the</w:t>
      </w:r>
      <w:r w:rsidRPr="00987F2F">
        <w:t xml:space="preserve"> largest</w:t>
      </w:r>
      <w:r>
        <w:t xml:space="preserve"> share of the premiums in life insurance: these totalled 22 million euros in Q3 or 2.9% less than in Q2. During th</w:t>
      </w:r>
      <w:r w:rsidR="00381E44">
        <w:t xml:space="preserve">e first three quarters of 2016 </w:t>
      </w:r>
      <w:r>
        <w:t>unit-linked insurance premiums were written in the amount of 66 million euros or 44% of all premiums. This is followed by insurance with profit participation with 49 million euros which makes up about third of all premiums.</w:t>
      </w:r>
    </w:p>
    <w:p w14:paraId="240E7174" w14:textId="298EF5F9" w:rsidR="005E62DD" w:rsidRDefault="005E62DD" w:rsidP="002605ED">
      <w:pPr>
        <w:jc w:val="both"/>
      </w:pPr>
    </w:p>
    <w:p w14:paraId="3C661C45" w14:textId="3D1FC19F" w:rsidR="00987F2F" w:rsidRDefault="00381E44" w:rsidP="002605ED">
      <w:pPr>
        <w:jc w:val="both"/>
      </w:pPr>
      <w:r>
        <w:t xml:space="preserve">Life insurance </w:t>
      </w:r>
      <w:r w:rsidR="00987F2F">
        <w:t>claims incurred amounted to 27 million euros in Q</w:t>
      </w:r>
      <w:r>
        <w:t xml:space="preserve">3, i.e. 3% less than in Q2. During the first three quarters of 2016 the claims reached 85 million euros. Similar to premiums written, the most claims </w:t>
      </w:r>
      <w:r w:rsidR="002560D6">
        <w:t>in</w:t>
      </w:r>
      <w:r>
        <w:t>curred also in unit-linked life insurance: 49 million euros or 58% of all claims.</w:t>
      </w:r>
    </w:p>
    <w:p w14:paraId="0C45CB69" w14:textId="77777777" w:rsidR="00381E44" w:rsidRDefault="00381E44" w:rsidP="002605ED">
      <w:pPr>
        <w:jc w:val="both"/>
      </w:pPr>
    </w:p>
    <w:p w14:paraId="6C992C98" w14:textId="0FDA3D29" w:rsidR="00381E44" w:rsidRDefault="00381E44" w:rsidP="002605ED">
      <w:pPr>
        <w:jc w:val="both"/>
      </w:pPr>
      <w:r>
        <w:t xml:space="preserve">The volume of assets of life insurance undertakings increased to 1.1 billion euros during Q3. </w:t>
      </w:r>
      <w:r w:rsidR="00AC116A">
        <w:t>Liabilities related to insurance contracts have grown to 823 million euros. The e</w:t>
      </w:r>
      <w:r w:rsidR="00AC116A" w:rsidRPr="00AC116A">
        <w:t>xcess of assets over liabilities</w:t>
      </w:r>
      <w:r w:rsidR="00AC116A">
        <w:t xml:space="preserve"> has increased, probably due to profits earned. The structure of assets and liabilities as well as the excess of assets over liabilities is very different </w:t>
      </w:r>
      <w:r w:rsidR="002560D6">
        <w:t>among</w:t>
      </w:r>
      <w:r w:rsidR="00AC116A">
        <w:t xml:space="preserve"> insurance undertakings because business models vary </w:t>
      </w:r>
      <w:r w:rsidR="00DE34AB">
        <w:t>too.</w:t>
      </w:r>
    </w:p>
    <w:p w14:paraId="345753C4" w14:textId="77777777" w:rsidR="00987F2F" w:rsidRDefault="00987F2F" w:rsidP="002605ED">
      <w:pPr>
        <w:jc w:val="both"/>
      </w:pPr>
    </w:p>
    <w:p w14:paraId="69786794" w14:textId="36EE94BB" w:rsidR="00DE34AB" w:rsidRPr="00987F2F" w:rsidRDefault="00DE34AB" w:rsidP="002605ED">
      <w:pPr>
        <w:jc w:val="both"/>
      </w:pPr>
      <w:r>
        <w:t>The r</w:t>
      </w:r>
      <w:r>
        <w:t>atio of costs to net insurance premiums</w:t>
      </w:r>
      <w:r>
        <w:t xml:space="preserve"> did not change much during Q3 and was 16.6% in the cumulative view. In annual comparison, however, the expenditure ratios have risen for most of the life insurance undertakings.</w:t>
      </w:r>
    </w:p>
    <w:p w14:paraId="1C7369FC" w14:textId="77777777" w:rsidR="00FD15DE" w:rsidRDefault="00FD15DE" w:rsidP="002605ED">
      <w:pPr>
        <w:jc w:val="both"/>
      </w:pPr>
    </w:p>
    <w:p w14:paraId="79CC98C1" w14:textId="1B3AB01D" w:rsidR="00DE34AB" w:rsidRPr="00987F2F" w:rsidRDefault="00345EA9" w:rsidP="002605ED">
      <w:pPr>
        <w:jc w:val="both"/>
      </w:pPr>
      <w:r>
        <w:rPr>
          <w:noProof/>
          <w:lang w:val="et-EE" w:eastAsia="et-EE"/>
        </w:rPr>
        <w:lastRenderedPageBreak/>
        <w:drawing>
          <wp:anchor distT="0" distB="0" distL="114300" distR="114300" simplePos="0" relativeHeight="251702272" behindDoc="1" locked="0" layoutInCell="1" allowOverlap="1" wp14:anchorId="18060A7B" wp14:editId="781C007C">
            <wp:simplePos x="0" y="0"/>
            <wp:positionH relativeFrom="margin">
              <wp:align>right</wp:align>
            </wp:positionH>
            <wp:positionV relativeFrom="paragraph">
              <wp:posOffset>0</wp:posOffset>
            </wp:positionV>
            <wp:extent cx="3646170" cy="2169160"/>
            <wp:effectExtent l="0" t="0" r="0" b="2540"/>
            <wp:wrapTight wrapText="bothSides">
              <wp:wrapPolygon edited="0">
                <wp:start x="0" y="0"/>
                <wp:lineTo x="0" y="21436"/>
                <wp:lineTo x="21442" y="21436"/>
                <wp:lineTo x="21442" y="0"/>
                <wp:lineTo x="0" y="0"/>
              </wp:wrapPolygon>
            </wp:wrapTight>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anchor>
        </w:drawing>
      </w:r>
      <w:r w:rsidR="00DE34AB">
        <w:t>The s</w:t>
      </w:r>
      <w:r w:rsidR="00DE34AB" w:rsidRPr="00A76E23">
        <w:t>olven</w:t>
      </w:r>
      <w:r w:rsidR="00DE34AB">
        <w:t>cy capital requirement (SCR)</w:t>
      </w:r>
      <w:r w:rsidR="00DE34AB">
        <w:t xml:space="preserve"> which shows the actual risk profile of the insurance undertaking in the Solvency II framework, is covered with suitable own funds</w:t>
      </w:r>
      <w:r w:rsidR="00615994">
        <w:t>, amounting to 174% in Q3. SCR is met by all life insurance undertakings. Even more, the coverage of the requirement has improved for most undertakings during the year due to profits earned and a very small increase in liabilities. The minimum requirement is covered by 6.6 times.</w:t>
      </w:r>
    </w:p>
    <w:p w14:paraId="27E44725" w14:textId="77777777" w:rsidR="006F2BBD" w:rsidRPr="00345EA9" w:rsidRDefault="006F2BBD" w:rsidP="002605ED">
      <w:pPr>
        <w:jc w:val="both"/>
      </w:pPr>
    </w:p>
    <w:p w14:paraId="660E4E67" w14:textId="77777777" w:rsidR="002605ED" w:rsidRPr="00345EA9" w:rsidRDefault="002605ED" w:rsidP="002605ED">
      <w:pPr>
        <w:jc w:val="both"/>
      </w:pPr>
    </w:p>
    <w:p w14:paraId="6FEDF82D" w14:textId="7B0A4A50" w:rsidR="000A0B03" w:rsidRPr="00345EA9" w:rsidRDefault="00345EA9" w:rsidP="005D4636">
      <w:pPr>
        <w:spacing w:after="120"/>
        <w:rPr>
          <w:rFonts w:ascii="Publico Headline" w:hAnsi="Publico Headline"/>
          <w:color w:val="500778"/>
          <w:sz w:val="20"/>
          <w:szCs w:val="20"/>
        </w:rPr>
      </w:pPr>
      <w:r w:rsidRPr="00345EA9">
        <w:rPr>
          <w:rFonts w:ascii="Publico Headline" w:hAnsi="Publico Headline"/>
          <w:color w:val="500778"/>
          <w:sz w:val="20"/>
          <w:szCs w:val="20"/>
        </w:rPr>
        <w:t>Main developments and risks</w:t>
      </w:r>
    </w:p>
    <w:p w14:paraId="54D1D73F" w14:textId="20CC5C93" w:rsidR="00345EA9" w:rsidRDefault="00345EA9" w:rsidP="00BD0B65">
      <w:pPr>
        <w:pStyle w:val="ListParagraph"/>
        <w:numPr>
          <w:ilvl w:val="0"/>
          <w:numId w:val="5"/>
        </w:numPr>
        <w:tabs>
          <w:tab w:val="left" w:pos="0"/>
          <w:tab w:val="left" w:pos="284"/>
        </w:tabs>
        <w:spacing w:after="120"/>
        <w:ind w:left="0" w:firstLine="0"/>
        <w:contextualSpacing w:val="0"/>
        <w:jc w:val="both"/>
      </w:pPr>
      <w:r>
        <w:t>The environment of low interest rates does not favour the sale or development of products with an interest guarantee. The insurance undertakings are thus concentrating on the sale of risk and unit-linked products. Such an interest rate environment has particularly affected life insurance undertakings with</w:t>
      </w:r>
      <w:r w:rsidR="002560D6">
        <w:t xml:space="preserve"> long-term</w:t>
      </w:r>
      <w:r>
        <w:t xml:space="preserve"> </w:t>
      </w:r>
      <w:r w:rsidR="002560D6">
        <w:t xml:space="preserve">financial </w:t>
      </w:r>
      <w:r>
        <w:t>guarantee</w:t>
      </w:r>
      <w:r w:rsidR="002560D6">
        <w:t xml:space="preserve"> obligations to policyholders</w:t>
      </w:r>
      <w:r>
        <w:t>.</w:t>
      </w:r>
    </w:p>
    <w:p w14:paraId="5B08350A" w14:textId="02FF9422" w:rsidR="002560D6" w:rsidRPr="00345EA9" w:rsidRDefault="002560D6" w:rsidP="00BD0B65">
      <w:pPr>
        <w:pStyle w:val="ListParagraph"/>
        <w:numPr>
          <w:ilvl w:val="0"/>
          <w:numId w:val="5"/>
        </w:numPr>
        <w:tabs>
          <w:tab w:val="left" w:pos="0"/>
          <w:tab w:val="left" w:pos="284"/>
        </w:tabs>
        <w:spacing w:after="120"/>
        <w:ind w:left="0" w:firstLine="0"/>
        <w:contextualSpacing w:val="0"/>
        <w:jc w:val="both"/>
      </w:pPr>
      <w:r>
        <w:t>The new insurance supervisory framework Solvency II came into force in the beginning of 2016. This has increased the costs of insurance undertakings as they need to enforce new regulations and meet the requirements of law.</w:t>
      </w:r>
    </w:p>
    <w:p w14:paraId="79555F03" w14:textId="21E294A1" w:rsidR="00CE40AB" w:rsidRPr="00345EA9" w:rsidRDefault="00CE40AB" w:rsidP="002560D6">
      <w:pPr>
        <w:pStyle w:val="ListParagraph"/>
        <w:tabs>
          <w:tab w:val="left" w:pos="0"/>
          <w:tab w:val="left" w:pos="284"/>
        </w:tabs>
        <w:spacing w:after="120"/>
        <w:ind w:left="0"/>
        <w:contextualSpacing w:val="0"/>
        <w:jc w:val="both"/>
      </w:pPr>
    </w:p>
    <w:sectPr w:rsidR="00CE40AB" w:rsidRPr="00345EA9" w:rsidSect="00990C7D">
      <w:headerReference w:type="default" r:id="rId10"/>
      <w:footerReference w:type="default" r:id="rId11"/>
      <w:type w:val="continuous"/>
      <w:pgSz w:w="11906" w:h="16838" w:code="9"/>
      <w:pgMar w:top="1361" w:right="851" w:bottom="851" w:left="1701"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30C3A3" w14:textId="77777777" w:rsidR="00FA7E55" w:rsidRDefault="00FA7E55" w:rsidP="004B772F">
      <w:pPr>
        <w:spacing w:line="240" w:lineRule="auto"/>
      </w:pPr>
      <w:r>
        <w:separator/>
      </w:r>
    </w:p>
  </w:endnote>
  <w:endnote w:type="continuationSeparator" w:id="0">
    <w:p w14:paraId="61F2DC40" w14:textId="77777777" w:rsidR="00FA7E55" w:rsidRDefault="00FA7E55" w:rsidP="004B77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embedRegular r:id="rId1" w:fontKey="{1654ECD7-E03F-4EF7-A23A-732AC4C5C591}"/>
    <w:embedBold r:id="rId2" w:fontKey="{396213C4-840A-44A4-86D3-E0D277C02331}"/>
  </w:font>
  <w:font w:name="Atlas Grotesk Light">
    <w:altName w:val="Arial"/>
    <w:panose1 w:val="00000000000000000000"/>
    <w:charset w:val="00"/>
    <w:family w:val="modern"/>
    <w:notTrueType/>
    <w:pitch w:val="variable"/>
    <w:sig w:usb0="00000007" w:usb1="00000000" w:usb2="00000000" w:usb3="00000000" w:csb0="00000093" w:csb1="00000000"/>
  </w:font>
  <w:font w:name="Segoe UI">
    <w:panose1 w:val="020B0502040204020203"/>
    <w:charset w:val="BA"/>
    <w:family w:val="swiss"/>
    <w:pitch w:val="variable"/>
    <w:sig w:usb0="E10022FF" w:usb1="C000E47F" w:usb2="00000029" w:usb3="00000000" w:csb0="000001DF" w:csb1="00000000"/>
    <w:embedRegular r:id="rId3" w:fontKey="{D1B55592-A4D7-42F3-9150-77AE95DB2347}"/>
  </w:font>
  <w:font w:name="Publico Headline">
    <w:panose1 w:val="00000000000000000000"/>
    <w:charset w:val="00"/>
    <w:family w:val="roman"/>
    <w:notTrueType/>
    <w:pitch w:val="variable"/>
    <w:sig w:usb0="00000007" w:usb1="00000000" w:usb2="00000000" w:usb3="00000000" w:csb0="00000093" w:csb1="00000000"/>
  </w:font>
  <w:font w:name="Calibri Light">
    <w:panose1 w:val="020F0302020204030204"/>
    <w:charset w:val="BA"/>
    <w:family w:val="swiss"/>
    <w:pitch w:val="variable"/>
    <w:sig w:usb0="A00002EF" w:usb1="4000207B" w:usb2="00000000" w:usb3="00000000" w:csb0="0000019F" w:csb1="00000000"/>
    <w:embedRegular r:id="rId4" w:fontKey="{BDEE1E00-51A0-4644-834E-4EB156B0A4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Cs w:val="14"/>
      </w:rPr>
      <w:id w:val="853774343"/>
      <w:docPartObj>
        <w:docPartGallery w:val="Page Numbers (Bottom of Page)"/>
        <w:docPartUnique/>
      </w:docPartObj>
    </w:sdtPr>
    <w:sdtEndPr/>
    <w:sdtContent>
      <w:sdt>
        <w:sdtPr>
          <w:rPr>
            <w:szCs w:val="14"/>
          </w:rPr>
          <w:id w:val="-937676120"/>
          <w:docPartObj>
            <w:docPartGallery w:val="Page Numbers (Top of Page)"/>
            <w:docPartUnique/>
          </w:docPartObj>
        </w:sdtPr>
        <w:sdtEndPr/>
        <w:sdtContent>
          <w:p w14:paraId="6EBA43C5" w14:textId="77777777" w:rsidR="008F7F6E" w:rsidRPr="00E02F91" w:rsidRDefault="008F7F6E">
            <w:pPr>
              <w:pStyle w:val="Footer"/>
              <w:jc w:val="right"/>
              <w:rPr>
                <w:szCs w:val="14"/>
              </w:rPr>
            </w:pPr>
            <w:r w:rsidRPr="00E02F91">
              <w:rPr>
                <w:bCs/>
                <w:szCs w:val="14"/>
              </w:rPr>
              <w:fldChar w:fldCharType="begin"/>
            </w:r>
            <w:r w:rsidRPr="00E02F91">
              <w:rPr>
                <w:bCs/>
                <w:szCs w:val="14"/>
              </w:rPr>
              <w:instrText xml:space="preserve"> PAGE </w:instrText>
            </w:r>
            <w:r w:rsidRPr="00E02F91">
              <w:rPr>
                <w:bCs/>
                <w:szCs w:val="14"/>
              </w:rPr>
              <w:fldChar w:fldCharType="separate"/>
            </w:r>
            <w:r w:rsidR="00D16631">
              <w:rPr>
                <w:bCs/>
                <w:noProof/>
                <w:szCs w:val="14"/>
              </w:rPr>
              <w:t>2</w:t>
            </w:r>
            <w:r w:rsidRPr="00E02F91">
              <w:rPr>
                <w:bCs/>
                <w:szCs w:val="14"/>
              </w:rPr>
              <w:fldChar w:fldCharType="end"/>
            </w:r>
            <w:r w:rsidRPr="00E02F91">
              <w:rPr>
                <w:szCs w:val="14"/>
              </w:rPr>
              <w:t xml:space="preserve"> / </w:t>
            </w:r>
            <w:r w:rsidRPr="00E02F91">
              <w:rPr>
                <w:bCs/>
                <w:szCs w:val="14"/>
              </w:rPr>
              <w:fldChar w:fldCharType="begin"/>
            </w:r>
            <w:r w:rsidRPr="00E02F91">
              <w:rPr>
                <w:bCs/>
                <w:szCs w:val="14"/>
              </w:rPr>
              <w:instrText xml:space="preserve"> NUMPAGES  </w:instrText>
            </w:r>
            <w:r w:rsidRPr="00E02F91">
              <w:rPr>
                <w:bCs/>
                <w:szCs w:val="14"/>
              </w:rPr>
              <w:fldChar w:fldCharType="separate"/>
            </w:r>
            <w:r w:rsidR="00D16631">
              <w:rPr>
                <w:bCs/>
                <w:noProof/>
                <w:szCs w:val="14"/>
              </w:rPr>
              <w:t>2</w:t>
            </w:r>
            <w:r w:rsidRPr="00E02F91">
              <w:rPr>
                <w:bCs/>
                <w:szCs w:val="1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3F039D" w14:textId="77777777" w:rsidR="00FA7E55" w:rsidRDefault="00FA7E55" w:rsidP="004B772F">
      <w:pPr>
        <w:spacing w:line="240" w:lineRule="auto"/>
      </w:pPr>
      <w:r>
        <w:separator/>
      </w:r>
    </w:p>
  </w:footnote>
  <w:footnote w:type="continuationSeparator" w:id="0">
    <w:p w14:paraId="7D7B27DF" w14:textId="77777777" w:rsidR="00FA7E55" w:rsidRDefault="00FA7E55" w:rsidP="004B772F">
      <w:pPr>
        <w:spacing w:line="240" w:lineRule="auto"/>
      </w:pPr>
      <w:r>
        <w:continuationSeparator/>
      </w:r>
    </w:p>
  </w:footnote>
  <w:footnote w:id="1">
    <w:p w14:paraId="03274857" w14:textId="34956AA9" w:rsidR="00322664" w:rsidRPr="00381E44" w:rsidRDefault="00322664">
      <w:pPr>
        <w:pStyle w:val="FootnoteText"/>
        <w:rPr>
          <w:sz w:val="16"/>
          <w:szCs w:val="16"/>
        </w:rPr>
      </w:pPr>
      <w:r w:rsidRPr="00381E44">
        <w:rPr>
          <w:rStyle w:val="FootnoteReference"/>
          <w:sz w:val="16"/>
          <w:szCs w:val="16"/>
        </w:rPr>
        <w:footnoteRef/>
      </w:r>
      <w:r w:rsidRPr="00381E44">
        <w:rPr>
          <w:sz w:val="16"/>
          <w:szCs w:val="16"/>
        </w:rPr>
        <w:t xml:space="preserve"> </w:t>
      </w:r>
      <w:r w:rsidR="00381E44" w:rsidRPr="00381E44">
        <w:rPr>
          <w:sz w:val="16"/>
          <w:szCs w:val="16"/>
        </w:rPr>
        <w:t xml:space="preserve">Profit for the whole sector is based on public reports, not on the supervisory reports of </w:t>
      </w:r>
      <w:proofErr w:type="spellStart"/>
      <w:r w:rsidR="00381E44" w:rsidRPr="00381E44">
        <w:rPr>
          <w:sz w:val="16"/>
          <w:szCs w:val="16"/>
        </w:rPr>
        <w:t>Fina</w:t>
      </w:r>
      <w:r w:rsidR="00381E44">
        <w:rPr>
          <w:sz w:val="16"/>
          <w:szCs w:val="16"/>
        </w:rPr>
        <w:t>n</w:t>
      </w:r>
      <w:r w:rsidR="00381E44" w:rsidRPr="00381E44">
        <w:rPr>
          <w:sz w:val="16"/>
          <w:szCs w:val="16"/>
        </w:rPr>
        <w:t>tsinspektsioon</w:t>
      </w:r>
      <w:proofErr w:type="spellEnd"/>
      <w:r w:rsidR="00381E44" w:rsidRPr="00381E44">
        <w:rPr>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7F417" w14:textId="77777777" w:rsidR="00504CC6" w:rsidRDefault="00504CC6">
    <w:pPr>
      <w:pStyle w:val="Header"/>
    </w:pPr>
    <w:r>
      <w:rPr>
        <w:noProof/>
        <w:lang w:val="et-EE" w:eastAsia="et-EE"/>
      </w:rPr>
      <w:drawing>
        <wp:anchor distT="0" distB="0" distL="114300" distR="114300" simplePos="0" relativeHeight="251665408" behindDoc="0" locked="0" layoutInCell="1" allowOverlap="1" wp14:anchorId="0993D469" wp14:editId="074875A6">
          <wp:simplePos x="0" y="0"/>
          <wp:positionH relativeFrom="page">
            <wp:posOffset>1080135</wp:posOffset>
          </wp:positionH>
          <wp:positionV relativeFrom="page">
            <wp:posOffset>565150</wp:posOffset>
          </wp:positionV>
          <wp:extent cx="1077120" cy="122040"/>
          <wp:effectExtent l="0" t="0" r="0" b="0"/>
          <wp:wrapNone/>
          <wp:docPr id="6" name="Picture 6" descr="C:\Users\i7design\AppData\Local\Microsoft\Windows\INetCache\Content.Word\logo_top_small_tes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i7design\AppData\Local\Microsoft\Windows\INetCache\Content.Word\logo_top_small_test.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7120" cy="1220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0D49FE"/>
    <w:multiLevelType w:val="hybridMultilevel"/>
    <w:tmpl w:val="426A6320"/>
    <w:lvl w:ilvl="0" w:tplc="36C8FB7C">
      <w:start w:val="1"/>
      <w:numFmt w:val="bullet"/>
      <w:lvlText w:val=""/>
      <w:lvlJc w:val="left"/>
      <w:pPr>
        <w:ind w:left="720" w:hanging="360"/>
      </w:pPr>
      <w:rPr>
        <w:rFonts w:ascii="Symbol" w:hAnsi="Symbol" w:hint="default"/>
        <w:color w:val="500778"/>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nsid w:val="1F192886"/>
    <w:multiLevelType w:val="hybridMultilevel"/>
    <w:tmpl w:val="62B8979A"/>
    <w:lvl w:ilvl="0" w:tplc="04250015">
      <w:start w:val="1"/>
      <w:numFmt w:val="upp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nsid w:val="2E4602B6"/>
    <w:multiLevelType w:val="hybridMultilevel"/>
    <w:tmpl w:val="121E880C"/>
    <w:lvl w:ilvl="0" w:tplc="B95A4A24">
      <w:start w:val="1"/>
      <w:numFmt w:val="bullet"/>
      <w:lvlText w:val=""/>
      <w:lvlJc w:val="left"/>
      <w:pPr>
        <w:ind w:left="2160" w:hanging="360"/>
      </w:pPr>
      <w:rPr>
        <w:rFonts w:ascii="Symbol" w:hAnsi="Symbol" w:hint="default"/>
        <w:color w:val="500778"/>
      </w:rPr>
    </w:lvl>
    <w:lvl w:ilvl="1" w:tplc="04250003" w:tentative="1">
      <w:start w:val="1"/>
      <w:numFmt w:val="bullet"/>
      <w:lvlText w:val="o"/>
      <w:lvlJc w:val="left"/>
      <w:pPr>
        <w:ind w:left="2880" w:hanging="360"/>
      </w:pPr>
      <w:rPr>
        <w:rFonts w:ascii="Courier New" w:hAnsi="Courier New" w:cs="Courier New" w:hint="default"/>
      </w:rPr>
    </w:lvl>
    <w:lvl w:ilvl="2" w:tplc="04250005" w:tentative="1">
      <w:start w:val="1"/>
      <w:numFmt w:val="bullet"/>
      <w:lvlText w:val=""/>
      <w:lvlJc w:val="left"/>
      <w:pPr>
        <w:ind w:left="3600" w:hanging="360"/>
      </w:pPr>
      <w:rPr>
        <w:rFonts w:ascii="Wingdings" w:hAnsi="Wingdings" w:hint="default"/>
      </w:rPr>
    </w:lvl>
    <w:lvl w:ilvl="3" w:tplc="04250001" w:tentative="1">
      <w:start w:val="1"/>
      <w:numFmt w:val="bullet"/>
      <w:lvlText w:val=""/>
      <w:lvlJc w:val="left"/>
      <w:pPr>
        <w:ind w:left="4320" w:hanging="360"/>
      </w:pPr>
      <w:rPr>
        <w:rFonts w:ascii="Symbol" w:hAnsi="Symbol" w:hint="default"/>
      </w:rPr>
    </w:lvl>
    <w:lvl w:ilvl="4" w:tplc="04250003" w:tentative="1">
      <w:start w:val="1"/>
      <w:numFmt w:val="bullet"/>
      <w:lvlText w:val="o"/>
      <w:lvlJc w:val="left"/>
      <w:pPr>
        <w:ind w:left="5040" w:hanging="360"/>
      </w:pPr>
      <w:rPr>
        <w:rFonts w:ascii="Courier New" w:hAnsi="Courier New" w:cs="Courier New" w:hint="default"/>
      </w:rPr>
    </w:lvl>
    <w:lvl w:ilvl="5" w:tplc="04250005" w:tentative="1">
      <w:start w:val="1"/>
      <w:numFmt w:val="bullet"/>
      <w:lvlText w:val=""/>
      <w:lvlJc w:val="left"/>
      <w:pPr>
        <w:ind w:left="5760" w:hanging="360"/>
      </w:pPr>
      <w:rPr>
        <w:rFonts w:ascii="Wingdings" w:hAnsi="Wingdings" w:hint="default"/>
      </w:rPr>
    </w:lvl>
    <w:lvl w:ilvl="6" w:tplc="04250001" w:tentative="1">
      <w:start w:val="1"/>
      <w:numFmt w:val="bullet"/>
      <w:lvlText w:val=""/>
      <w:lvlJc w:val="left"/>
      <w:pPr>
        <w:ind w:left="6480" w:hanging="360"/>
      </w:pPr>
      <w:rPr>
        <w:rFonts w:ascii="Symbol" w:hAnsi="Symbol" w:hint="default"/>
      </w:rPr>
    </w:lvl>
    <w:lvl w:ilvl="7" w:tplc="04250003" w:tentative="1">
      <w:start w:val="1"/>
      <w:numFmt w:val="bullet"/>
      <w:lvlText w:val="o"/>
      <w:lvlJc w:val="left"/>
      <w:pPr>
        <w:ind w:left="7200" w:hanging="360"/>
      </w:pPr>
      <w:rPr>
        <w:rFonts w:ascii="Courier New" w:hAnsi="Courier New" w:cs="Courier New" w:hint="default"/>
      </w:rPr>
    </w:lvl>
    <w:lvl w:ilvl="8" w:tplc="04250005" w:tentative="1">
      <w:start w:val="1"/>
      <w:numFmt w:val="bullet"/>
      <w:lvlText w:val=""/>
      <w:lvlJc w:val="left"/>
      <w:pPr>
        <w:ind w:left="7920" w:hanging="360"/>
      </w:pPr>
      <w:rPr>
        <w:rFonts w:ascii="Wingdings" w:hAnsi="Wingdings" w:hint="default"/>
      </w:rPr>
    </w:lvl>
  </w:abstractNum>
  <w:abstractNum w:abstractNumId="3">
    <w:nsid w:val="44FC40D5"/>
    <w:multiLevelType w:val="multilevel"/>
    <w:tmpl w:val="894A5F4E"/>
    <w:name w:val="FI_Multilevel_List"/>
    <w:lvl w:ilvl="0">
      <w:start w:val="1"/>
      <w:numFmt w:val="decimal"/>
      <w:pStyle w:val="FIMultilist"/>
      <w:lvlText w:val="%1."/>
      <w:lvlJc w:val="left"/>
      <w:pPr>
        <w:tabs>
          <w:tab w:val="num" w:pos="284"/>
        </w:tabs>
        <w:ind w:left="284" w:hanging="284"/>
      </w:pPr>
      <w:rPr>
        <w:rFonts w:hint="default"/>
      </w:rPr>
    </w:lvl>
    <w:lvl w:ilvl="1">
      <w:start w:val="1"/>
      <w:numFmt w:val="lowerLetter"/>
      <w:lvlText w:val="%2."/>
      <w:lvlJc w:val="left"/>
      <w:pPr>
        <w:tabs>
          <w:tab w:val="num" w:pos="568"/>
        </w:tabs>
        <w:ind w:left="568" w:hanging="284"/>
      </w:pPr>
      <w:rPr>
        <w:rFonts w:hint="default"/>
      </w:rPr>
    </w:lvl>
    <w:lvl w:ilvl="2">
      <w:start w:val="1"/>
      <w:numFmt w:val="lowerRoman"/>
      <w:lvlText w:val="%3."/>
      <w:lvlJc w:val="right"/>
      <w:pPr>
        <w:tabs>
          <w:tab w:val="num" w:pos="852"/>
        </w:tabs>
        <w:ind w:left="852" w:hanging="172"/>
      </w:pPr>
      <w:rPr>
        <w:rFonts w:hint="default"/>
      </w:rPr>
    </w:lvl>
    <w:lvl w:ilvl="3">
      <w:start w:val="1"/>
      <w:numFmt w:val="decimal"/>
      <w:lvlText w:val="%4."/>
      <w:lvlJc w:val="left"/>
      <w:pPr>
        <w:tabs>
          <w:tab w:val="num" w:pos="1136"/>
        </w:tabs>
        <w:ind w:left="1136" w:hanging="284"/>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4">
    <w:nsid w:val="57EE1BBE"/>
    <w:multiLevelType w:val="hybridMultilevel"/>
    <w:tmpl w:val="ED0A4462"/>
    <w:lvl w:ilvl="0" w:tplc="EE84C5E8">
      <w:start w:val="1"/>
      <w:numFmt w:val="bullet"/>
      <w:lvlText w:val=""/>
      <w:lvlJc w:val="left"/>
      <w:pPr>
        <w:ind w:left="720" w:hanging="360"/>
      </w:pPr>
      <w:rPr>
        <w:rFonts w:ascii="Symbol" w:hAnsi="Symbol" w:hint="default"/>
        <w:color w:val="500778"/>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9BC"/>
    <w:rsid w:val="0000194B"/>
    <w:rsid w:val="00016F17"/>
    <w:rsid w:val="00025409"/>
    <w:rsid w:val="00046F28"/>
    <w:rsid w:val="000540F3"/>
    <w:rsid w:val="000611DB"/>
    <w:rsid w:val="00066899"/>
    <w:rsid w:val="00075FA9"/>
    <w:rsid w:val="00092EF8"/>
    <w:rsid w:val="000A0B03"/>
    <w:rsid w:val="000A777E"/>
    <w:rsid w:val="000B0028"/>
    <w:rsid w:val="000B5D99"/>
    <w:rsid w:val="000B67ED"/>
    <w:rsid w:val="000C70A3"/>
    <w:rsid w:val="000D20F7"/>
    <w:rsid w:val="000D73D9"/>
    <w:rsid w:val="000E5C3B"/>
    <w:rsid w:val="001057CA"/>
    <w:rsid w:val="00113202"/>
    <w:rsid w:val="00124EF0"/>
    <w:rsid w:val="001313BB"/>
    <w:rsid w:val="00131AFD"/>
    <w:rsid w:val="00165D22"/>
    <w:rsid w:val="00172AC1"/>
    <w:rsid w:val="00185198"/>
    <w:rsid w:val="001949B4"/>
    <w:rsid w:val="001977F9"/>
    <w:rsid w:val="001A2999"/>
    <w:rsid w:val="001A4E1E"/>
    <w:rsid w:val="001B2AA9"/>
    <w:rsid w:val="001F02FE"/>
    <w:rsid w:val="001F0FEB"/>
    <w:rsid w:val="0020659C"/>
    <w:rsid w:val="00214267"/>
    <w:rsid w:val="002560D6"/>
    <w:rsid w:val="002566F7"/>
    <w:rsid w:val="002605ED"/>
    <w:rsid w:val="00261E7A"/>
    <w:rsid w:val="00265105"/>
    <w:rsid w:val="00277F37"/>
    <w:rsid w:val="00287916"/>
    <w:rsid w:val="002A5535"/>
    <w:rsid w:val="002B3BE7"/>
    <w:rsid w:val="002B656B"/>
    <w:rsid w:val="002D3122"/>
    <w:rsid w:val="002F572D"/>
    <w:rsid w:val="003174CF"/>
    <w:rsid w:val="00322664"/>
    <w:rsid w:val="00331005"/>
    <w:rsid w:val="00345EA9"/>
    <w:rsid w:val="00373BD9"/>
    <w:rsid w:val="00381E44"/>
    <w:rsid w:val="00394A98"/>
    <w:rsid w:val="003968A9"/>
    <w:rsid w:val="003A0EFE"/>
    <w:rsid w:val="003A1E3C"/>
    <w:rsid w:val="003B7468"/>
    <w:rsid w:val="003C360E"/>
    <w:rsid w:val="003D0877"/>
    <w:rsid w:val="00402A82"/>
    <w:rsid w:val="00436E2C"/>
    <w:rsid w:val="00443D90"/>
    <w:rsid w:val="00453F62"/>
    <w:rsid w:val="00455BB9"/>
    <w:rsid w:val="004808CB"/>
    <w:rsid w:val="00492EB9"/>
    <w:rsid w:val="00495D5B"/>
    <w:rsid w:val="00496C27"/>
    <w:rsid w:val="004A0E21"/>
    <w:rsid w:val="004A24B3"/>
    <w:rsid w:val="004B008F"/>
    <w:rsid w:val="004B5FFF"/>
    <w:rsid w:val="004B65D4"/>
    <w:rsid w:val="004B761B"/>
    <w:rsid w:val="004B772F"/>
    <w:rsid w:val="004D7A94"/>
    <w:rsid w:val="0050174C"/>
    <w:rsid w:val="00504CC6"/>
    <w:rsid w:val="005176DD"/>
    <w:rsid w:val="00522FD3"/>
    <w:rsid w:val="005255ED"/>
    <w:rsid w:val="0053215F"/>
    <w:rsid w:val="005332B7"/>
    <w:rsid w:val="00535C6A"/>
    <w:rsid w:val="005442DC"/>
    <w:rsid w:val="00555C59"/>
    <w:rsid w:val="00560F18"/>
    <w:rsid w:val="00564484"/>
    <w:rsid w:val="00580083"/>
    <w:rsid w:val="005A5666"/>
    <w:rsid w:val="005D34D3"/>
    <w:rsid w:val="005D4636"/>
    <w:rsid w:val="005E2411"/>
    <w:rsid w:val="005E3688"/>
    <w:rsid w:val="005E62DD"/>
    <w:rsid w:val="00603EA5"/>
    <w:rsid w:val="006056FF"/>
    <w:rsid w:val="006059B0"/>
    <w:rsid w:val="00605B4E"/>
    <w:rsid w:val="00607FD2"/>
    <w:rsid w:val="00615994"/>
    <w:rsid w:val="006201B5"/>
    <w:rsid w:val="00623C9C"/>
    <w:rsid w:val="00627E91"/>
    <w:rsid w:val="00635874"/>
    <w:rsid w:val="006504D5"/>
    <w:rsid w:val="0067470F"/>
    <w:rsid w:val="00694BA7"/>
    <w:rsid w:val="006A3B40"/>
    <w:rsid w:val="006C05FA"/>
    <w:rsid w:val="006C18B3"/>
    <w:rsid w:val="006C325A"/>
    <w:rsid w:val="006C4A57"/>
    <w:rsid w:val="006C7C4E"/>
    <w:rsid w:val="006D4D18"/>
    <w:rsid w:val="006E5CA6"/>
    <w:rsid w:val="006E7D4A"/>
    <w:rsid w:val="006F2BBD"/>
    <w:rsid w:val="006F7170"/>
    <w:rsid w:val="00710E3D"/>
    <w:rsid w:val="007128D8"/>
    <w:rsid w:val="00712A95"/>
    <w:rsid w:val="007272F9"/>
    <w:rsid w:val="00732F3D"/>
    <w:rsid w:val="00737190"/>
    <w:rsid w:val="00742840"/>
    <w:rsid w:val="00745CE4"/>
    <w:rsid w:val="007469D0"/>
    <w:rsid w:val="00760FE6"/>
    <w:rsid w:val="0076792C"/>
    <w:rsid w:val="0077043A"/>
    <w:rsid w:val="007752F7"/>
    <w:rsid w:val="00780CF3"/>
    <w:rsid w:val="00781D9E"/>
    <w:rsid w:val="007849BC"/>
    <w:rsid w:val="007C09F9"/>
    <w:rsid w:val="007C571D"/>
    <w:rsid w:val="007D7EC0"/>
    <w:rsid w:val="007F6CA0"/>
    <w:rsid w:val="00821DDF"/>
    <w:rsid w:val="0083747C"/>
    <w:rsid w:val="00840A86"/>
    <w:rsid w:val="00842AC2"/>
    <w:rsid w:val="00844041"/>
    <w:rsid w:val="008637F6"/>
    <w:rsid w:val="00865701"/>
    <w:rsid w:val="00872903"/>
    <w:rsid w:val="00882BD0"/>
    <w:rsid w:val="008A2E8D"/>
    <w:rsid w:val="008A6E93"/>
    <w:rsid w:val="008B5A4B"/>
    <w:rsid w:val="008D6A73"/>
    <w:rsid w:val="008E439F"/>
    <w:rsid w:val="008E43E7"/>
    <w:rsid w:val="008E59A1"/>
    <w:rsid w:val="008E6FB5"/>
    <w:rsid w:val="008F7F6E"/>
    <w:rsid w:val="00900D47"/>
    <w:rsid w:val="0090214B"/>
    <w:rsid w:val="0092284B"/>
    <w:rsid w:val="009237E5"/>
    <w:rsid w:val="00944A14"/>
    <w:rsid w:val="00952D17"/>
    <w:rsid w:val="0096377A"/>
    <w:rsid w:val="00987F2F"/>
    <w:rsid w:val="00990C7D"/>
    <w:rsid w:val="009972E6"/>
    <w:rsid w:val="009A6893"/>
    <w:rsid w:val="009B507B"/>
    <w:rsid w:val="009C0379"/>
    <w:rsid w:val="009C0710"/>
    <w:rsid w:val="009C2523"/>
    <w:rsid w:val="009C2DC9"/>
    <w:rsid w:val="009C3CD6"/>
    <w:rsid w:val="009C487B"/>
    <w:rsid w:val="009C562C"/>
    <w:rsid w:val="009D3B28"/>
    <w:rsid w:val="009E32B3"/>
    <w:rsid w:val="009F40B6"/>
    <w:rsid w:val="009F79BC"/>
    <w:rsid w:val="00A02156"/>
    <w:rsid w:val="00A30023"/>
    <w:rsid w:val="00A31B31"/>
    <w:rsid w:val="00A44EFD"/>
    <w:rsid w:val="00A45699"/>
    <w:rsid w:val="00A46F57"/>
    <w:rsid w:val="00A64155"/>
    <w:rsid w:val="00A736D3"/>
    <w:rsid w:val="00A76E23"/>
    <w:rsid w:val="00A81EB2"/>
    <w:rsid w:val="00A86482"/>
    <w:rsid w:val="00A93080"/>
    <w:rsid w:val="00AA4493"/>
    <w:rsid w:val="00AA4CCE"/>
    <w:rsid w:val="00AB27DA"/>
    <w:rsid w:val="00AB38E3"/>
    <w:rsid w:val="00AC116A"/>
    <w:rsid w:val="00AE373F"/>
    <w:rsid w:val="00AE6F44"/>
    <w:rsid w:val="00B0024F"/>
    <w:rsid w:val="00B7116B"/>
    <w:rsid w:val="00B972EC"/>
    <w:rsid w:val="00BA1731"/>
    <w:rsid w:val="00BA4968"/>
    <w:rsid w:val="00BA7996"/>
    <w:rsid w:val="00BC72E5"/>
    <w:rsid w:val="00BD0B65"/>
    <w:rsid w:val="00BD50B4"/>
    <w:rsid w:val="00BF5300"/>
    <w:rsid w:val="00C0501E"/>
    <w:rsid w:val="00C1278B"/>
    <w:rsid w:val="00C129B6"/>
    <w:rsid w:val="00C137BA"/>
    <w:rsid w:val="00C33BAC"/>
    <w:rsid w:val="00C43878"/>
    <w:rsid w:val="00C65073"/>
    <w:rsid w:val="00C7274A"/>
    <w:rsid w:val="00C74ED9"/>
    <w:rsid w:val="00C80AC2"/>
    <w:rsid w:val="00C81D7D"/>
    <w:rsid w:val="00C81E2E"/>
    <w:rsid w:val="00C81EF6"/>
    <w:rsid w:val="00C85F5F"/>
    <w:rsid w:val="00C959B3"/>
    <w:rsid w:val="00CB0B2F"/>
    <w:rsid w:val="00CB1B04"/>
    <w:rsid w:val="00CC5C4C"/>
    <w:rsid w:val="00CE40AB"/>
    <w:rsid w:val="00CF06F8"/>
    <w:rsid w:val="00CF7055"/>
    <w:rsid w:val="00D04809"/>
    <w:rsid w:val="00D11517"/>
    <w:rsid w:val="00D16631"/>
    <w:rsid w:val="00D24B15"/>
    <w:rsid w:val="00D26926"/>
    <w:rsid w:val="00D27125"/>
    <w:rsid w:val="00D40EBD"/>
    <w:rsid w:val="00D41CE5"/>
    <w:rsid w:val="00D572CA"/>
    <w:rsid w:val="00D678AF"/>
    <w:rsid w:val="00D71AD2"/>
    <w:rsid w:val="00D74271"/>
    <w:rsid w:val="00D81474"/>
    <w:rsid w:val="00D840F1"/>
    <w:rsid w:val="00DA1456"/>
    <w:rsid w:val="00DC0BB7"/>
    <w:rsid w:val="00DC3333"/>
    <w:rsid w:val="00DD33AF"/>
    <w:rsid w:val="00DD344E"/>
    <w:rsid w:val="00DE155E"/>
    <w:rsid w:val="00DE188B"/>
    <w:rsid w:val="00DE34AB"/>
    <w:rsid w:val="00DE6DC2"/>
    <w:rsid w:val="00DF3385"/>
    <w:rsid w:val="00E02F91"/>
    <w:rsid w:val="00E02FBC"/>
    <w:rsid w:val="00E075B5"/>
    <w:rsid w:val="00E1369C"/>
    <w:rsid w:val="00E31183"/>
    <w:rsid w:val="00E407A7"/>
    <w:rsid w:val="00E41752"/>
    <w:rsid w:val="00E57C82"/>
    <w:rsid w:val="00E73BFD"/>
    <w:rsid w:val="00E74DCA"/>
    <w:rsid w:val="00E81310"/>
    <w:rsid w:val="00EB4BF5"/>
    <w:rsid w:val="00ED5011"/>
    <w:rsid w:val="00EE1DA0"/>
    <w:rsid w:val="00EF13C3"/>
    <w:rsid w:val="00F0500B"/>
    <w:rsid w:val="00F1198B"/>
    <w:rsid w:val="00F20E9F"/>
    <w:rsid w:val="00F24A6E"/>
    <w:rsid w:val="00F26039"/>
    <w:rsid w:val="00F35653"/>
    <w:rsid w:val="00F37FF0"/>
    <w:rsid w:val="00F47F64"/>
    <w:rsid w:val="00F50AAF"/>
    <w:rsid w:val="00F53200"/>
    <w:rsid w:val="00F5390A"/>
    <w:rsid w:val="00F545E7"/>
    <w:rsid w:val="00F55B3A"/>
    <w:rsid w:val="00F5653D"/>
    <w:rsid w:val="00F8289B"/>
    <w:rsid w:val="00F877C7"/>
    <w:rsid w:val="00F96D3C"/>
    <w:rsid w:val="00FA77CA"/>
    <w:rsid w:val="00FA7E55"/>
    <w:rsid w:val="00FB3DBC"/>
    <w:rsid w:val="00FC343C"/>
    <w:rsid w:val="00FC42FD"/>
    <w:rsid w:val="00FD15DE"/>
    <w:rsid w:val="00FD4575"/>
    <w:rsid w:val="00FE1B73"/>
    <w:rsid w:val="00FF3A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A7480E"/>
  <w15:chartTrackingRefBased/>
  <w15:docId w15:val="{5326AA33-56E1-4099-8C8F-E337CA707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89B"/>
    <w:pPr>
      <w:spacing w:after="0" w:line="300" w:lineRule="auto"/>
    </w:pPr>
    <w:rPr>
      <w:rFonts w:ascii="Atlas Grotesk Light" w:hAnsi="Atlas Grotesk Light"/>
      <w:sz w:val="18"/>
    </w:rPr>
  </w:style>
  <w:style w:type="paragraph" w:styleId="Heading1">
    <w:name w:val="heading 1"/>
    <w:basedOn w:val="Normal"/>
    <w:next w:val="Normal"/>
    <w:link w:val="Heading1Char"/>
    <w:uiPriority w:val="9"/>
    <w:qFormat/>
    <w:rsid w:val="00990C7D"/>
    <w:pPr>
      <w:keepNext/>
      <w:keepLines/>
      <w:spacing w:before="240" w:after="120"/>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990C7D"/>
    <w:pPr>
      <w:keepNext/>
      <w:keepLines/>
      <w:spacing w:before="240" w:after="12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ListParagraph"/>
    <w:link w:val="TitleChar"/>
    <w:uiPriority w:val="10"/>
    <w:qFormat/>
    <w:rsid w:val="008E6FB5"/>
    <w:pPr>
      <w:spacing w:before="240" w:after="120"/>
      <w:ind w:right="2268"/>
      <w:contextualSpacing/>
    </w:pPr>
    <w:rPr>
      <w:rFonts w:eastAsiaTheme="majorEastAsia" w:cstheme="majorBidi"/>
      <w:b/>
      <w:kern w:val="28"/>
      <w:szCs w:val="56"/>
      <w:lang w:val="et-EE"/>
    </w:rPr>
  </w:style>
  <w:style w:type="character" w:customStyle="1" w:styleId="TitleChar">
    <w:name w:val="Title Char"/>
    <w:basedOn w:val="DefaultParagraphFont"/>
    <w:link w:val="Title"/>
    <w:uiPriority w:val="10"/>
    <w:rsid w:val="008E6FB5"/>
    <w:rPr>
      <w:rFonts w:ascii="Atlas Grotesk Light" w:eastAsiaTheme="majorEastAsia" w:hAnsi="Atlas Grotesk Light" w:cstheme="majorBidi"/>
      <w:b/>
      <w:kern w:val="28"/>
      <w:sz w:val="17"/>
      <w:szCs w:val="56"/>
      <w:lang w:val="et-EE"/>
    </w:rPr>
  </w:style>
  <w:style w:type="paragraph" w:styleId="Header">
    <w:name w:val="header"/>
    <w:basedOn w:val="Normal"/>
    <w:link w:val="HeaderChar"/>
    <w:uiPriority w:val="99"/>
    <w:unhideWhenUsed/>
    <w:rsid w:val="004B772F"/>
    <w:pPr>
      <w:tabs>
        <w:tab w:val="center" w:pos="4513"/>
        <w:tab w:val="right" w:pos="9026"/>
      </w:tabs>
      <w:spacing w:line="240" w:lineRule="auto"/>
    </w:pPr>
  </w:style>
  <w:style w:type="character" w:customStyle="1" w:styleId="HeaderChar">
    <w:name w:val="Header Char"/>
    <w:basedOn w:val="DefaultParagraphFont"/>
    <w:link w:val="Header"/>
    <w:uiPriority w:val="99"/>
    <w:rsid w:val="004B772F"/>
  </w:style>
  <w:style w:type="paragraph" w:styleId="Footer">
    <w:name w:val="footer"/>
    <w:basedOn w:val="Normal"/>
    <w:link w:val="FooterChar"/>
    <w:uiPriority w:val="99"/>
    <w:unhideWhenUsed/>
    <w:rsid w:val="00504CC6"/>
    <w:pPr>
      <w:tabs>
        <w:tab w:val="center" w:pos="4513"/>
        <w:tab w:val="right" w:pos="9026"/>
      </w:tabs>
      <w:spacing w:line="240" w:lineRule="auto"/>
    </w:pPr>
    <w:rPr>
      <w:color w:val="500778" w:themeColor="text2"/>
      <w:sz w:val="14"/>
    </w:rPr>
  </w:style>
  <w:style w:type="character" w:customStyle="1" w:styleId="FooterChar">
    <w:name w:val="Footer Char"/>
    <w:basedOn w:val="DefaultParagraphFont"/>
    <w:link w:val="Footer"/>
    <w:uiPriority w:val="99"/>
    <w:rsid w:val="00504CC6"/>
    <w:rPr>
      <w:rFonts w:ascii="Atlas Grotesk Light" w:hAnsi="Atlas Grotesk Light"/>
      <w:color w:val="500778" w:themeColor="text2"/>
      <w:sz w:val="14"/>
    </w:rPr>
  </w:style>
  <w:style w:type="paragraph" w:customStyle="1" w:styleId="TopSisu">
    <w:name w:val="Top_Sisu"/>
    <w:basedOn w:val="Normal"/>
    <w:qFormat/>
    <w:rsid w:val="00C137BA"/>
    <w:pPr>
      <w:ind w:left="1588" w:hanging="1588"/>
    </w:pPr>
  </w:style>
  <w:style w:type="paragraph" w:styleId="ListParagraph">
    <w:name w:val="List Paragraph"/>
    <w:basedOn w:val="Normal"/>
    <w:uiPriority w:val="34"/>
    <w:qFormat/>
    <w:rsid w:val="008637F6"/>
    <w:pPr>
      <w:ind w:left="720"/>
      <w:contextualSpacing/>
    </w:pPr>
  </w:style>
  <w:style w:type="paragraph" w:customStyle="1" w:styleId="TopLeft">
    <w:name w:val="Top_Left"/>
    <w:basedOn w:val="Normal"/>
    <w:qFormat/>
    <w:rsid w:val="008E6FB5"/>
    <w:rPr>
      <w:b/>
      <w:caps/>
    </w:rPr>
  </w:style>
  <w:style w:type="paragraph" w:customStyle="1" w:styleId="FIMultilist">
    <w:name w:val="FI_Multilist"/>
    <w:basedOn w:val="Normal"/>
    <w:qFormat/>
    <w:rsid w:val="00C137BA"/>
    <w:pPr>
      <w:numPr>
        <w:numId w:val="1"/>
      </w:numPr>
    </w:pPr>
  </w:style>
  <w:style w:type="character" w:styleId="Hyperlink">
    <w:name w:val="Hyperlink"/>
    <w:basedOn w:val="DefaultParagraphFont"/>
    <w:uiPriority w:val="99"/>
    <w:unhideWhenUsed/>
    <w:rsid w:val="00455BB9"/>
    <w:rPr>
      <w:color w:val="500778" w:themeColor="hyperlink"/>
      <w:u w:val="none"/>
    </w:rPr>
  </w:style>
  <w:style w:type="character" w:customStyle="1" w:styleId="Heading1Char">
    <w:name w:val="Heading 1 Char"/>
    <w:basedOn w:val="DefaultParagraphFont"/>
    <w:link w:val="Heading1"/>
    <w:uiPriority w:val="9"/>
    <w:rsid w:val="00990C7D"/>
    <w:rPr>
      <w:rFonts w:ascii="Atlas Grotesk Light" w:eastAsiaTheme="majorEastAsia" w:hAnsi="Atlas Grotesk Light" w:cstheme="majorBidi"/>
      <w:b/>
      <w:color w:val="000000" w:themeColor="text1"/>
      <w:sz w:val="18"/>
      <w:szCs w:val="32"/>
    </w:rPr>
  </w:style>
  <w:style w:type="character" w:customStyle="1" w:styleId="Heading2Char">
    <w:name w:val="Heading 2 Char"/>
    <w:basedOn w:val="DefaultParagraphFont"/>
    <w:link w:val="Heading2"/>
    <w:uiPriority w:val="9"/>
    <w:rsid w:val="00990C7D"/>
    <w:rPr>
      <w:rFonts w:ascii="Atlas Grotesk Light" w:eastAsiaTheme="majorEastAsia" w:hAnsi="Atlas Grotesk Light" w:cstheme="majorBidi"/>
      <w:b/>
      <w:sz w:val="18"/>
      <w:szCs w:val="26"/>
    </w:rPr>
  </w:style>
  <w:style w:type="paragraph" w:styleId="BalloonText">
    <w:name w:val="Balloon Text"/>
    <w:basedOn w:val="Normal"/>
    <w:link w:val="BalloonTextChar"/>
    <w:uiPriority w:val="99"/>
    <w:semiHidden/>
    <w:unhideWhenUsed/>
    <w:rsid w:val="001A4E1E"/>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1A4E1E"/>
    <w:rPr>
      <w:rFonts w:ascii="Segoe UI" w:hAnsi="Segoe UI" w:cs="Segoe UI"/>
      <w:sz w:val="18"/>
      <w:szCs w:val="18"/>
    </w:rPr>
  </w:style>
  <w:style w:type="character" w:styleId="CommentReference">
    <w:name w:val="annotation reference"/>
    <w:basedOn w:val="DefaultParagraphFont"/>
    <w:uiPriority w:val="99"/>
    <w:semiHidden/>
    <w:unhideWhenUsed/>
    <w:rsid w:val="004B65D4"/>
    <w:rPr>
      <w:sz w:val="16"/>
      <w:szCs w:val="16"/>
    </w:rPr>
  </w:style>
  <w:style w:type="paragraph" w:styleId="CommentText">
    <w:name w:val="annotation text"/>
    <w:basedOn w:val="Normal"/>
    <w:link w:val="CommentTextChar"/>
    <w:uiPriority w:val="99"/>
    <w:semiHidden/>
    <w:unhideWhenUsed/>
    <w:rsid w:val="004B65D4"/>
    <w:pPr>
      <w:spacing w:line="240" w:lineRule="auto"/>
    </w:pPr>
    <w:rPr>
      <w:sz w:val="20"/>
      <w:szCs w:val="20"/>
    </w:rPr>
  </w:style>
  <w:style w:type="character" w:customStyle="1" w:styleId="CommentTextChar">
    <w:name w:val="Comment Text Char"/>
    <w:basedOn w:val="DefaultParagraphFont"/>
    <w:link w:val="CommentText"/>
    <w:uiPriority w:val="99"/>
    <w:semiHidden/>
    <w:rsid w:val="004B65D4"/>
    <w:rPr>
      <w:rFonts w:ascii="Atlas Grotesk Light" w:hAnsi="Atlas Grotesk Light"/>
      <w:sz w:val="20"/>
      <w:szCs w:val="20"/>
    </w:rPr>
  </w:style>
  <w:style w:type="paragraph" w:styleId="CommentSubject">
    <w:name w:val="annotation subject"/>
    <w:basedOn w:val="CommentText"/>
    <w:next w:val="CommentText"/>
    <w:link w:val="CommentSubjectChar"/>
    <w:uiPriority w:val="99"/>
    <w:semiHidden/>
    <w:unhideWhenUsed/>
    <w:rsid w:val="004B65D4"/>
    <w:rPr>
      <w:b/>
      <w:bCs/>
    </w:rPr>
  </w:style>
  <w:style w:type="character" w:customStyle="1" w:styleId="CommentSubjectChar">
    <w:name w:val="Comment Subject Char"/>
    <w:basedOn w:val="CommentTextChar"/>
    <w:link w:val="CommentSubject"/>
    <w:uiPriority w:val="99"/>
    <w:semiHidden/>
    <w:rsid w:val="004B65D4"/>
    <w:rPr>
      <w:rFonts w:ascii="Atlas Grotesk Light" w:hAnsi="Atlas Grotesk Light"/>
      <w:b/>
      <w:bCs/>
      <w:sz w:val="20"/>
      <w:szCs w:val="20"/>
    </w:rPr>
  </w:style>
  <w:style w:type="paragraph" w:styleId="FootnoteText">
    <w:name w:val="footnote text"/>
    <w:basedOn w:val="Normal"/>
    <w:link w:val="FootnoteTextChar"/>
    <w:uiPriority w:val="99"/>
    <w:semiHidden/>
    <w:unhideWhenUsed/>
    <w:rsid w:val="00322664"/>
    <w:pPr>
      <w:spacing w:line="240" w:lineRule="auto"/>
    </w:pPr>
    <w:rPr>
      <w:sz w:val="20"/>
      <w:szCs w:val="20"/>
    </w:rPr>
  </w:style>
  <w:style w:type="character" w:customStyle="1" w:styleId="FootnoteTextChar">
    <w:name w:val="Footnote Text Char"/>
    <w:basedOn w:val="DefaultParagraphFont"/>
    <w:link w:val="FootnoteText"/>
    <w:uiPriority w:val="99"/>
    <w:semiHidden/>
    <w:rsid w:val="00322664"/>
    <w:rPr>
      <w:rFonts w:ascii="Atlas Grotesk Light" w:hAnsi="Atlas Grotesk Light"/>
      <w:sz w:val="20"/>
      <w:szCs w:val="20"/>
    </w:rPr>
  </w:style>
  <w:style w:type="character" w:styleId="FootnoteReference">
    <w:name w:val="footnote reference"/>
    <w:basedOn w:val="DefaultParagraphFont"/>
    <w:uiPriority w:val="99"/>
    <w:semiHidden/>
    <w:unhideWhenUsed/>
    <w:rsid w:val="0032266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2962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llikalt\Documents\Custom%20Office%20Templates\FI%20mallid\Temp.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eallikalt\Documents\kvartalikommentaar\III%20kv%202016\elukindlustus\Kvartal_elukindlustus_201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allikalt\Documents\kvartalikommentaar\III%20kv%202016\elukindlustus\Kvartal_elukindlustus_2016.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800" b="0" i="0" u="none" strike="noStrike" kern="1200" spc="0" baseline="0">
                <a:solidFill>
                  <a:schemeClr val="tx2"/>
                </a:solidFill>
                <a:latin typeface="Atlas Grotesk Light" pitchFamily="50" charset="-70"/>
                <a:ea typeface="+mn-ea"/>
                <a:cs typeface="+mn-cs"/>
              </a:defRPr>
            </a:pPr>
            <a:r>
              <a:rPr lang="en-US" sz="800"/>
              <a:t>Life insurance premiums collected a</a:t>
            </a:r>
            <a:r>
              <a:rPr lang="et-EE" sz="800"/>
              <a:t>n</a:t>
            </a:r>
            <a:r>
              <a:rPr lang="en-US" sz="800"/>
              <a:t>d cl</a:t>
            </a:r>
            <a:r>
              <a:rPr lang="et-EE" sz="800"/>
              <a:t>a</a:t>
            </a:r>
            <a:r>
              <a:rPr lang="en-US" sz="800"/>
              <a:t>ims </a:t>
            </a:r>
            <a:r>
              <a:rPr lang="et-EE" sz="800"/>
              <a:t>in</a:t>
            </a:r>
            <a:r>
              <a:rPr lang="en-US" sz="800"/>
              <a:t>curred </a:t>
            </a:r>
            <a:r>
              <a:rPr lang="et-EE" sz="800"/>
              <a:t>during</a:t>
            </a:r>
            <a:r>
              <a:rPr lang="en-US" sz="800"/>
              <a:t> the first three quarters of 2016</a:t>
            </a:r>
          </a:p>
        </c:rich>
      </c:tx>
      <c:layout>
        <c:manualLayout>
          <c:xMode val="edge"/>
          <c:yMode val="edge"/>
          <c:x val="4.0433350086558337E-2"/>
          <c:y val="3.3333333333333333E-2"/>
        </c:manualLayout>
      </c:layout>
      <c:overlay val="0"/>
      <c:spPr>
        <a:noFill/>
        <a:ln>
          <a:noFill/>
        </a:ln>
        <a:effectLst/>
      </c:spPr>
      <c:txPr>
        <a:bodyPr rot="0" spcFirstLastPara="1" vertOverflow="ellipsis" vert="horz" wrap="square" anchor="ctr" anchorCtr="1"/>
        <a:lstStyle/>
        <a:p>
          <a:pPr algn="l">
            <a:defRPr sz="800" b="0" i="0" u="none" strike="noStrike" kern="1200" spc="0" baseline="0">
              <a:solidFill>
                <a:schemeClr val="tx2"/>
              </a:solidFill>
              <a:latin typeface="Atlas Grotesk Light" pitchFamily="50" charset="-70"/>
              <a:ea typeface="+mn-ea"/>
              <a:cs typeface="+mn-cs"/>
            </a:defRPr>
          </a:pPr>
          <a:endParaRPr lang="et-EE"/>
        </a:p>
      </c:txPr>
    </c:title>
    <c:autoTitleDeleted val="0"/>
    <c:plotArea>
      <c:layout>
        <c:manualLayout>
          <c:layoutTarget val="inner"/>
          <c:xMode val="edge"/>
          <c:yMode val="edge"/>
          <c:x val="0.3926221279077704"/>
          <c:y val="0.21486220472440945"/>
          <c:w val="0.52566010808932573"/>
          <c:h val="0.5271977252843395"/>
        </c:manualLayout>
      </c:layout>
      <c:barChart>
        <c:barDir val="bar"/>
        <c:grouping val="clustered"/>
        <c:varyColors val="0"/>
        <c:ser>
          <c:idx val="0"/>
          <c:order val="0"/>
          <c:tx>
            <c:strRef>
              <c:f>Abitabel!$D$14</c:f>
              <c:strCache>
                <c:ptCount val="1"/>
                <c:pt idx="0">
                  <c:v>Premiums written</c:v>
                </c:pt>
              </c:strCache>
            </c:strRef>
          </c:tx>
          <c:spPr>
            <a:solidFill>
              <a:srgbClr val="500778"/>
            </a:solidFill>
            <a:ln>
              <a:noFill/>
            </a:ln>
            <a:effectLst/>
          </c:spPr>
          <c:invertIfNegative val="0"/>
          <c:cat>
            <c:strRef>
              <c:f>(Statistika!$A$3:$A$6,Statistika!$A$38:$A$39)</c:f>
              <c:strCache>
                <c:ptCount val="6"/>
                <c:pt idx="0">
                  <c:v>Health insurance</c:v>
                </c:pt>
                <c:pt idx="1">
                  <c:v>Insurance with profit participation</c:v>
                </c:pt>
                <c:pt idx="2">
                  <c:v>Unit-linked insurance</c:v>
                </c:pt>
                <c:pt idx="3">
                  <c:v>Other life insurance</c:v>
                </c:pt>
                <c:pt idx="4">
                  <c:v>Medical expense insurance</c:v>
                </c:pt>
                <c:pt idx="5">
                  <c:v>Income protection insurance</c:v>
                </c:pt>
              </c:strCache>
            </c:strRef>
          </c:cat>
          <c:val>
            <c:numRef>
              <c:f>(Statistika!$X$3:$X$6,Statistika!$X$38:$X$39)</c:f>
              <c:numCache>
                <c:formatCode>#,##0</c:formatCode>
                <c:ptCount val="6"/>
                <c:pt idx="0">
                  <c:v>5118138.09</c:v>
                </c:pt>
                <c:pt idx="1">
                  <c:v>49286674.280000001</c:v>
                </c:pt>
                <c:pt idx="2">
                  <c:v>66116725.740000002</c:v>
                </c:pt>
                <c:pt idx="3">
                  <c:v>19407005.27</c:v>
                </c:pt>
                <c:pt idx="4">
                  <c:v>7905063.8899999997</c:v>
                </c:pt>
                <c:pt idx="5">
                  <c:v>1370683.2</c:v>
                </c:pt>
              </c:numCache>
            </c:numRef>
          </c:val>
        </c:ser>
        <c:ser>
          <c:idx val="1"/>
          <c:order val="1"/>
          <c:tx>
            <c:strRef>
              <c:f>Abitabel!$D$15</c:f>
              <c:strCache>
                <c:ptCount val="1"/>
                <c:pt idx="0">
                  <c:v>Claims incurred</c:v>
                </c:pt>
              </c:strCache>
            </c:strRef>
          </c:tx>
          <c:spPr>
            <a:solidFill>
              <a:srgbClr val="00BB4A"/>
            </a:solidFill>
            <a:ln>
              <a:noFill/>
            </a:ln>
            <a:effectLst/>
          </c:spPr>
          <c:invertIfNegative val="0"/>
          <c:cat>
            <c:strRef>
              <c:f>(Statistika!$A$3:$A$6,Statistika!$A$38:$A$39)</c:f>
              <c:strCache>
                <c:ptCount val="6"/>
                <c:pt idx="0">
                  <c:v>Health insurance</c:v>
                </c:pt>
                <c:pt idx="1">
                  <c:v>Insurance with profit participation</c:v>
                </c:pt>
                <c:pt idx="2">
                  <c:v>Unit-linked insurance</c:v>
                </c:pt>
                <c:pt idx="3">
                  <c:v>Other life insurance</c:v>
                </c:pt>
                <c:pt idx="4">
                  <c:v>Medical expense insurance</c:v>
                </c:pt>
                <c:pt idx="5">
                  <c:v>Income protection insurance</c:v>
                </c:pt>
              </c:strCache>
            </c:strRef>
          </c:cat>
          <c:val>
            <c:numRef>
              <c:f>(Statistika!$X$13:$X$16,Statistika!$X$50:$X$51)</c:f>
              <c:numCache>
                <c:formatCode>#,##0</c:formatCode>
                <c:ptCount val="6"/>
                <c:pt idx="0">
                  <c:v>1760310.57</c:v>
                </c:pt>
                <c:pt idx="1">
                  <c:v>28772922.409999996</c:v>
                </c:pt>
                <c:pt idx="2">
                  <c:v>49352537.120000005</c:v>
                </c:pt>
                <c:pt idx="3">
                  <c:v>1814579.04</c:v>
                </c:pt>
                <c:pt idx="4">
                  <c:v>2587829.87</c:v>
                </c:pt>
                <c:pt idx="5">
                  <c:v>310351.01</c:v>
                </c:pt>
              </c:numCache>
            </c:numRef>
          </c:val>
        </c:ser>
        <c:dLbls>
          <c:showLegendKey val="0"/>
          <c:showVal val="0"/>
          <c:showCatName val="0"/>
          <c:showSerName val="0"/>
          <c:showPercent val="0"/>
          <c:showBubbleSize val="0"/>
        </c:dLbls>
        <c:gapWidth val="55"/>
        <c:axId val="191918600"/>
        <c:axId val="191918992"/>
      </c:barChart>
      <c:catAx>
        <c:axId val="19191860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chemeClr val="tx2"/>
                </a:solidFill>
                <a:latin typeface="Atlas Grotesk Light" pitchFamily="50" charset="-70"/>
                <a:ea typeface="+mn-ea"/>
                <a:cs typeface="+mn-cs"/>
              </a:defRPr>
            </a:pPr>
            <a:endParaRPr lang="et-EE"/>
          </a:p>
        </c:txPr>
        <c:crossAx val="191918992"/>
        <c:crosses val="autoZero"/>
        <c:auto val="1"/>
        <c:lblAlgn val="ctr"/>
        <c:lblOffset val="100"/>
        <c:noMultiLvlLbl val="0"/>
      </c:catAx>
      <c:valAx>
        <c:axId val="191918992"/>
        <c:scaling>
          <c:orientation val="minMax"/>
          <c:max val="70000000"/>
          <c:min val="0"/>
        </c:scaling>
        <c:delete val="0"/>
        <c:axPos val="b"/>
        <c:majorGridlines>
          <c:spPr>
            <a:ln w="9525" cap="flat" cmpd="sng" algn="ctr">
              <a:solidFill>
                <a:schemeClr val="bg1">
                  <a:lumMod val="8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2"/>
                </a:solidFill>
                <a:latin typeface="Atlas Grotesk Light" pitchFamily="50" charset="-70"/>
                <a:ea typeface="+mn-ea"/>
                <a:cs typeface="+mn-cs"/>
              </a:defRPr>
            </a:pPr>
            <a:endParaRPr lang="et-EE"/>
          </a:p>
        </c:txPr>
        <c:crossAx val="191918600"/>
        <c:crosses val="max"/>
        <c:crossBetween val="between"/>
        <c:majorUnit val="10000000"/>
        <c:dispUnits>
          <c:builtInUnit val="millions"/>
          <c:dispUnitsLbl>
            <c:layout>
              <c:manualLayout>
                <c:xMode val="edge"/>
                <c:yMode val="edge"/>
                <c:x val="0.59064152441937667"/>
                <c:y val="0.8550581802274716"/>
              </c:manualLayout>
            </c:layout>
            <c:tx>
              <c:rich>
                <a:bodyPr rot="0" spcFirstLastPara="1" vertOverflow="ellipsis" vert="horz" wrap="square" anchor="t" anchorCtr="1"/>
                <a:lstStyle/>
                <a:p>
                  <a:pPr>
                    <a:defRPr sz="700" b="0" i="0" u="none" strike="noStrike" kern="1200" baseline="0">
                      <a:solidFill>
                        <a:schemeClr val="tx2"/>
                      </a:solidFill>
                      <a:latin typeface="Atlas Grotesk Light" pitchFamily="50" charset="-70"/>
                      <a:ea typeface="+mn-ea"/>
                      <a:cs typeface="+mn-cs"/>
                    </a:defRPr>
                  </a:pPr>
                  <a:r>
                    <a:rPr lang="en-US" sz="700"/>
                    <a:t>million euros</a:t>
                  </a:r>
                </a:p>
              </c:rich>
            </c:tx>
            <c:spPr>
              <a:noFill/>
              <a:ln>
                <a:noFill/>
              </a:ln>
              <a:effectLst/>
            </c:spPr>
            <c:txPr>
              <a:bodyPr rot="0" spcFirstLastPara="1" vertOverflow="ellipsis" vert="horz" wrap="square" anchor="t" anchorCtr="1"/>
              <a:lstStyle/>
              <a:p>
                <a:pPr>
                  <a:defRPr sz="700" b="0" i="0" u="none" strike="noStrike" kern="1200" baseline="0">
                    <a:solidFill>
                      <a:schemeClr val="tx2"/>
                    </a:solidFill>
                    <a:latin typeface="Atlas Grotesk Light" pitchFamily="50" charset="-70"/>
                    <a:ea typeface="+mn-ea"/>
                    <a:cs typeface="+mn-cs"/>
                  </a:defRPr>
                </a:pPr>
                <a:endParaRPr lang="et-EE"/>
              </a:p>
            </c:txPr>
          </c:dispUnitsLbl>
        </c:dispUnits>
      </c:valAx>
      <c:spPr>
        <a:noFill/>
        <a:ln>
          <a:noFill/>
        </a:ln>
        <a:effectLst/>
      </c:spPr>
    </c:plotArea>
    <c:legend>
      <c:legendPos val="t"/>
      <c:layout>
        <c:manualLayout>
          <c:xMode val="edge"/>
          <c:yMode val="edge"/>
          <c:x val="3.6763525126735044E-2"/>
          <c:y val="0.89075634295713046"/>
          <c:w val="0.47437563212399869"/>
          <c:h val="7.9397428262643635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2"/>
              </a:solidFill>
              <a:latin typeface="Atlas Grotesk Light" pitchFamily="50" charset="-70"/>
              <a:ea typeface="+mn-ea"/>
              <a:cs typeface="+mn-cs"/>
            </a:defRPr>
          </a:pPr>
          <a:endParaRPr lang="et-EE"/>
        </a:p>
      </c:txPr>
    </c:legend>
    <c:plotVisOnly val="1"/>
    <c:dispBlanksAs val="gap"/>
    <c:showDLblsOverMax val="0"/>
  </c:chart>
  <c:spPr>
    <a:solidFill>
      <a:schemeClr val="bg1"/>
    </a:solidFill>
    <a:ln w="9525" cap="flat" cmpd="sng" algn="ctr">
      <a:noFill/>
      <a:round/>
    </a:ln>
    <a:effectLst/>
  </c:spPr>
  <c:txPr>
    <a:bodyPr/>
    <a:lstStyle/>
    <a:p>
      <a:pPr>
        <a:defRPr sz="600">
          <a:solidFill>
            <a:schemeClr val="tx2"/>
          </a:solidFill>
          <a:latin typeface="Atlas Grotesk Light" pitchFamily="50" charset="-70"/>
        </a:defRPr>
      </a:pPr>
      <a:endParaRPr lang="et-E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2"/>
                </a:solidFill>
                <a:latin typeface="Atlas Grotesk Light" pitchFamily="50" charset="-70"/>
                <a:ea typeface="+mn-ea"/>
                <a:cs typeface="+mn-cs"/>
              </a:defRPr>
            </a:pPr>
            <a:r>
              <a:rPr lang="en-GB" sz="800" b="0" i="0" u="none" strike="noStrike" baseline="0">
                <a:effectLst/>
              </a:rPr>
              <a:t>Solvency capital requirement </a:t>
            </a:r>
            <a:r>
              <a:rPr lang="et-EE" sz="800" b="0" i="0" u="none" strike="noStrike" baseline="0">
                <a:effectLst/>
              </a:rPr>
              <a:t>of life insurance undertakings</a:t>
            </a:r>
            <a:endParaRPr lang="en-US" sz="800">
              <a:latin typeface="Atlas Grotesk Light" pitchFamily="50" charset="-70"/>
            </a:endParaRPr>
          </a:p>
        </c:rich>
      </c:tx>
      <c:layout>
        <c:manualLayout>
          <c:xMode val="edge"/>
          <c:yMode val="edge"/>
          <c:x val="0.11109260113316137"/>
          <c:y val="5.8545121462687628E-3"/>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2"/>
              </a:solidFill>
              <a:latin typeface="Atlas Grotesk Light" pitchFamily="50" charset="-70"/>
              <a:ea typeface="+mn-ea"/>
              <a:cs typeface="+mn-cs"/>
            </a:defRPr>
          </a:pPr>
          <a:endParaRPr lang="et-EE"/>
        </a:p>
      </c:txPr>
    </c:title>
    <c:autoTitleDeleted val="0"/>
    <c:plotArea>
      <c:layout>
        <c:manualLayout>
          <c:layoutTarget val="inner"/>
          <c:xMode val="edge"/>
          <c:yMode val="edge"/>
          <c:x val="0.13364215053055672"/>
          <c:y val="0.15092286933789156"/>
          <c:w val="0.77174459775600146"/>
          <c:h val="0.50261032874238165"/>
        </c:manualLayout>
      </c:layout>
      <c:barChart>
        <c:barDir val="col"/>
        <c:grouping val="clustered"/>
        <c:varyColors val="0"/>
        <c:ser>
          <c:idx val="1"/>
          <c:order val="0"/>
          <c:tx>
            <c:v>Solvency capital requirement (left scale)</c:v>
          </c:tx>
          <c:spPr>
            <a:solidFill>
              <a:schemeClr val="accent2"/>
            </a:solidFill>
            <a:ln>
              <a:noFill/>
            </a:ln>
            <a:effectLst/>
          </c:spPr>
          <c:invertIfNegative val="0"/>
          <c:cat>
            <c:strRef>
              <c:f>Turugraafikud!$C$3:$E$3</c:f>
              <c:strCache>
                <c:ptCount val="3"/>
                <c:pt idx="0">
                  <c:v>Q1 2016</c:v>
                </c:pt>
                <c:pt idx="1">
                  <c:v>Q2 2016</c:v>
                </c:pt>
                <c:pt idx="2">
                  <c:v>Q3 2016</c:v>
                </c:pt>
              </c:strCache>
            </c:strRef>
          </c:cat>
          <c:val>
            <c:numRef>
              <c:f>(Omavahendid!$N$13,Omavahendid!$S$13,Omavahendid!$X$13)</c:f>
              <c:numCache>
                <c:formatCode>#,##0</c:formatCode>
                <c:ptCount val="3"/>
                <c:pt idx="0">
                  <c:v>126678822.98350799</c:v>
                </c:pt>
                <c:pt idx="1">
                  <c:v>133366200.237066</c:v>
                </c:pt>
                <c:pt idx="2">
                  <c:v>142021296.797434</c:v>
                </c:pt>
              </c:numCache>
            </c:numRef>
          </c:val>
        </c:ser>
        <c:ser>
          <c:idx val="0"/>
          <c:order val="1"/>
          <c:tx>
            <c:v>Own funds (left scale)</c:v>
          </c:tx>
          <c:spPr>
            <a:solidFill>
              <a:schemeClr val="accent1"/>
            </a:solidFill>
            <a:ln>
              <a:noFill/>
            </a:ln>
            <a:effectLst/>
          </c:spPr>
          <c:invertIfNegative val="0"/>
          <c:cat>
            <c:strRef>
              <c:f>Turugraafikud!$C$3:$E$3</c:f>
              <c:strCache>
                <c:ptCount val="3"/>
                <c:pt idx="0">
                  <c:v>Q1 2016</c:v>
                </c:pt>
                <c:pt idx="1">
                  <c:v>Q2 2016</c:v>
                </c:pt>
                <c:pt idx="2">
                  <c:v>Q3 2016</c:v>
                </c:pt>
              </c:strCache>
            </c:strRef>
          </c:cat>
          <c:val>
            <c:numRef>
              <c:f>(Omavahendid!$N$11,Omavahendid!$S$11,Omavahendid!$X$11)</c:f>
              <c:numCache>
                <c:formatCode>#,##0</c:formatCode>
                <c:ptCount val="3"/>
                <c:pt idx="0">
                  <c:v>193887465.77179998</c:v>
                </c:pt>
                <c:pt idx="1">
                  <c:v>218314276.29519999</c:v>
                </c:pt>
                <c:pt idx="2">
                  <c:v>247549903.48360002</c:v>
                </c:pt>
              </c:numCache>
            </c:numRef>
          </c:val>
        </c:ser>
        <c:dLbls>
          <c:showLegendKey val="0"/>
          <c:showVal val="0"/>
          <c:showCatName val="0"/>
          <c:showSerName val="0"/>
          <c:showPercent val="0"/>
          <c:showBubbleSize val="0"/>
        </c:dLbls>
        <c:gapWidth val="219"/>
        <c:axId val="191919776"/>
        <c:axId val="191920168"/>
      </c:barChart>
      <c:lineChart>
        <c:grouping val="standard"/>
        <c:varyColors val="0"/>
        <c:ser>
          <c:idx val="2"/>
          <c:order val="2"/>
          <c:tx>
            <c:v>Coverage of requirement with own funds (right scale)</c:v>
          </c:tx>
          <c:spPr>
            <a:ln w="28575" cap="rnd">
              <a:solidFill>
                <a:srgbClr val="FA5C1D"/>
              </a:solidFill>
              <a:round/>
            </a:ln>
            <a:effectLst/>
          </c:spPr>
          <c:marker>
            <c:symbol val="circle"/>
            <c:size val="6"/>
            <c:spPr>
              <a:solidFill>
                <a:schemeClr val="accent3"/>
              </a:solidFill>
              <a:ln w="9525">
                <a:solidFill>
                  <a:schemeClr val="accent3"/>
                </a:solidFill>
              </a:ln>
              <a:effectLst/>
            </c:spPr>
          </c:marker>
          <c:cat>
            <c:strRef>
              <c:f>Turugraafikud!$C$3:$E$3</c:f>
              <c:strCache>
                <c:ptCount val="3"/>
                <c:pt idx="0">
                  <c:v>Q1 2016</c:v>
                </c:pt>
                <c:pt idx="1">
                  <c:v>Q2 2016</c:v>
                </c:pt>
                <c:pt idx="2">
                  <c:v>Q3 2016</c:v>
                </c:pt>
              </c:strCache>
            </c:strRef>
          </c:cat>
          <c:val>
            <c:numRef>
              <c:f>(Omavahendid!$N$15,Omavahendid!$S$15,Omavahendid!$X$15)</c:f>
              <c:numCache>
                <c:formatCode>#,##0.00</c:formatCode>
                <c:ptCount val="3"/>
                <c:pt idx="0">
                  <c:v>1.5305436315669094</c:v>
                </c:pt>
                <c:pt idx="1">
                  <c:v>1.6369535602509029</c:v>
                </c:pt>
                <c:pt idx="2">
                  <c:v>1.7430477616091777</c:v>
                </c:pt>
              </c:numCache>
            </c:numRef>
          </c:val>
          <c:smooth val="0"/>
        </c:ser>
        <c:dLbls>
          <c:showLegendKey val="0"/>
          <c:showVal val="0"/>
          <c:showCatName val="0"/>
          <c:showSerName val="0"/>
          <c:showPercent val="0"/>
          <c:showBubbleSize val="0"/>
        </c:dLbls>
        <c:marker val="1"/>
        <c:smooth val="0"/>
        <c:axId val="255334624"/>
        <c:axId val="255334232"/>
      </c:lineChart>
      <c:catAx>
        <c:axId val="1919197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2"/>
                </a:solidFill>
                <a:latin typeface="Atlas Grotesk Light" pitchFamily="50" charset="-70"/>
                <a:ea typeface="+mn-ea"/>
                <a:cs typeface="+mn-cs"/>
              </a:defRPr>
            </a:pPr>
            <a:endParaRPr lang="et-EE"/>
          </a:p>
        </c:txPr>
        <c:crossAx val="191920168"/>
        <c:crosses val="autoZero"/>
        <c:auto val="1"/>
        <c:lblAlgn val="ctr"/>
        <c:lblOffset val="100"/>
        <c:noMultiLvlLbl val="0"/>
      </c:catAx>
      <c:valAx>
        <c:axId val="191920168"/>
        <c:scaling>
          <c:orientation val="minMax"/>
          <c:max val="250000000"/>
        </c:scaling>
        <c:delete val="0"/>
        <c:axPos val="l"/>
        <c:majorGridlines>
          <c:spPr>
            <a:ln w="9525" cap="flat" cmpd="sng" algn="ctr">
              <a:solidFill>
                <a:schemeClr val="bg1">
                  <a:lumMod val="8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2"/>
                </a:solidFill>
                <a:latin typeface="Atlas Grotesk Light" pitchFamily="50" charset="-70"/>
                <a:ea typeface="+mn-ea"/>
                <a:cs typeface="+mn-cs"/>
              </a:defRPr>
            </a:pPr>
            <a:endParaRPr lang="et-EE"/>
          </a:p>
        </c:txPr>
        <c:crossAx val="191919776"/>
        <c:crosses val="autoZero"/>
        <c:crossBetween val="between"/>
        <c:majorUnit val="50000000"/>
        <c:dispUnits>
          <c:builtInUnit val="millions"/>
          <c:dispUnitsLbl>
            <c:layout>
              <c:manualLayout>
                <c:xMode val="edge"/>
                <c:yMode val="edge"/>
                <c:x val="8.8676501644751726E-3"/>
                <c:y val="0.29042621309410044"/>
              </c:manualLayout>
            </c:layout>
            <c:tx>
              <c:rich>
                <a:bodyPr rot="-5400000" spcFirstLastPara="1" vertOverflow="ellipsis" vert="horz" wrap="square" anchor="ctr" anchorCtr="1"/>
                <a:lstStyle/>
                <a:p>
                  <a:pPr>
                    <a:defRPr sz="700" b="0" i="0" u="none" strike="noStrike" kern="1200" baseline="0">
                      <a:solidFill>
                        <a:schemeClr val="tx2"/>
                      </a:solidFill>
                      <a:latin typeface="Atlas Grotesk Light" pitchFamily="50" charset="-70"/>
                      <a:ea typeface="+mn-ea"/>
                      <a:cs typeface="+mn-cs"/>
                    </a:defRPr>
                  </a:pPr>
                  <a:r>
                    <a:rPr lang="en-US" sz="700"/>
                    <a:t>million euros</a:t>
                  </a:r>
                </a:p>
              </c:rich>
            </c:tx>
            <c:spPr>
              <a:noFill/>
              <a:ln>
                <a:noFill/>
              </a:ln>
              <a:effectLst/>
            </c:spPr>
            <c:txPr>
              <a:bodyPr rot="-5400000" spcFirstLastPara="1" vertOverflow="ellipsis" vert="horz" wrap="square" anchor="ctr" anchorCtr="1"/>
              <a:lstStyle/>
              <a:p>
                <a:pPr>
                  <a:defRPr sz="700" b="0" i="0" u="none" strike="noStrike" kern="1200" baseline="0">
                    <a:solidFill>
                      <a:schemeClr val="tx2"/>
                    </a:solidFill>
                    <a:latin typeface="Atlas Grotesk Light" pitchFamily="50" charset="-70"/>
                    <a:ea typeface="+mn-ea"/>
                    <a:cs typeface="+mn-cs"/>
                  </a:defRPr>
                </a:pPr>
                <a:endParaRPr lang="et-EE"/>
              </a:p>
            </c:txPr>
          </c:dispUnitsLbl>
        </c:dispUnits>
      </c:valAx>
      <c:valAx>
        <c:axId val="255334232"/>
        <c:scaling>
          <c:orientation val="minMax"/>
          <c:max val="1.9"/>
          <c:min val="1.4"/>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2"/>
                </a:solidFill>
                <a:latin typeface="Atlas Grotesk Light" pitchFamily="50" charset="-70"/>
                <a:ea typeface="+mn-ea"/>
                <a:cs typeface="+mn-cs"/>
              </a:defRPr>
            </a:pPr>
            <a:endParaRPr lang="et-EE"/>
          </a:p>
        </c:txPr>
        <c:crossAx val="255334624"/>
        <c:crosses val="max"/>
        <c:crossBetween val="between"/>
        <c:majorUnit val="0.1"/>
      </c:valAx>
      <c:catAx>
        <c:axId val="255334624"/>
        <c:scaling>
          <c:orientation val="minMax"/>
        </c:scaling>
        <c:delete val="1"/>
        <c:axPos val="b"/>
        <c:numFmt formatCode="General" sourceLinked="1"/>
        <c:majorTickMark val="out"/>
        <c:minorTickMark val="none"/>
        <c:tickLblPos val="nextTo"/>
        <c:crossAx val="255334232"/>
        <c:crosses val="autoZero"/>
        <c:auto val="1"/>
        <c:lblAlgn val="ctr"/>
        <c:lblOffset val="100"/>
        <c:noMultiLvlLbl val="0"/>
      </c:catAx>
      <c:spPr>
        <a:noFill/>
        <a:ln>
          <a:noFill/>
        </a:ln>
        <a:effectLst/>
      </c:spPr>
    </c:plotArea>
    <c:legend>
      <c:legendPos val="t"/>
      <c:layout>
        <c:manualLayout>
          <c:xMode val="edge"/>
          <c:yMode val="edge"/>
          <c:x val="9.4528063617764335E-2"/>
          <c:y val="0.77790470237181497"/>
          <c:w val="0.82654294096383096"/>
          <c:h val="0.2066177192572422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2"/>
              </a:solidFill>
              <a:latin typeface="Atlas Grotesk Light" pitchFamily="50" charset="-70"/>
              <a:ea typeface="+mn-ea"/>
              <a:cs typeface="+mn-cs"/>
            </a:defRPr>
          </a:pPr>
          <a:endParaRPr lang="et-EE"/>
        </a:p>
      </c:txPr>
    </c:legend>
    <c:plotVisOnly val="1"/>
    <c:dispBlanksAs val="gap"/>
    <c:showDLblsOverMax val="0"/>
  </c:chart>
  <c:spPr>
    <a:solidFill>
      <a:schemeClr val="bg1"/>
    </a:solidFill>
    <a:ln w="9525" cap="flat" cmpd="sng" algn="ctr">
      <a:noFill/>
      <a:round/>
    </a:ln>
    <a:effectLst/>
  </c:spPr>
  <c:txPr>
    <a:bodyPr/>
    <a:lstStyle/>
    <a:p>
      <a:pPr>
        <a:defRPr sz="600">
          <a:solidFill>
            <a:schemeClr val="tx2"/>
          </a:solidFill>
          <a:latin typeface="Atlas Grotesk Light" pitchFamily="50" charset="-70"/>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FI">
      <a:dk1>
        <a:sysClr val="windowText" lastClr="000000"/>
      </a:dk1>
      <a:lt1>
        <a:sysClr val="window" lastClr="FFFFFF"/>
      </a:lt1>
      <a:dk2>
        <a:srgbClr val="500778"/>
      </a:dk2>
      <a:lt2>
        <a:srgbClr val="FFFFFF"/>
      </a:lt2>
      <a:accent1>
        <a:srgbClr val="500778"/>
      </a:accent1>
      <a:accent2>
        <a:srgbClr val="00BB4A"/>
      </a:accent2>
      <a:accent3>
        <a:srgbClr val="FA5C1D"/>
      </a:accent3>
      <a:accent4>
        <a:srgbClr val="0037F5"/>
      </a:accent4>
      <a:accent5>
        <a:srgbClr val="000000"/>
      </a:accent5>
      <a:accent6>
        <a:srgbClr val="500778"/>
      </a:accent6>
      <a:hlink>
        <a:srgbClr val="500778"/>
      </a:hlink>
      <a:folHlink>
        <a:srgbClr val="50077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D34CF9-551C-4390-98E8-7B2098322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Temp.dotx</Template>
  <TotalTime>377</TotalTime>
  <Pages>1</Pages>
  <Words>475</Words>
  <Characters>2761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Elina Allikalt</dc:creator>
  <cp:keywords/>
  <dc:description/>
  <cp:lastModifiedBy>Elina Allikalt</cp:lastModifiedBy>
  <cp:revision>26</cp:revision>
  <cp:lastPrinted>2017-05-29T13:18:00Z</cp:lastPrinted>
  <dcterms:created xsi:type="dcterms:W3CDTF">2017-03-06T08:13:00Z</dcterms:created>
  <dcterms:modified xsi:type="dcterms:W3CDTF">2017-05-29T13:18:00Z</dcterms:modified>
</cp:coreProperties>
</file>