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3D" w:rsidRPr="005E233D" w:rsidRDefault="005E233D" w:rsidP="005E233D">
      <w:pPr>
        <w:pStyle w:val="Heading1"/>
        <w:rPr>
          <w:rFonts w:ascii="Publico Headline" w:hAnsi="Publico Headline"/>
          <w:sz w:val="28"/>
          <w:szCs w:val="28"/>
        </w:rPr>
      </w:pPr>
      <w:bookmarkStart w:id="0" w:name="_Toc477508442"/>
      <w:bookmarkStart w:id="1" w:name="_Toc497464180"/>
      <w:bookmarkStart w:id="2" w:name="_Toc497464413"/>
      <w:bookmarkStart w:id="3" w:name="_Toc511977585"/>
      <w:r w:rsidRPr="005E233D">
        <w:rPr>
          <w:rFonts w:ascii="Publico Headline" w:hAnsi="Publico Headline"/>
          <w:sz w:val="28"/>
          <w:szCs w:val="28"/>
        </w:rPr>
        <w:t>Makseasutus</w:t>
      </w:r>
      <w:bookmarkEnd w:id="0"/>
      <w:bookmarkEnd w:id="1"/>
      <w:bookmarkEnd w:id="2"/>
      <w:bookmarkEnd w:id="3"/>
      <w:r>
        <w:rPr>
          <w:rFonts w:ascii="Publico Headline" w:hAnsi="Publico Headline"/>
          <w:sz w:val="28"/>
          <w:szCs w:val="28"/>
        </w:rPr>
        <w:t>te IV kvartali 2017 ülevaade</w:t>
      </w:r>
    </w:p>
    <w:tbl>
      <w:tblPr>
        <w:tblStyle w:val="TableGrid"/>
        <w:tblW w:w="47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1480"/>
        <w:gridCol w:w="451"/>
        <w:gridCol w:w="1711"/>
      </w:tblGrid>
      <w:tr w:rsidR="005E233D" w:rsidRPr="00816748" w:rsidTr="002A7C25">
        <w:tc>
          <w:tcPr>
            <w:tcW w:w="2957" w:type="pct"/>
          </w:tcPr>
          <w:p w:rsidR="005E233D" w:rsidRPr="005E233D" w:rsidRDefault="005E233D" w:rsidP="002A7C25">
            <w:pPr>
              <w:spacing w:before="0" w:after="0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ab/>
            </w:r>
          </w:p>
        </w:tc>
        <w:tc>
          <w:tcPr>
            <w:tcW w:w="83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Style w:val="IntenseReference"/>
                <w:rFonts w:asciiTheme="minorHAnsi" w:hAnsiTheme="minorHAnsi" w:cstheme="minorHAnsi"/>
                <w:szCs w:val="21"/>
              </w:rPr>
            </w:pPr>
            <w:r w:rsidRPr="005E233D">
              <w:rPr>
                <w:rStyle w:val="IntenseReference"/>
                <w:rFonts w:asciiTheme="minorHAnsi" w:hAnsiTheme="minorHAnsi" w:cstheme="minorHAnsi"/>
                <w:szCs w:val="21"/>
              </w:rPr>
              <w:t>III kv 2017</w:t>
            </w:r>
          </w:p>
        </w:tc>
        <w:tc>
          <w:tcPr>
            <w:tcW w:w="253" w:type="pct"/>
          </w:tcPr>
          <w:p w:rsidR="005E233D" w:rsidRPr="005E233D" w:rsidRDefault="005E233D" w:rsidP="002A7C25">
            <w:pPr>
              <w:spacing w:before="0" w:after="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96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Style w:val="IntenseReference"/>
                <w:rFonts w:asciiTheme="minorHAnsi" w:hAnsiTheme="minorHAnsi" w:cstheme="minorHAnsi"/>
                <w:szCs w:val="21"/>
              </w:rPr>
            </w:pPr>
            <w:r w:rsidRPr="005E233D">
              <w:rPr>
                <w:rStyle w:val="IntenseReference"/>
                <w:rFonts w:asciiTheme="minorHAnsi" w:hAnsiTheme="minorHAnsi" w:cstheme="minorHAnsi"/>
                <w:szCs w:val="21"/>
              </w:rPr>
              <w:t>IV kv 2017</w:t>
            </w:r>
          </w:p>
        </w:tc>
      </w:tr>
      <w:tr w:rsidR="005E233D" w:rsidRPr="00816748" w:rsidTr="002A7C25">
        <w:tc>
          <w:tcPr>
            <w:tcW w:w="2957" w:type="pct"/>
          </w:tcPr>
          <w:p w:rsidR="005E233D" w:rsidRPr="005E233D" w:rsidRDefault="005E233D" w:rsidP="002A7C25">
            <w:pPr>
              <w:pStyle w:val="ListParagraph"/>
              <w:numPr>
                <w:ilvl w:val="0"/>
                <w:numId w:val="13"/>
              </w:numPr>
              <w:spacing w:before="0" w:after="0"/>
              <w:ind w:left="150" w:hanging="27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Maksete maht</w:t>
            </w:r>
          </w:p>
        </w:tc>
        <w:tc>
          <w:tcPr>
            <w:tcW w:w="83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73,2</w:t>
            </w:r>
          </w:p>
        </w:tc>
        <w:tc>
          <w:tcPr>
            <w:tcW w:w="253" w:type="pct"/>
          </w:tcPr>
          <w:p w:rsidR="005E233D" w:rsidRPr="005E233D" w:rsidRDefault="005E233D" w:rsidP="002A7C25">
            <w:pPr>
              <w:spacing w:before="0" w:after="0"/>
              <w:rPr>
                <w:rStyle w:val="IntenseReference"/>
                <w:rFonts w:asciiTheme="minorHAnsi" w:hAnsiTheme="minorHAnsi" w:cstheme="minorHAnsi"/>
                <w:color w:val="500778" w:themeColor="text2"/>
                <w:szCs w:val="21"/>
              </w:rPr>
            </w:pPr>
            <w:r w:rsidRPr="005E233D">
              <w:rPr>
                <w:rStyle w:val="IntenseReference"/>
                <w:rFonts w:asciiTheme="minorHAnsi" w:hAnsiTheme="minorHAnsi" w:cstheme="minorHAnsi"/>
                <w:color w:val="00BB4A" w:themeColor="accent2"/>
                <w:szCs w:val="21"/>
              </w:rPr>
              <w:t>↑</w:t>
            </w:r>
          </w:p>
        </w:tc>
        <w:tc>
          <w:tcPr>
            <w:tcW w:w="96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127,9 mln eurot</w:t>
            </w:r>
          </w:p>
        </w:tc>
      </w:tr>
      <w:tr w:rsidR="005E233D" w:rsidRPr="00816748" w:rsidTr="002A7C25">
        <w:tc>
          <w:tcPr>
            <w:tcW w:w="2957" w:type="pct"/>
          </w:tcPr>
          <w:p w:rsidR="005E233D" w:rsidRPr="005E233D" w:rsidRDefault="005E233D" w:rsidP="002A7C25">
            <w:pPr>
              <w:pStyle w:val="ListParagraph"/>
              <w:numPr>
                <w:ilvl w:val="0"/>
                <w:numId w:val="13"/>
              </w:numPr>
              <w:spacing w:before="0" w:after="0"/>
              <w:ind w:left="150" w:hanging="27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Maksete arv</w:t>
            </w:r>
          </w:p>
        </w:tc>
        <w:tc>
          <w:tcPr>
            <w:tcW w:w="83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0,99</w:t>
            </w:r>
          </w:p>
        </w:tc>
        <w:tc>
          <w:tcPr>
            <w:tcW w:w="253" w:type="pct"/>
          </w:tcPr>
          <w:p w:rsidR="005E233D" w:rsidRPr="005E233D" w:rsidRDefault="005E233D" w:rsidP="002A7C25">
            <w:pPr>
              <w:spacing w:before="0" w:after="0"/>
              <w:rPr>
                <w:rFonts w:asciiTheme="minorHAnsi" w:hAnsiTheme="minorHAnsi" w:cstheme="minorHAnsi"/>
                <w:b/>
                <w:color w:val="500778" w:themeColor="text2"/>
                <w:szCs w:val="21"/>
              </w:rPr>
            </w:pPr>
            <w:r w:rsidRPr="005E233D">
              <w:rPr>
                <w:rStyle w:val="IntenseReference"/>
                <w:rFonts w:asciiTheme="minorHAnsi" w:hAnsiTheme="minorHAnsi" w:cstheme="minorHAnsi"/>
                <w:color w:val="00BB4A" w:themeColor="accent2"/>
                <w:szCs w:val="21"/>
              </w:rPr>
              <w:t>↑</w:t>
            </w:r>
          </w:p>
        </w:tc>
        <w:tc>
          <w:tcPr>
            <w:tcW w:w="96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1,05</w:t>
            </w:r>
            <w:r w:rsidRPr="005E233D">
              <w:rPr>
                <w:rFonts w:asciiTheme="minorHAnsi" w:hAnsiTheme="minorHAnsi" w:cstheme="minorHAnsi"/>
                <w:color w:val="FF0000"/>
                <w:szCs w:val="21"/>
              </w:rPr>
              <w:t xml:space="preserve"> </w:t>
            </w:r>
            <w:r w:rsidRPr="005E233D">
              <w:rPr>
                <w:rFonts w:asciiTheme="minorHAnsi" w:hAnsiTheme="minorHAnsi" w:cstheme="minorHAnsi"/>
                <w:szCs w:val="21"/>
              </w:rPr>
              <w:t>mln tk</w:t>
            </w:r>
          </w:p>
        </w:tc>
      </w:tr>
      <w:tr w:rsidR="005E233D" w:rsidRPr="00816748" w:rsidTr="002A7C25">
        <w:tc>
          <w:tcPr>
            <w:tcW w:w="2957" w:type="pct"/>
          </w:tcPr>
          <w:p w:rsidR="005E233D" w:rsidRPr="005E233D" w:rsidRDefault="005E233D" w:rsidP="002A7C25">
            <w:pPr>
              <w:pStyle w:val="ListParagraph"/>
              <w:numPr>
                <w:ilvl w:val="0"/>
                <w:numId w:val="13"/>
              </w:numPr>
              <w:spacing w:before="0" w:after="0"/>
              <w:ind w:left="150" w:hanging="27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Kasum</w:t>
            </w:r>
          </w:p>
        </w:tc>
        <w:tc>
          <w:tcPr>
            <w:tcW w:w="83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0,4</w:t>
            </w:r>
          </w:p>
        </w:tc>
        <w:tc>
          <w:tcPr>
            <w:tcW w:w="253" w:type="pct"/>
          </w:tcPr>
          <w:p w:rsidR="005E233D" w:rsidRPr="005E233D" w:rsidRDefault="005E233D" w:rsidP="002A7C25">
            <w:pPr>
              <w:spacing w:before="0" w:after="0"/>
              <w:rPr>
                <w:rStyle w:val="IntenseReference"/>
                <w:rFonts w:asciiTheme="minorHAnsi" w:hAnsiTheme="minorHAnsi" w:cstheme="minorHAnsi"/>
                <w:color w:val="00BB4A" w:themeColor="accent2"/>
                <w:szCs w:val="21"/>
              </w:rPr>
            </w:pPr>
            <w:r w:rsidRPr="005E233D">
              <w:rPr>
                <w:rStyle w:val="IntenseReference"/>
                <w:rFonts w:asciiTheme="minorHAnsi" w:hAnsiTheme="minorHAnsi" w:cstheme="minorHAnsi"/>
                <w:color w:val="00BB4A" w:themeColor="accent2"/>
                <w:szCs w:val="21"/>
              </w:rPr>
              <w:t>↑</w:t>
            </w:r>
          </w:p>
        </w:tc>
        <w:tc>
          <w:tcPr>
            <w:tcW w:w="96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0,9 mln eurot</w:t>
            </w:r>
          </w:p>
        </w:tc>
      </w:tr>
      <w:tr w:rsidR="005E233D" w:rsidRPr="00816748" w:rsidTr="002A7C25">
        <w:tc>
          <w:tcPr>
            <w:tcW w:w="2957" w:type="pct"/>
          </w:tcPr>
          <w:p w:rsidR="005E233D" w:rsidRPr="005E233D" w:rsidRDefault="005E233D" w:rsidP="002A7C25">
            <w:pPr>
              <w:pStyle w:val="ListParagraph"/>
              <w:numPr>
                <w:ilvl w:val="0"/>
                <w:numId w:val="13"/>
              </w:numPr>
              <w:tabs>
                <w:tab w:val="left" w:pos="375"/>
              </w:tabs>
              <w:spacing w:before="0" w:after="0"/>
              <w:ind w:left="150" w:hanging="27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Omakapitali tootlikkus</w:t>
            </w:r>
          </w:p>
        </w:tc>
        <w:tc>
          <w:tcPr>
            <w:tcW w:w="83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7,0%</w:t>
            </w:r>
          </w:p>
        </w:tc>
        <w:tc>
          <w:tcPr>
            <w:tcW w:w="253" w:type="pct"/>
          </w:tcPr>
          <w:p w:rsidR="005E233D" w:rsidRPr="005E233D" w:rsidRDefault="005E233D" w:rsidP="002A7C25">
            <w:pPr>
              <w:spacing w:before="0" w:after="0"/>
              <w:rPr>
                <w:rFonts w:asciiTheme="minorHAnsi" w:hAnsiTheme="minorHAnsi" w:cstheme="minorHAnsi"/>
                <w:color w:val="00BB4A" w:themeColor="accent2"/>
                <w:szCs w:val="21"/>
              </w:rPr>
            </w:pPr>
            <w:r w:rsidRPr="005E233D">
              <w:rPr>
                <w:rStyle w:val="IntenseReference"/>
                <w:rFonts w:asciiTheme="minorHAnsi" w:hAnsiTheme="minorHAnsi" w:cstheme="minorHAnsi"/>
                <w:color w:val="00BB4A" w:themeColor="accent2"/>
                <w:szCs w:val="21"/>
              </w:rPr>
              <w:t>↑</w:t>
            </w:r>
          </w:p>
        </w:tc>
        <w:tc>
          <w:tcPr>
            <w:tcW w:w="960" w:type="pct"/>
          </w:tcPr>
          <w:p w:rsidR="005E233D" w:rsidRPr="005E233D" w:rsidRDefault="005E233D" w:rsidP="002A7C25">
            <w:pPr>
              <w:spacing w:before="0" w:after="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13,2%</w:t>
            </w:r>
          </w:p>
        </w:tc>
      </w:tr>
      <w:tr w:rsidR="005E233D" w:rsidRPr="00816748" w:rsidTr="002A7C25">
        <w:tc>
          <w:tcPr>
            <w:tcW w:w="2957" w:type="pct"/>
          </w:tcPr>
          <w:p w:rsidR="005E233D" w:rsidRPr="005E233D" w:rsidRDefault="005E233D" w:rsidP="002A7C25">
            <w:pPr>
              <w:pStyle w:val="ListParagraph"/>
              <w:numPr>
                <w:ilvl w:val="0"/>
                <w:numId w:val="13"/>
              </w:numPr>
              <w:spacing w:before="0" w:after="0"/>
              <w:ind w:left="150" w:hanging="270"/>
              <w:jc w:val="left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Omavahendite nõude kaetus</w:t>
            </w:r>
          </w:p>
        </w:tc>
        <w:tc>
          <w:tcPr>
            <w:tcW w:w="830" w:type="pct"/>
          </w:tcPr>
          <w:p w:rsidR="005E233D" w:rsidRPr="005E233D" w:rsidRDefault="005E233D" w:rsidP="002A7C25">
            <w:pPr>
              <w:spacing w:before="0" w:after="0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444%</w:t>
            </w:r>
          </w:p>
        </w:tc>
        <w:tc>
          <w:tcPr>
            <w:tcW w:w="253" w:type="pct"/>
          </w:tcPr>
          <w:p w:rsidR="005E233D" w:rsidRPr="005E233D" w:rsidRDefault="005E233D" w:rsidP="002A7C25">
            <w:pPr>
              <w:spacing w:before="0" w:after="0"/>
              <w:rPr>
                <w:rFonts w:asciiTheme="minorHAnsi" w:hAnsiTheme="minorHAnsi" w:cstheme="minorHAnsi"/>
                <w:color w:val="00BB4A" w:themeColor="accent2"/>
                <w:szCs w:val="21"/>
              </w:rPr>
            </w:pPr>
            <w:r w:rsidRPr="005E233D">
              <w:rPr>
                <w:rStyle w:val="IntenseReference"/>
                <w:rFonts w:asciiTheme="minorHAnsi" w:hAnsiTheme="minorHAnsi" w:cstheme="minorHAnsi"/>
                <w:color w:val="00BB4A" w:themeColor="accent2"/>
                <w:szCs w:val="21"/>
              </w:rPr>
              <w:t>↑</w:t>
            </w:r>
          </w:p>
        </w:tc>
        <w:tc>
          <w:tcPr>
            <w:tcW w:w="960" w:type="pct"/>
          </w:tcPr>
          <w:p w:rsidR="005E233D" w:rsidRPr="005E233D" w:rsidRDefault="005E233D" w:rsidP="002A7C25">
            <w:pPr>
              <w:spacing w:before="0" w:after="0"/>
              <w:rPr>
                <w:rFonts w:asciiTheme="minorHAnsi" w:hAnsiTheme="minorHAnsi" w:cstheme="minorHAnsi"/>
                <w:szCs w:val="21"/>
              </w:rPr>
            </w:pPr>
            <w:r w:rsidRPr="005E233D">
              <w:rPr>
                <w:rFonts w:asciiTheme="minorHAnsi" w:hAnsiTheme="minorHAnsi" w:cstheme="minorHAnsi"/>
                <w:szCs w:val="21"/>
              </w:rPr>
              <w:t>761%</w:t>
            </w:r>
          </w:p>
        </w:tc>
      </w:tr>
    </w:tbl>
    <w:p w:rsidR="005E233D" w:rsidRDefault="005E233D" w:rsidP="005E233D">
      <w:pPr>
        <w:tabs>
          <w:tab w:val="left" w:pos="284"/>
        </w:tabs>
        <w:spacing w:after="120"/>
      </w:pPr>
    </w:p>
    <w:p w:rsidR="005E233D" w:rsidRDefault="005E233D" w:rsidP="005E233D">
      <w:pPr>
        <w:tabs>
          <w:tab w:val="left" w:pos="284"/>
        </w:tabs>
        <w:spacing w:after="120"/>
      </w:pPr>
    </w:p>
    <w:p w:rsidR="005E233D" w:rsidRPr="005E233D" w:rsidRDefault="005E233D" w:rsidP="005E233D">
      <w:pPr>
        <w:pStyle w:val="MainText"/>
        <w:spacing w:after="120"/>
        <w:jc w:val="both"/>
        <w:rPr>
          <w:sz w:val="21"/>
          <w:szCs w:val="21"/>
        </w:rPr>
      </w:pPr>
      <w:r w:rsidRPr="005E233D">
        <w:rPr>
          <w:noProof/>
          <w:sz w:val="21"/>
          <w:szCs w:val="21"/>
          <w:lang w:eastAsia="et-EE"/>
        </w:rPr>
        <w:drawing>
          <wp:anchor distT="0" distB="0" distL="114300" distR="114300" simplePos="0" relativeHeight="251659264" behindDoc="0" locked="0" layoutInCell="1" allowOverlap="1" wp14:anchorId="00CFAE4E" wp14:editId="3A5E90D2">
            <wp:simplePos x="0" y="0"/>
            <wp:positionH relativeFrom="column">
              <wp:posOffset>2586990</wp:posOffset>
            </wp:positionH>
            <wp:positionV relativeFrom="paragraph">
              <wp:posOffset>7620</wp:posOffset>
            </wp:positionV>
            <wp:extent cx="3552825" cy="2190750"/>
            <wp:effectExtent l="0" t="0" r="0" b="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33D">
        <w:rPr>
          <w:sz w:val="21"/>
          <w:szCs w:val="21"/>
        </w:rPr>
        <w:t>Eestis tegutsevate makseasutuste vahendusel tehti 2017. aasta neljandas kvartalis makseid 127,9 miljoni</w:t>
      </w:r>
      <w:r>
        <w:rPr>
          <w:sz w:val="21"/>
          <w:szCs w:val="21"/>
        </w:rPr>
        <w:t xml:space="preserve"> </w:t>
      </w:r>
      <w:r w:rsidRPr="005E233D">
        <w:rPr>
          <w:sz w:val="21"/>
          <w:szCs w:val="21"/>
        </w:rPr>
        <w:t xml:space="preserve">euro </w:t>
      </w:r>
      <w:r>
        <w:rPr>
          <w:sz w:val="21"/>
          <w:szCs w:val="21"/>
        </w:rPr>
        <w:t xml:space="preserve">ulatuses ehk </w:t>
      </w:r>
      <w:r w:rsidRPr="005E233D">
        <w:rPr>
          <w:sz w:val="21"/>
          <w:szCs w:val="21"/>
        </w:rPr>
        <w:t>75% rohkem kui kolmandas</w:t>
      </w:r>
      <w:r w:rsidR="0002454E">
        <w:rPr>
          <w:sz w:val="21"/>
          <w:szCs w:val="21"/>
        </w:rPr>
        <w:t xml:space="preserve"> kvartalis.</w:t>
      </w:r>
    </w:p>
    <w:p w:rsidR="005E233D" w:rsidRPr="005E233D" w:rsidRDefault="005E233D" w:rsidP="005E233D">
      <w:pPr>
        <w:pStyle w:val="MainText"/>
        <w:spacing w:after="120"/>
        <w:jc w:val="both"/>
        <w:rPr>
          <w:sz w:val="21"/>
          <w:szCs w:val="21"/>
        </w:rPr>
      </w:pPr>
      <w:r w:rsidRPr="005E233D">
        <w:rPr>
          <w:sz w:val="21"/>
          <w:szCs w:val="21"/>
        </w:rPr>
        <w:t xml:space="preserve">Maksete arv ületas </w:t>
      </w:r>
      <w:r>
        <w:rPr>
          <w:sz w:val="21"/>
          <w:szCs w:val="21"/>
        </w:rPr>
        <w:t>neljandas kvartalis miljoni piiri</w:t>
      </w:r>
      <w:r w:rsidRPr="005E233D">
        <w:rPr>
          <w:sz w:val="21"/>
          <w:szCs w:val="21"/>
        </w:rPr>
        <w:t xml:space="preserve">, </w:t>
      </w:r>
      <w:r>
        <w:rPr>
          <w:sz w:val="21"/>
          <w:szCs w:val="21"/>
        </w:rPr>
        <w:t>kasvades</w:t>
      </w:r>
      <w:r w:rsidRPr="005E233D">
        <w:rPr>
          <w:sz w:val="21"/>
          <w:szCs w:val="21"/>
        </w:rPr>
        <w:t xml:space="preserve"> kvartaliga 6%. Keskmine maksetehingu summa oli 122 eurot, 65% suurem kui kolmandas kvartalis. </w:t>
      </w:r>
    </w:p>
    <w:p w:rsidR="005E233D" w:rsidRPr="005E233D" w:rsidRDefault="005E233D" w:rsidP="005E233D">
      <w:pPr>
        <w:pStyle w:val="MainText"/>
        <w:spacing w:after="120"/>
        <w:jc w:val="both"/>
        <w:rPr>
          <w:sz w:val="21"/>
          <w:szCs w:val="21"/>
        </w:rPr>
      </w:pPr>
      <w:r w:rsidRPr="005E233D">
        <w:rPr>
          <w:sz w:val="21"/>
          <w:szCs w:val="21"/>
        </w:rPr>
        <w:t>Makseasutused teenisid neljandas kvartalis 0,9 miljonit eurot kasumit.</w:t>
      </w:r>
    </w:p>
    <w:p w:rsidR="005E233D" w:rsidRPr="005E233D" w:rsidRDefault="005E233D" w:rsidP="005E233D">
      <w:pPr>
        <w:pStyle w:val="MainText"/>
        <w:spacing w:after="120"/>
        <w:jc w:val="both"/>
        <w:rPr>
          <w:sz w:val="21"/>
          <w:szCs w:val="21"/>
        </w:rPr>
      </w:pPr>
      <w:r w:rsidRPr="005E233D">
        <w:rPr>
          <w:noProof/>
          <w:sz w:val="21"/>
          <w:szCs w:val="21"/>
          <w:lang w:eastAsia="et-EE"/>
        </w:rPr>
        <w:drawing>
          <wp:anchor distT="0" distB="0" distL="114300" distR="114300" simplePos="0" relativeHeight="251660288" behindDoc="0" locked="0" layoutInCell="1" allowOverlap="1" wp14:anchorId="58E6A1C1" wp14:editId="22D849C6">
            <wp:simplePos x="0" y="0"/>
            <wp:positionH relativeFrom="column">
              <wp:posOffset>2694940</wp:posOffset>
            </wp:positionH>
            <wp:positionV relativeFrom="paragraph">
              <wp:posOffset>50800</wp:posOffset>
            </wp:positionV>
            <wp:extent cx="3366135" cy="2125345"/>
            <wp:effectExtent l="0" t="0" r="5715" b="8255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33D">
        <w:rPr>
          <w:sz w:val="21"/>
          <w:szCs w:val="21"/>
        </w:rPr>
        <w:t xml:space="preserve">Makseasutuste sektori omakapitali tootlikkus </w:t>
      </w:r>
      <w:r w:rsidR="0002454E">
        <w:rPr>
          <w:sz w:val="21"/>
          <w:szCs w:val="21"/>
        </w:rPr>
        <w:t xml:space="preserve">paranes neljandas kvartalis märgatavalt, kerkides kolmanda kvartali 7%lt </w:t>
      </w:r>
      <w:r w:rsidRPr="005E233D">
        <w:rPr>
          <w:sz w:val="21"/>
          <w:szCs w:val="21"/>
        </w:rPr>
        <w:t>13,2%</w:t>
      </w:r>
      <w:r w:rsidR="0002454E">
        <w:rPr>
          <w:sz w:val="21"/>
          <w:szCs w:val="21"/>
        </w:rPr>
        <w:t>ni</w:t>
      </w:r>
      <w:r w:rsidRPr="005E233D">
        <w:rPr>
          <w:sz w:val="21"/>
          <w:szCs w:val="21"/>
        </w:rPr>
        <w:t xml:space="preserve">. </w:t>
      </w:r>
      <w:r w:rsidR="0002454E">
        <w:rPr>
          <w:sz w:val="21"/>
          <w:szCs w:val="21"/>
        </w:rPr>
        <w:t>Aasta keskmisena küündis see näitaja</w:t>
      </w:r>
      <w:r>
        <w:rPr>
          <w:sz w:val="21"/>
          <w:szCs w:val="21"/>
        </w:rPr>
        <w:t xml:space="preserve"> 12,8%</w:t>
      </w:r>
      <w:r w:rsidR="0002454E">
        <w:rPr>
          <w:sz w:val="21"/>
          <w:szCs w:val="21"/>
        </w:rPr>
        <w:t>ni</w:t>
      </w:r>
      <w:r>
        <w:rPr>
          <w:sz w:val="21"/>
          <w:szCs w:val="21"/>
        </w:rPr>
        <w:t xml:space="preserve"> (2016. aasta</w:t>
      </w:r>
      <w:r w:rsidR="0002454E">
        <w:rPr>
          <w:sz w:val="21"/>
          <w:szCs w:val="21"/>
        </w:rPr>
        <w:t>l</w:t>
      </w:r>
      <w:r>
        <w:rPr>
          <w:sz w:val="21"/>
          <w:szCs w:val="21"/>
        </w:rPr>
        <w:t xml:space="preserve"> 8,6%).</w:t>
      </w:r>
    </w:p>
    <w:p w:rsidR="005E233D" w:rsidRPr="005E233D" w:rsidRDefault="0002454E" w:rsidP="005E233D">
      <w:pPr>
        <w:pStyle w:val="MainText"/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5E233D" w:rsidRPr="005E233D">
        <w:rPr>
          <w:sz w:val="21"/>
          <w:szCs w:val="21"/>
        </w:rPr>
        <w:t xml:space="preserve">ektori kapitaliseeritus </w:t>
      </w:r>
      <w:r>
        <w:rPr>
          <w:sz w:val="21"/>
          <w:szCs w:val="21"/>
        </w:rPr>
        <w:t>püsib</w:t>
      </w:r>
      <w:r w:rsidR="005E233D" w:rsidRPr="005E233D">
        <w:rPr>
          <w:sz w:val="21"/>
          <w:szCs w:val="21"/>
        </w:rPr>
        <w:t xml:space="preserve"> hea, omavahendite nõue</w:t>
      </w:r>
      <w:r>
        <w:rPr>
          <w:sz w:val="21"/>
          <w:szCs w:val="21"/>
        </w:rPr>
        <w:t xml:space="preserve"> on </w:t>
      </w:r>
      <w:r w:rsidR="005E233D" w:rsidRPr="005E233D">
        <w:rPr>
          <w:sz w:val="21"/>
          <w:szCs w:val="21"/>
        </w:rPr>
        <w:t>t</w:t>
      </w:r>
      <w:r>
        <w:rPr>
          <w:sz w:val="21"/>
          <w:szCs w:val="21"/>
        </w:rPr>
        <w:t>äidetud</w:t>
      </w:r>
      <w:r w:rsidR="005E233D" w:rsidRPr="005E233D">
        <w:rPr>
          <w:sz w:val="21"/>
          <w:szCs w:val="21"/>
        </w:rPr>
        <w:t xml:space="preserve"> 7,6</w:t>
      </w:r>
      <w:r>
        <w:rPr>
          <w:sz w:val="21"/>
          <w:szCs w:val="21"/>
        </w:rPr>
        <w:t>kordselt</w:t>
      </w:r>
      <w:r w:rsidR="005E233D" w:rsidRPr="005E233D">
        <w:rPr>
          <w:sz w:val="21"/>
          <w:szCs w:val="21"/>
        </w:rPr>
        <w:t xml:space="preserve">. </w:t>
      </w:r>
    </w:p>
    <w:p w:rsidR="005E233D" w:rsidRPr="005E233D" w:rsidRDefault="005E233D" w:rsidP="005E233D">
      <w:pPr>
        <w:pStyle w:val="MainText"/>
        <w:spacing w:after="120"/>
        <w:jc w:val="both"/>
        <w:rPr>
          <w:sz w:val="21"/>
          <w:szCs w:val="21"/>
        </w:rPr>
      </w:pPr>
    </w:p>
    <w:p w:rsidR="006C4875" w:rsidRPr="006C4875" w:rsidRDefault="006C4875" w:rsidP="006C4875">
      <w:pPr>
        <w:keepNext/>
        <w:keepLines/>
        <w:spacing w:after="120" w:line="300" w:lineRule="auto"/>
        <w:outlineLvl w:val="2"/>
        <w:rPr>
          <w:rFonts w:ascii="Publico Headline" w:eastAsiaTheme="majorEastAsia" w:hAnsi="Publico Headline" w:cstheme="majorBidi"/>
          <w:color w:val="500778"/>
          <w:sz w:val="24"/>
          <w:szCs w:val="24"/>
        </w:rPr>
      </w:pPr>
      <w:r w:rsidRPr="006C4875">
        <w:rPr>
          <w:rFonts w:ascii="Publico Headline" w:eastAsiaTheme="majorEastAsia" w:hAnsi="Publico Headline" w:cstheme="majorBidi"/>
          <w:color w:val="500778"/>
          <w:sz w:val="24"/>
          <w:szCs w:val="24"/>
        </w:rPr>
        <w:t>Peamised arengusuunad ja riskid</w:t>
      </w:r>
    </w:p>
    <w:p w:rsidR="006C4875" w:rsidRDefault="006C4875" w:rsidP="006C4875">
      <w:pPr>
        <w:pStyle w:val="ListParagraph"/>
        <w:numPr>
          <w:ilvl w:val="0"/>
          <w:numId w:val="12"/>
        </w:numPr>
        <w:tabs>
          <w:tab w:val="left" w:pos="284"/>
        </w:tabs>
        <w:spacing w:after="120" w:line="300" w:lineRule="auto"/>
        <w:rPr>
          <w:szCs w:val="21"/>
        </w:rPr>
      </w:pPr>
      <w:proofErr w:type="spellStart"/>
      <w:r w:rsidRPr="006C4875">
        <w:rPr>
          <w:szCs w:val="21"/>
        </w:rPr>
        <w:t>Wallester</w:t>
      </w:r>
      <w:proofErr w:type="spellEnd"/>
      <w:r w:rsidRPr="006C4875">
        <w:rPr>
          <w:szCs w:val="21"/>
        </w:rPr>
        <w:t xml:space="preserve"> AS </w:t>
      </w:r>
      <w:r>
        <w:rPr>
          <w:szCs w:val="21"/>
        </w:rPr>
        <w:t xml:space="preserve">sai makseasutuse </w:t>
      </w:r>
      <w:r w:rsidRPr="006C4875">
        <w:rPr>
          <w:szCs w:val="21"/>
        </w:rPr>
        <w:t>tegevusloa maksetehingute täitmiseks ja makseinstrumentide väljastamiseks.</w:t>
      </w:r>
      <w:r w:rsidR="00802D8C">
        <w:rPr>
          <w:szCs w:val="21"/>
        </w:rPr>
        <w:t xml:space="preserve"> </w:t>
      </w:r>
      <w:bookmarkStart w:id="4" w:name="_GoBack"/>
      <w:bookmarkEnd w:id="4"/>
      <w:r w:rsidR="00802D8C">
        <w:rPr>
          <w:szCs w:val="21"/>
        </w:rPr>
        <w:t xml:space="preserve">AS </w:t>
      </w:r>
      <w:proofErr w:type="spellStart"/>
      <w:r w:rsidR="00802D8C">
        <w:rPr>
          <w:szCs w:val="21"/>
        </w:rPr>
        <w:t>Eurex</w:t>
      </w:r>
      <w:proofErr w:type="spellEnd"/>
      <w:r w:rsidR="00802D8C">
        <w:rPr>
          <w:szCs w:val="21"/>
        </w:rPr>
        <w:t xml:space="preserve"> </w:t>
      </w:r>
      <w:proofErr w:type="spellStart"/>
      <w:r w:rsidR="00802D8C">
        <w:rPr>
          <w:szCs w:val="21"/>
        </w:rPr>
        <w:t>Capital</w:t>
      </w:r>
      <w:proofErr w:type="spellEnd"/>
      <w:r w:rsidR="00802D8C">
        <w:rPr>
          <w:szCs w:val="21"/>
        </w:rPr>
        <w:t xml:space="preserve"> loobus tegevusloast.</w:t>
      </w:r>
    </w:p>
    <w:p w:rsidR="006C4875" w:rsidRPr="006C4875" w:rsidRDefault="006C4875" w:rsidP="006C4875">
      <w:pPr>
        <w:numPr>
          <w:ilvl w:val="0"/>
          <w:numId w:val="12"/>
        </w:numPr>
        <w:tabs>
          <w:tab w:val="left" w:pos="284"/>
        </w:tabs>
        <w:spacing w:after="120" w:line="300" w:lineRule="auto"/>
        <w:rPr>
          <w:szCs w:val="21"/>
        </w:rPr>
      </w:pPr>
      <w:r>
        <w:rPr>
          <w:szCs w:val="21"/>
        </w:rPr>
        <w:t xml:space="preserve">Huvi taotleda </w:t>
      </w:r>
      <w:r w:rsidRPr="006C4875">
        <w:rPr>
          <w:szCs w:val="21"/>
        </w:rPr>
        <w:t>Eestis makseasutuse või e-raha asutuse tegevusluba on viimasel ajal suurenenud.</w:t>
      </w:r>
    </w:p>
    <w:p w:rsidR="00A44487" w:rsidRPr="006C4875" w:rsidRDefault="006C4875" w:rsidP="00BF161E">
      <w:pPr>
        <w:numPr>
          <w:ilvl w:val="0"/>
          <w:numId w:val="12"/>
        </w:numPr>
        <w:tabs>
          <w:tab w:val="left" w:pos="284"/>
        </w:tabs>
        <w:spacing w:after="120" w:line="300" w:lineRule="auto"/>
        <w:ind w:left="714" w:hanging="357"/>
        <w:rPr>
          <w:szCs w:val="21"/>
        </w:rPr>
      </w:pPr>
      <w:r>
        <w:t xml:space="preserve">Mitteresidentide segmendis tegutsevaid makseteenuste </w:t>
      </w:r>
      <w:proofErr w:type="spellStart"/>
      <w:r>
        <w:t>osutajaid</w:t>
      </w:r>
      <w:proofErr w:type="spellEnd"/>
      <w:r>
        <w:t xml:space="preserve"> ohustab enim rahapesurisk</w:t>
      </w:r>
      <w:r w:rsidRPr="006C4875">
        <w:rPr>
          <w:szCs w:val="21"/>
        </w:rPr>
        <w:t xml:space="preserve">. </w:t>
      </w:r>
    </w:p>
    <w:sectPr w:rsidR="00A44487" w:rsidRPr="006C4875" w:rsidSect="005E233D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851" w:right="851" w:bottom="851" w:left="1701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DD" w:rsidRDefault="00551DDD" w:rsidP="00DD5C49">
      <w:r>
        <w:separator/>
      </w:r>
    </w:p>
    <w:p w:rsidR="00551DDD" w:rsidRDefault="00551DDD"/>
  </w:endnote>
  <w:endnote w:type="continuationSeparator" w:id="0">
    <w:p w:rsidR="00551DDD" w:rsidRDefault="00551DDD" w:rsidP="00DD5C49">
      <w:r>
        <w:continuationSeparator/>
      </w:r>
    </w:p>
    <w:p w:rsidR="00551DDD" w:rsidRDefault="00551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tlas Grotes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ublico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o Headline">
    <w:panose1 w:val="02040502060504060203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132102"/>
      <w:docPartObj>
        <w:docPartGallery w:val="Page Numbers (Bottom of Page)"/>
        <w:docPartUnique/>
      </w:docPartObj>
    </w:sdtPr>
    <w:sdtEndPr/>
    <w:sdtContent>
      <w:sdt>
        <w:sdtPr>
          <w:id w:val="-1308784095"/>
          <w:docPartObj>
            <w:docPartGallery w:val="Page Numbers (Top of Page)"/>
            <w:docPartUnique/>
          </w:docPartObj>
        </w:sdtPr>
        <w:sdtEndPr/>
        <w:sdtContent>
          <w:p w:rsidR="00115410" w:rsidRDefault="00115410" w:rsidP="00447F54">
            <w:pPr>
              <w:pStyle w:val="Footer"/>
              <w:jc w:val="right"/>
            </w:pPr>
            <w:r>
              <w:rPr>
                <w:noProof/>
                <w:lang w:eastAsia="et-EE"/>
              </w:rPr>
              <w:drawing>
                <wp:anchor distT="180340" distB="0" distL="114300" distR="114300" simplePos="0" relativeHeight="251662336" behindDoc="0" locked="0" layoutInCell="1" allowOverlap="1" wp14:anchorId="2C7D0297" wp14:editId="52D914C6">
                  <wp:simplePos x="0" y="0"/>
                  <wp:positionH relativeFrom="column">
                    <wp:align>left</wp:align>
                  </wp:positionH>
                  <wp:positionV relativeFrom="page">
                    <wp:posOffset>10081260</wp:posOffset>
                  </wp:positionV>
                  <wp:extent cx="1077480" cy="122040"/>
                  <wp:effectExtent l="0" t="0" r="8890" b="0"/>
                  <wp:wrapNone/>
                  <wp:docPr id="4" name="Picture 4" descr="C:\Users\i7design\AppData\Local\Microsoft\Windows\INetCache\Content.Word\logo_top_small_test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i7design\AppData\Local\Microsoft\Windows\INetCache\Content.Word\logo_top_small_test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480" cy="12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begin"/>
            </w:r>
            <w:r w:rsidRPr="00FF5F65">
              <w:rPr>
                <w:bCs/>
                <w:color w:val="500778"/>
                <w:sz w:val="14"/>
                <w:szCs w:val="14"/>
              </w:rPr>
              <w:instrText xml:space="preserve"> PAGE </w:instrTex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separate"/>
            </w:r>
            <w:r w:rsidR="00802D8C">
              <w:rPr>
                <w:bCs/>
                <w:noProof/>
                <w:color w:val="500778"/>
                <w:sz w:val="14"/>
                <w:szCs w:val="14"/>
              </w:rPr>
              <w:t>1</w: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end"/>
            </w:r>
            <w:r w:rsidRPr="00FF5F65">
              <w:rPr>
                <w:color w:val="500778"/>
                <w:sz w:val="14"/>
                <w:szCs w:val="14"/>
              </w:rPr>
              <w:t xml:space="preserve"> / </w: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begin"/>
            </w:r>
            <w:r w:rsidRPr="00FF5F65">
              <w:rPr>
                <w:bCs/>
                <w:color w:val="500778"/>
                <w:sz w:val="14"/>
                <w:szCs w:val="14"/>
              </w:rPr>
              <w:instrText xml:space="preserve"> NUMPAGES  </w:instrTex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separate"/>
            </w:r>
            <w:r w:rsidR="00802D8C">
              <w:rPr>
                <w:bCs/>
                <w:noProof/>
                <w:color w:val="500778"/>
                <w:sz w:val="14"/>
                <w:szCs w:val="14"/>
              </w:rPr>
              <w:t>1</w:t>
            </w:r>
            <w:r w:rsidRPr="00FF5F65">
              <w:rPr>
                <w:bCs/>
                <w:color w:val="500778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DD" w:rsidRPr="003010D2" w:rsidRDefault="00551DDD" w:rsidP="00DD5C49">
      <w:pPr>
        <w:rPr>
          <w:color w:val="500778"/>
        </w:rPr>
      </w:pPr>
      <w:r w:rsidRPr="003010D2">
        <w:rPr>
          <w:color w:val="500778"/>
        </w:rPr>
        <w:separator/>
      </w:r>
    </w:p>
    <w:p w:rsidR="00551DDD" w:rsidRDefault="00551DDD"/>
  </w:footnote>
  <w:footnote w:type="continuationSeparator" w:id="0">
    <w:p w:rsidR="00551DDD" w:rsidRDefault="00551DDD" w:rsidP="00DD5C49">
      <w:r>
        <w:continuationSeparator/>
      </w:r>
    </w:p>
    <w:p w:rsidR="00551DDD" w:rsidRDefault="00551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10" w:rsidRPr="0015129C" w:rsidRDefault="005E233D" w:rsidP="0015129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4384" behindDoc="0" locked="0" layoutInCell="1" allowOverlap="1" wp14:anchorId="78B3FF5B" wp14:editId="2C5842F7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77120" cy="122040"/>
          <wp:effectExtent l="0" t="0" r="0" b="0"/>
          <wp:wrapNone/>
          <wp:docPr id="6" name="Picture 6" descr="C:\Users\i7design\AppData\Local\Microsoft\Windows\INetCache\Content.Word\logo_top_small_tes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:\Users\i7design\AppData\Local\Microsoft\Windows\INetCache\Content.Word\logo_top_small_tes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120" cy="12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10" w:rsidRPr="00812B47" w:rsidRDefault="00115410" w:rsidP="004C0791">
    <w:pPr>
      <w:pStyle w:val="Header"/>
      <w:spacing w:after="1701"/>
    </w:pPr>
    <w:r w:rsidRPr="00812B47">
      <w:rPr>
        <w:noProof/>
        <w:lang w:eastAsia="et-E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4386</wp:posOffset>
          </wp:positionH>
          <wp:positionV relativeFrom="paragraph">
            <wp:posOffset>1875</wp:posOffset>
          </wp:positionV>
          <wp:extent cx="3959225" cy="603885"/>
          <wp:effectExtent l="0" t="0" r="3175" b="5715"/>
          <wp:wrapNone/>
          <wp:docPr id="5" name="Picture 5" descr="C:\Users\i7design\AppData\Local\Microsoft\Windows\INetCache\Content.Word\logo_top_tes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i7design\AppData\Local\Microsoft\Windows\INetCache\Content.Word\logo_top_tes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2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7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F064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0D49FE"/>
    <w:multiLevelType w:val="hybridMultilevel"/>
    <w:tmpl w:val="426A6320"/>
    <w:lvl w:ilvl="0" w:tplc="36C8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56E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B7770"/>
    <w:multiLevelType w:val="hybridMultilevel"/>
    <w:tmpl w:val="9C0E5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302F"/>
    <w:multiLevelType w:val="multilevel"/>
    <w:tmpl w:val="C248D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C5007"/>
    <w:multiLevelType w:val="hybridMultilevel"/>
    <w:tmpl w:val="0A82912C"/>
    <w:lvl w:ilvl="0" w:tplc="CA28E1D2">
      <w:numFmt w:val="bullet"/>
      <w:pStyle w:val="MainGrayBoxBulletlist"/>
      <w:lvlText w:val="•"/>
      <w:lvlJc w:val="left"/>
      <w:pPr>
        <w:ind w:left="3101" w:hanging="360"/>
      </w:pPr>
      <w:rPr>
        <w:rFonts w:ascii="Atlas Grotesk" w:eastAsiaTheme="minorHAnsi" w:hAnsi="Atlas Grotes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</w:abstractNum>
  <w:abstractNum w:abstractNumId="7" w15:restartNumberingAfterBreak="0">
    <w:nsid w:val="2DCF0B11"/>
    <w:multiLevelType w:val="hybridMultilevel"/>
    <w:tmpl w:val="5824C4F0"/>
    <w:lvl w:ilvl="0" w:tplc="8796F4F0">
      <w:numFmt w:val="bullet"/>
      <w:lvlText w:val="•"/>
      <w:lvlJc w:val="left"/>
      <w:pPr>
        <w:ind w:left="720" w:hanging="360"/>
      </w:pPr>
      <w:rPr>
        <w:rFonts w:ascii="Atlas Grotesk" w:eastAsiaTheme="minorHAnsi" w:hAnsi="Atlas Grotes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602B6"/>
    <w:multiLevelType w:val="hybridMultilevel"/>
    <w:tmpl w:val="121E880C"/>
    <w:lvl w:ilvl="0" w:tplc="B95A4A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8C1699"/>
    <w:multiLevelType w:val="hybridMultilevel"/>
    <w:tmpl w:val="427C1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32964"/>
    <w:multiLevelType w:val="hybridMultilevel"/>
    <w:tmpl w:val="3116A29C"/>
    <w:lvl w:ilvl="0" w:tplc="D142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5F23"/>
    <w:multiLevelType w:val="hybridMultilevel"/>
    <w:tmpl w:val="638AFD80"/>
    <w:lvl w:ilvl="0" w:tplc="B95A4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57DF9"/>
    <w:multiLevelType w:val="hybridMultilevel"/>
    <w:tmpl w:val="36B890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01A4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BB63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C56625"/>
    <w:multiLevelType w:val="hybridMultilevel"/>
    <w:tmpl w:val="66A074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17F48"/>
    <w:multiLevelType w:val="hybridMultilevel"/>
    <w:tmpl w:val="7646B7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F3F2D"/>
    <w:multiLevelType w:val="hybridMultilevel"/>
    <w:tmpl w:val="96CA322A"/>
    <w:lvl w:ilvl="0" w:tplc="D0F26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F16C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452BE"/>
    <w:multiLevelType w:val="hybridMultilevel"/>
    <w:tmpl w:val="96662B3C"/>
    <w:lvl w:ilvl="0" w:tplc="36C8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E5D1C"/>
    <w:multiLevelType w:val="hybridMultilevel"/>
    <w:tmpl w:val="27A2E3DE"/>
    <w:lvl w:ilvl="0" w:tplc="36C8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0778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2"/>
  </w:num>
  <w:num w:numId="13">
    <w:abstractNumId w:val="19"/>
  </w:num>
  <w:num w:numId="14">
    <w:abstractNumId w:val="11"/>
  </w:num>
  <w:num w:numId="15">
    <w:abstractNumId w:val="8"/>
  </w:num>
  <w:num w:numId="16">
    <w:abstractNumId w:val="17"/>
  </w:num>
  <w:num w:numId="17">
    <w:abstractNumId w:val="10"/>
  </w:num>
  <w:num w:numId="18">
    <w:abstractNumId w:val="12"/>
  </w:num>
  <w:num w:numId="19">
    <w:abstractNumId w:val="20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1B"/>
    <w:rsid w:val="000014CC"/>
    <w:rsid w:val="00005089"/>
    <w:rsid w:val="00005B3E"/>
    <w:rsid w:val="00011CD9"/>
    <w:rsid w:val="0002047D"/>
    <w:rsid w:val="00022657"/>
    <w:rsid w:val="000233CC"/>
    <w:rsid w:val="0002454E"/>
    <w:rsid w:val="0003000E"/>
    <w:rsid w:val="0004478E"/>
    <w:rsid w:val="00045665"/>
    <w:rsid w:val="00087B78"/>
    <w:rsid w:val="0009671A"/>
    <w:rsid w:val="000A2680"/>
    <w:rsid w:val="000B1684"/>
    <w:rsid w:val="000C5091"/>
    <w:rsid w:val="000D165A"/>
    <w:rsid w:val="000D509E"/>
    <w:rsid w:val="000E201C"/>
    <w:rsid w:val="000E5BB8"/>
    <w:rsid w:val="000F162F"/>
    <w:rsid w:val="000F1AEF"/>
    <w:rsid w:val="000F4687"/>
    <w:rsid w:val="001127A8"/>
    <w:rsid w:val="00115410"/>
    <w:rsid w:val="00130577"/>
    <w:rsid w:val="00137C90"/>
    <w:rsid w:val="0015072C"/>
    <w:rsid w:val="0015129C"/>
    <w:rsid w:val="00154E93"/>
    <w:rsid w:val="00162479"/>
    <w:rsid w:val="00170A82"/>
    <w:rsid w:val="00176DDC"/>
    <w:rsid w:val="001A6DA7"/>
    <w:rsid w:val="001B287A"/>
    <w:rsid w:val="001B2D51"/>
    <w:rsid w:val="001B3A22"/>
    <w:rsid w:val="001C3BE9"/>
    <w:rsid w:val="001C4F14"/>
    <w:rsid w:val="001C579F"/>
    <w:rsid w:val="001D611A"/>
    <w:rsid w:val="001E1FBB"/>
    <w:rsid w:val="001F2E4C"/>
    <w:rsid w:val="00225666"/>
    <w:rsid w:val="002261FE"/>
    <w:rsid w:val="00226E54"/>
    <w:rsid w:val="00234BEA"/>
    <w:rsid w:val="00242638"/>
    <w:rsid w:val="002512AA"/>
    <w:rsid w:val="002626B6"/>
    <w:rsid w:val="00262828"/>
    <w:rsid w:val="00283690"/>
    <w:rsid w:val="00292CFF"/>
    <w:rsid w:val="002964EC"/>
    <w:rsid w:val="00297FB8"/>
    <w:rsid w:val="002A1DA1"/>
    <w:rsid w:val="002A3D01"/>
    <w:rsid w:val="002A69DF"/>
    <w:rsid w:val="002B4131"/>
    <w:rsid w:val="002C1614"/>
    <w:rsid w:val="002C70CC"/>
    <w:rsid w:val="002F58A1"/>
    <w:rsid w:val="002F6FF2"/>
    <w:rsid w:val="003010D2"/>
    <w:rsid w:val="0030173F"/>
    <w:rsid w:val="00314DD4"/>
    <w:rsid w:val="00331AA9"/>
    <w:rsid w:val="0033263C"/>
    <w:rsid w:val="00341820"/>
    <w:rsid w:val="003459F8"/>
    <w:rsid w:val="003461FD"/>
    <w:rsid w:val="0035134A"/>
    <w:rsid w:val="00362712"/>
    <w:rsid w:val="00364603"/>
    <w:rsid w:val="00387A01"/>
    <w:rsid w:val="0039144F"/>
    <w:rsid w:val="00397BFB"/>
    <w:rsid w:val="003A472D"/>
    <w:rsid w:val="003B291D"/>
    <w:rsid w:val="003B3C64"/>
    <w:rsid w:val="003B47E0"/>
    <w:rsid w:val="003B5CD2"/>
    <w:rsid w:val="00416BE0"/>
    <w:rsid w:val="00434700"/>
    <w:rsid w:val="004355B6"/>
    <w:rsid w:val="00447F54"/>
    <w:rsid w:val="004500DE"/>
    <w:rsid w:val="004524AF"/>
    <w:rsid w:val="0046078E"/>
    <w:rsid w:val="00471A0B"/>
    <w:rsid w:val="00481144"/>
    <w:rsid w:val="00493E0D"/>
    <w:rsid w:val="00496240"/>
    <w:rsid w:val="004A348C"/>
    <w:rsid w:val="004B4C7B"/>
    <w:rsid w:val="004C0791"/>
    <w:rsid w:val="004D4037"/>
    <w:rsid w:val="004D6AE5"/>
    <w:rsid w:val="004E0AE8"/>
    <w:rsid w:val="004F71BC"/>
    <w:rsid w:val="0051065D"/>
    <w:rsid w:val="0051369B"/>
    <w:rsid w:val="00517E8A"/>
    <w:rsid w:val="005237D6"/>
    <w:rsid w:val="00525943"/>
    <w:rsid w:val="00536E25"/>
    <w:rsid w:val="0053770C"/>
    <w:rsid w:val="00550B68"/>
    <w:rsid w:val="00551DDD"/>
    <w:rsid w:val="00557346"/>
    <w:rsid w:val="00557490"/>
    <w:rsid w:val="0056613C"/>
    <w:rsid w:val="00567569"/>
    <w:rsid w:val="005701AD"/>
    <w:rsid w:val="00582086"/>
    <w:rsid w:val="00592E07"/>
    <w:rsid w:val="00593306"/>
    <w:rsid w:val="005B52FA"/>
    <w:rsid w:val="005B6467"/>
    <w:rsid w:val="005C36E5"/>
    <w:rsid w:val="005C52F5"/>
    <w:rsid w:val="005D0053"/>
    <w:rsid w:val="005E233D"/>
    <w:rsid w:val="005F15E6"/>
    <w:rsid w:val="006058C9"/>
    <w:rsid w:val="0060724F"/>
    <w:rsid w:val="0061018B"/>
    <w:rsid w:val="00613B48"/>
    <w:rsid w:val="006316F9"/>
    <w:rsid w:val="006363B9"/>
    <w:rsid w:val="00642971"/>
    <w:rsid w:val="006446C5"/>
    <w:rsid w:val="006507FB"/>
    <w:rsid w:val="00653DE1"/>
    <w:rsid w:val="0065579B"/>
    <w:rsid w:val="006604D8"/>
    <w:rsid w:val="006633D8"/>
    <w:rsid w:val="006957FA"/>
    <w:rsid w:val="006965B2"/>
    <w:rsid w:val="006B6665"/>
    <w:rsid w:val="006C4875"/>
    <w:rsid w:val="006D46B2"/>
    <w:rsid w:val="006E2A08"/>
    <w:rsid w:val="006E2F49"/>
    <w:rsid w:val="006F3569"/>
    <w:rsid w:val="007046C1"/>
    <w:rsid w:val="00713047"/>
    <w:rsid w:val="007233F3"/>
    <w:rsid w:val="0073678A"/>
    <w:rsid w:val="00745F96"/>
    <w:rsid w:val="00750F9A"/>
    <w:rsid w:val="0076270B"/>
    <w:rsid w:val="00783D8F"/>
    <w:rsid w:val="007B2875"/>
    <w:rsid w:val="007C1062"/>
    <w:rsid w:val="007C6630"/>
    <w:rsid w:val="007D75EC"/>
    <w:rsid w:val="007E1049"/>
    <w:rsid w:val="007E2D15"/>
    <w:rsid w:val="007F180D"/>
    <w:rsid w:val="007F4C07"/>
    <w:rsid w:val="00802D8C"/>
    <w:rsid w:val="00807BEE"/>
    <w:rsid w:val="00812B47"/>
    <w:rsid w:val="00813D65"/>
    <w:rsid w:val="00816748"/>
    <w:rsid w:val="008265FC"/>
    <w:rsid w:val="00841F41"/>
    <w:rsid w:val="008665F1"/>
    <w:rsid w:val="00870A54"/>
    <w:rsid w:val="00884656"/>
    <w:rsid w:val="008B0F2F"/>
    <w:rsid w:val="008C3007"/>
    <w:rsid w:val="008C4BEF"/>
    <w:rsid w:val="008E628E"/>
    <w:rsid w:val="008F1574"/>
    <w:rsid w:val="008F5088"/>
    <w:rsid w:val="009025C8"/>
    <w:rsid w:val="00911842"/>
    <w:rsid w:val="00913474"/>
    <w:rsid w:val="00933E8C"/>
    <w:rsid w:val="00952602"/>
    <w:rsid w:val="009555A2"/>
    <w:rsid w:val="009572EC"/>
    <w:rsid w:val="00957D9A"/>
    <w:rsid w:val="00965A95"/>
    <w:rsid w:val="00980D5E"/>
    <w:rsid w:val="00981C83"/>
    <w:rsid w:val="00987C41"/>
    <w:rsid w:val="009940B2"/>
    <w:rsid w:val="009B2F76"/>
    <w:rsid w:val="009C1BF2"/>
    <w:rsid w:val="009D0862"/>
    <w:rsid w:val="009F1363"/>
    <w:rsid w:val="009F1F98"/>
    <w:rsid w:val="00A02BF6"/>
    <w:rsid w:val="00A22AFE"/>
    <w:rsid w:val="00A40F77"/>
    <w:rsid w:val="00A44487"/>
    <w:rsid w:val="00A56945"/>
    <w:rsid w:val="00A7281F"/>
    <w:rsid w:val="00A75FB7"/>
    <w:rsid w:val="00A80BC0"/>
    <w:rsid w:val="00A92A27"/>
    <w:rsid w:val="00A92F74"/>
    <w:rsid w:val="00AB1162"/>
    <w:rsid w:val="00AB51FC"/>
    <w:rsid w:val="00AB5BD0"/>
    <w:rsid w:val="00AF787B"/>
    <w:rsid w:val="00B01374"/>
    <w:rsid w:val="00B21DBF"/>
    <w:rsid w:val="00B22B97"/>
    <w:rsid w:val="00B26FBD"/>
    <w:rsid w:val="00B44B2C"/>
    <w:rsid w:val="00B719EB"/>
    <w:rsid w:val="00B93C43"/>
    <w:rsid w:val="00B948E7"/>
    <w:rsid w:val="00BA0506"/>
    <w:rsid w:val="00BA5E1B"/>
    <w:rsid w:val="00BA6221"/>
    <w:rsid w:val="00BB06C2"/>
    <w:rsid w:val="00BB0C28"/>
    <w:rsid w:val="00BB5F40"/>
    <w:rsid w:val="00BB6F28"/>
    <w:rsid w:val="00BD771A"/>
    <w:rsid w:val="00BE215F"/>
    <w:rsid w:val="00BE4793"/>
    <w:rsid w:val="00BF161E"/>
    <w:rsid w:val="00C05214"/>
    <w:rsid w:val="00C12531"/>
    <w:rsid w:val="00C333FB"/>
    <w:rsid w:val="00C77BE3"/>
    <w:rsid w:val="00C91757"/>
    <w:rsid w:val="00C933D2"/>
    <w:rsid w:val="00CB25D1"/>
    <w:rsid w:val="00CC72D6"/>
    <w:rsid w:val="00CC78A5"/>
    <w:rsid w:val="00CD1C6A"/>
    <w:rsid w:val="00CD22E1"/>
    <w:rsid w:val="00CD5EF7"/>
    <w:rsid w:val="00CE1C61"/>
    <w:rsid w:val="00CE3A53"/>
    <w:rsid w:val="00CF2305"/>
    <w:rsid w:val="00CF47D8"/>
    <w:rsid w:val="00D032CA"/>
    <w:rsid w:val="00D04BC3"/>
    <w:rsid w:val="00D158DA"/>
    <w:rsid w:val="00D206FA"/>
    <w:rsid w:val="00D22995"/>
    <w:rsid w:val="00D403BE"/>
    <w:rsid w:val="00D76AEC"/>
    <w:rsid w:val="00D8700D"/>
    <w:rsid w:val="00D94D26"/>
    <w:rsid w:val="00DA6829"/>
    <w:rsid w:val="00DC2B6D"/>
    <w:rsid w:val="00DD4A27"/>
    <w:rsid w:val="00DD5C49"/>
    <w:rsid w:val="00DD735D"/>
    <w:rsid w:val="00DE3816"/>
    <w:rsid w:val="00DF087F"/>
    <w:rsid w:val="00E10AA9"/>
    <w:rsid w:val="00E16041"/>
    <w:rsid w:val="00E2081C"/>
    <w:rsid w:val="00E23536"/>
    <w:rsid w:val="00E24CEF"/>
    <w:rsid w:val="00E345E9"/>
    <w:rsid w:val="00E45B16"/>
    <w:rsid w:val="00E54D00"/>
    <w:rsid w:val="00E64ED7"/>
    <w:rsid w:val="00E64EFE"/>
    <w:rsid w:val="00EC0159"/>
    <w:rsid w:val="00ED3A3C"/>
    <w:rsid w:val="00ED5BDF"/>
    <w:rsid w:val="00ED6F20"/>
    <w:rsid w:val="00F0345C"/>
    <w:rsid w:val="00F0483B"/>
    <w:rsid w:val="00F2586E"/>
    <w:rsid w:val="00F27AE5"/>
    <w:rsid w:val="00F3070F"/>
    <w:rsid w:val="00F41502"/>
    <w:rsid w:val="00F4316D"/>
    <w:rsid w:val="00F44EDC"/>
    <w:rsid w:val="00F456F0"/>
    <w:rsid w:val="00F50979"/>
    <w:rsid w:val="00F610D1"/>
    <w:rsid w:val="00F655A8"/>
    <w:rsid w:val="00F75AF0"/>
    <w:rsid w:val="00F822B0"/>
    <w:rsid w:val="00FA7D85"/>
    <w:rsid w:val="00FC29EA"/>
    <w:rsid w:val="00FD12AF"/>
    <w:rsid w:val="00FD1B44"/>
    <w:rsid w:val="00FD3A7E"/>
    <w:rsid w:val="00FE4FD9"/>
    <w:rsid w:val="00FE6308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BB47F3"/>
  <w15:chartTrackingRefBased/>
  <w15:docId w15:val="{AF7C9D03-F51B-40E9-9DE6-312DE436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_INFO"/>
    <w:qFormat/>
    <w:rsid w:val="00BB5F40"/>
    <w:pPr>
      <w:spacing w:after="240" w:line="240" w:lineRule="auto"/>
      <w:jc w:val="both"/>
    </w:pPr>
    <w:rPr>
      <w:sz w:val="21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C41"/>
    <w:pPr>
      <w:keepNext/>
      <w:keepLines/>
      <w:pageBreakBefore/>
      <w:spacing w:before="240" w:after="360"/>
      <w:outlineLvl w:val="0"/>
    </w:pPr>
    <w:rPr>
      <w:rFonts w:asciiTheme="majorHAnsi" w:eastAsiaTheme="majorEastAsia" w:hAnsiTheme="majorHAnsi" w:cstheme="majorBidi"/>
      <w:color w:val="500778"/>
      <w:sz w:val="30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BB5F40"/>
    <w:pPr>
      <w:numPr>
        <w:ilvl w:val="1"/>
        <w:numId w:val="8"/>
      </w:numPr>
      <w:spacing w:before="360" w:after="240"/>
      <w:ind w:left="425" w:hanging="425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6C5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50077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B05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1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55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4CC"/>
    <w:pPr>
      <w:tabs>
        <w:tab w:val="center" w:pos="4513"/>
        <w:tab w:val="right" w:pos="9026"/>
      </w:tabs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0014CC"/>
    <w:rPr>
      <w:rFonts w:ascii="Atlas Grotesk Light" w:hAnsi="Atlas Grotesk Light"/>
      <w:sz w:val="17"/>
      <w:lang w:val="et-EE"/>
    </w:rPr>
  </w:style>
  <w:style w:type="paragraph" w:styleId="Footer">
    <w:name w:val="footer"/>
    <w:link w:val="FooterChar"/>
    <w:uiPriority w:val="99"/>
    <w:unhideWhenUsed/>
    <w:rsid w:val="00AB51FC"/>
    <w:pPr>
      <w:spacing w:before="300" w:after="0" w:line="240" w:lineRule="auto"/>
    </w:pPr>
    <w:rPr>
      <w:sz w:val="18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sid w:val="00AB51FC"/>
    <w:rPr>
      <w:sz w:val="18"/>
      <w:lang w:val="et-EE"/>
    </w:rPr>
  </w:style>
  <w:style w:type="paragraph" w:customStyle="1" w:styleId="MainGrayboxParagraph">
    <w:name w:val="Main_Graybox_Paragraph"/>
    <w:link w:val="MainGrayboxParagraphChar"/>
    <w:qFormat/>
    <w:rsid w:val="00BB5F40"/>
    <w:pPr>
      <w:pBdr>
        <w:top w:val="single" w:sz="4" w:space="15" w:color="F6F6F6"/>
        <w:left w:val="single" w:sz="4" w:space="15" w:color="F6F6F6"/>
        <w:bottom w:val="single" w:sz="4" w:space="15" w:color="F6F6F6"/>
        <w:right w:val="single" w:sz="4" w:space="15" w:color="F6F6F6"/>
      </w:pBdr>
      <w:shd w:val="clear" w:color="auto" w:fill="F6F6F6"/>
      <w:spacing w:line="300" w:lineRule="auto"/>
      <w:ind w:left="284" w:right="284"/>
    </w:pPr>
    <w:rPr>
      <w:sz w:val="21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987C41"/>
    <w:rPr>
      <w:rFonts w:asciiTheme="majorHAnsi" w:eastAsiaTheme="majorEastAsia" w:hAnsiTheme="majorHAnsi" w:cstheme="majorBidi"/>
      <w:color w:val="500778"/>
      <w:sz w:val="30"/>
      <w:szCs w:val="32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rsid w:val="00BB5F40"/>
    <w:rPr>
      <w:rFonts w:asciiTheme="majorHAnsi" w:eastAsiaTheme="majorEastAsia" w:hAnsiTheme="majorHAnsi" w:cstheme="majorBidi"/>
      <w:color w:val="500778"/>
      <w:sz w:val="30"/>
      <w:szCs w:val="26"/>
      <w:lang w:val="et-EE"/>
    </w:rPr>
  </w:style>
  <w:style w:type="paragraph" w:styleId="Title">
    <w:name w:val="Title"/>
    <w:basedOn w:val="Normal"/>
    <w:next w:val="Default"/>
    <w:link w:val="TitleChar"/>
    <w:uiPriority w:val="10"/>
    <w:qFormat/>
    <w:rsid w:val="00BB5F40"/>
    <w:pPr>
      <w:ind w:left="2381"/>
      <w:contextualSpacing/>
    </w:pPr>
    <w:rPr>
      <w:rFonts w:asciiTheme="majorHAnsi" w:eastAsiaTheme="majorEastAsia" w:hAnsiTheme="majorHAnsi" w:cstheme="majorBidi"/>
      <w:color w:val="50077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F40"/>
    <w:rPr>
      <w:rFonts w:asciiTheme="majorHAnsi" w:eastAsiaTheme="majorEastAsia" w:hAnsiTheme="majorHAnsi" w:cstheme="majorBidi"/>
      <w:color w:val="500778"/>
      <w:sz w:val="7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rsid w:val="00AB51FC"/>
    <w:pPr>
      <w:numPr>
        <w:ilvl w:val="1"/>
      </w:numPr>
      <w:spacing w:after="160"/>
      <w:ind w:left="2381"/>
    </w:pPr>
    <w:rPr>
      <w:rFonts w:eastAsiaTheme="minorEastAsia"/>
      <w:color w:val="500778" w:themeColor="accent6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B51FC"/>
    <w:rPr>
      <w:rFonts w:eastAsiaTheme="minorEastAsia"/>
      <w:color w:val="500778" w:themeColor="accent6"/>
      <w:spacing w:val="15"/>
      <w:lang w:val="et-EE"/>
    </w:rPr>
  </w:style>
  <w:style w:type="paragraph" w:customStyle="1" w:styleId="Default">
    <w:name w:val="Default"/>
    <w:rsid w:val="00BB5F40"/>
    <w:pPr>
      <w:autoSpaceDE w:val="0"/>
      <w:autoSpaceDN w:val="0"/>
      <w:adjustRightInd w:val="0"/>
      <w:spacing w:after="240" w:line="300" w:lineRule="auto"/>
    </w:pPr>
    <w:rPr>
      <w:rFonts w:cs="Publico Light"/>
      <w:color w:val="000000"/>
      <w:sz w:val="18"/>
      <w:szCs w:val="24"/>
    </w:rPr>
  </w:style>
  <w:style w:type="paragraph" w:customStyle="1" w:styleId="PageTitleTableOfContent">
    <w:name w:val="Page_Title_TableOfContent"/>
    <w:qFormat/>
    <w:rsid w:val="00AB51FC"/>
    <w:pPr>
      <w:pBdr>
        <w:bottom w:val="single" w:sz="4" w:space="8" w:color="auto"/>
      </w:pBdr>
      <w:spacing w:after="360" w:line="300" w:lineRule="auto"/>
    </w:pPr>
    <w:rPr>
      <w:rFonts w:asciiTheme="majorHAnsi" w:hAnsiTheme="majorHAnsi"/>
      <w:color w:val="5B027A"/>
      <w:sz w:val="30"/>
      <w:szCs w:val="30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2964EC"/>
    <w:pPr>
      <w:ind w:left="720"/>
      <w:contextualSpacing/>
    </w:pPr>
  </w:style>
  <w:style w:type="paragraph" w:styleId="TOC1">
    <w:name w:val="toc 1"/>
    <w:basedOn w:val="Normal"/>
    <w:next w:val="Default"/>
    <w:link w:val="TOC1Char"/>
    <w:autoRedefine/>
    <w:uiPriority w:val="39"/>
    <w:unhideWhenUsed/>
    <w:rsid w:val="00BB5F40"/>
    <w:pPr>
      <w:tabs>
        <w:tab w:val="left" w:pos="284"/>
        <w:tab w:val="right" w:pos="9344"/>
      </w:tabs>
      <w:spacing w:after="360"/>
    </w:pPr>
    <w:rPr>
      <w:rFonts w:asciiTheme="majorHAnsi" w:hAnsiTheme="majorHAnsi"/>
      <w:color w:val="500778"/>
      <w:sz w:val="30"/>
    </w:rPr>
  </w:style>
  <w:style w:type="character" w:styleId="Hyperlink">
    <w:name w:val="Hyperlink"/>
    <w:basedOn w:val="DefaultParagraphFont"/>
    <w:uiPriority w:val="99"/>
    <w:unhideWhenUsed/>
    <w:rsid w:val="002964EC"/>
    <w:rPr>
      <w:color w:val="500778" w:themeColor="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BB5F40"/>
    <w:rPr>
      <w:rFonts w:asciiTheme="majorHAnsi" w:hAnsiTheme="majorHAnsi"/>
      <w:color w:val="500778"/>
      <w:sz w:val="30"/>
      <w:lang w:val="et-EE"/>
    </w:rPr>
  </w:style>
  <w:style w:type="paragraph" w:styleId="TOCHeading">
    <w:name w:val="TOC Heading"/>
    <w:basedOn w:val="Heading1"/>
    <w:next w:val="Normal"/>
    <w:uiPriority w:val="39"/>
    <w:unhideWhenUsed/>
    <w:qFormat/>
    <w:rsid w:val="00AB51FC"/>
    <w:pPr>
      <w:spacing w:line="259" w:lineRule="auto"/>
      <w:outlineLvl w:val="9"/>
    </w:pPr>
    <w:rPr>
      <w:color w:val="3B0559" w:themeColor="accent1" w:themeShade="BF"/>
      <w:sz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B51FC"/>
    <w:pPr>
      <w:spacing w:after="100" w:line="259" w:lineRule="auto"/>
      <w:ind w:left="440"/>
    </w:pPr>
    <w:rPr>
      <w:rFonts w:asciiTheme="majorHAnsi" w:eastAsiaTheme="minorEastAsia" w:hAnsiTheme="majorHAnsi" w:cs="Times New Roman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B5F40"/>
    <w:pPr>
      <w:tabs>
        <w:tab w:val="left" w:pos="993"/>
        <w:tab w:val="right" w:pos="9344"/>
      </w:tabs>
      <w:spacing w:after="360"/>
      <w:ind w:left="426"/>
      <w:contextualSpacing/>
    </w:pPr>
    <w:rPr>
      <w:rFonts w:asciiTheme="majorHAnsi" w:hAnsiTheme="majorHAnsi"/>
      <w:color w:val="500778"/>
      <w:sz w:val="30"/>
    </w:rPr>
  </w:style>
  <w:style w:type="paragraph" w:customStyle="1" w:styleId="MainGrayBoxBulletlist">
    <w:name w:val="Main_GrayBox_Bulletlist"/>
    <w:basedOn w:val="ListParagraph"/>
    <w:link w:val="MainGrayBoxBulletlistChar"/>
    <w:qFormat/>
    <w:rsid w:val="00BB5F40"/>
    <w:pPr>
      <w:numPr>
        <w:numId w:val="11"/>
      </w:numPr>
      <w:pBdr>
        <w:top w:val="single" w:sz="2" w:space="15" w:color="F6F6F6"/>
        <w:left w:val="single" w:sz="2" w:space="15" w:color="F6F6F6"/>
        <w:bottom w:val="single" w:sz="2" w:space="15" w:color="F6F6F6"/>
        <w:right w:val="single" w:sz="2" w:space="15" w:color="F6F6F6"/>
      </w:pBdr>
      <w:shd w:val="clear" w:color="auto" w:fill="F6F6F6"/>
      <w:ind w:left="641" w:right="284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6446C5"/>
    <w:rPr>
      <w:rFonts w:asciiTheme="majorHAnsi" w:eastAsiaTheme="majorEastAsia" w:hAnsiTheme="majorHAnsi" w:cstheme="majorBidi"/>
      <w:color w:val="500778"/>
      <w:sz w:val="21"/>
      <w:szCs w:val="24"/>
      <w:lang w:val="et-E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345C"/>
    <w:rPr>
      <w:rFonts w:ascii="Atlas Grotesk" w:hAnsi="Atlas Grotesk"/>
      <w:sz w:val="17"/>
      <w:lang w:val="et-EE"/>
    </w:rPr>
  </w:style>
  <w:style w:type="character" w:customStyle="1" w:styleId="MainGrayBoxBulletlistChar">
    <w:name w:val="Main_GrayBox_Bulletlist Char"/>
    <w:basedOn w:val="ListParagraphChar"/>
    <w:link w:val="MainGrayBoxBulletlist"/>
    <w:rsid w:val="00BB5F40"/>
    <w:rPr>
      <w:rFonts w:ascii="Atlas Grotesk" w:hAnsi="Atlas Grotesk"/>
      <w:sz w:val="21"/>
      <w:shd w:val="clear" w:color="auto" w:fill="F6F6F6"/>
      <w:lang w:val="et-EE"/>
    </w:rPr>
  </w:style>
  <w:style w:type="character" w:styleId="SubtleReference">
    <w:name w:val="Subtle Reference"/>
    <w:basedOn w:val="DefaultParagraphFont"/>
    <w:uiPriority w:val="31"/>
    <w:qFormat/>
    <w:rsid w:val="00262828"/>
    <w:rPr>
      <w:smallCaps/>
      <w:color w:val="500778" w:themeColor="accent6"/>
    </w:rPr>
  </w:style>
  <w:style w:type="character" w:styleId="IntenseReference">
    <w:name w:val="Intense Reference"/>
    <w:basedOn w:val="DefaultParagraphFont"/>
    <w:uiPriority w:val="32"/>
    <w:qFormat/>
    <w:rsid w:val="00D22995"/>
    <w:rPr>
      <w:b/>
      <w:bCs/>
      <w:smallCaps/>
      <w:color w:val="500778" w:themeColor="accent1"/>
      <w:spacing w:val="5"/>
    </w:rPr>
  </w:style>
  <w:style w:type="paragraph" w:styleId="NoSpacing">
    <w:name w:val="No Spacing"/>
    <w:uiPriority w:val="1"/>
    <w:rsid w:val="00BB5F40"/>
    <w:pPr>
      <w:spacing w:after="0" w:line="240" w:lineRule="auto"/>
    </w:pPr>
    <w:rPr>
      <w:sz w:val="21"/>
      <w:lang w:val="et-EE"/>
    </w:rPr>
  </w:style>
  <w:style w:type="character" w:customStyle="1" w:styleId="MainGrayboxParagraphChar">
    <w:name w:val="Main_Graybox_Paragraph Char"/>
    <w:basedOn w:val="DefaultParagraphFont"/>
    <w:link w:val="MainGrayboxParagraph"/>
    <w:rsid w:val="00BB5F40"/>
    <w:rPr>
      <w:sz w:val="21"/>
      <w:shd w:val="clear" w:color="auto" w:fill="F6F6F6"/>
      <w:lang w:val="et-EE"/>
    </w:rPr>
  </w:style>
  <w:style w:type="paragraph" w:styleId="Quote">
    <w:name w:val="Quote"/>
    <w:basedOn w:val="Normal"/>
    <w:next w:val="Normal"/>
    <w:link w:val="QuoteChar"/>
    <w:uiPriority w:val="29"/>
    <w:rsid w:val="00262828"/>
    <w:pPr>
      <w:spacing w:before="200" w:after="160"/>
      <w:ind w:left="864" w:right="864"/>
      <w:jc w:val="center"/>
    </w:pPr>
    <w:rPr>
      <w:i/>
      <w:iCs/>
      <w:color w:val="500778" w:themeColor="accent6"/>
    </w:rPr>
  </w:style>
  <w:style w:type="character" w:customStyle="1" w:styleId="QuoteChar">
    <w:name w:val="Quote Char"/>
    <w:basedOn w:val="DefaultParagraphFont"/>
    <w:link w:val="Quote"/>
    <w:uiPriority w:val="29"/>
    <w:rsid w:val="00262828"/>
    <w:rPr>
      <w:rFonts w:ascii="Atlas Grotesk Light" w:hAnsi="Atlas Grotesk Light"/>
      <w:i/>
      <w:iCs/>
      <w:color w:val="500778" w:themeColor="accent6"/>
      <w:sz w:val="18"/>
      <w:lang w:val="et-EE"/>
    </w:rPr>
  </w:style>
  <w:style w:type="character" w:styleId="Strong">
    <w:name w:val="Strong"/>
    <w:basedOn w:val="DefaultParagraphFont"/>
    <w:uiPriority w:val="22"/>
    <w:qFormat/>
    <w:rsid w:val="00D229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D22995"/>
    <w:rPr>
      <w:i/>
      <w:iCs/>
      <w:color w:val="500778" w:themeColor="accent1"/>
    </w:rPr>
  </w:style>
  <w:style w:type="character" w:styleId="Emphasis">
    <w:name w:val="Emphasis"/>
    <w:basedOn w:val="DefaultParagraphFont"/>
    <w:uiPriority w:val="20"/>
    <w:qFormat/>
    <w:rsid w:val="00D2299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62828"/>
    <w:rPr>
      <w:i/>
      <w:iCs/>
      <w:color w:val="500778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AB51FC"/>
    <w:rPr>
      <w:rFonts w:asciiTheme="majorHAnsi" w:eastAsiaTheme="majorEastAsia" w:hAnsiTheme="majorHAnsi" w:cstheme="majorBidi"/>
      <w:i/>
      <w:iCs/>
      <w:color w:val="3B0559" w:themeColor="accent1" w:themeShade="BF"/>
      <w:sz w:val="21"/>
      <w:lang w:val="et-EE"/>
    </w:rPr>
  </w:style>
  <w:style w:type="paragraph" w:customStyle="1" w:styleId="Image">
    <w:name w:val="Image"/>
    <w:link w:val="ImageChar"/>
    <w:qFormat/>
    <w:rsid w:val="00AB51FC"/>
    <w:rPr>
      <w:rFonts w:cs="Publico Light"/>
      <w:color w:val="000000"/>
      <w:sz w:val="21"/>
      <w:szCs w:val="24"/>
    </w:rPr>
  </w:style>
  <w:style w:type="paragraph" w:customStyle="1" w:styleId="MainFootnote">
    <w:name w:val="Main_Footnote"/>
    <w:basedOn w:val="Normal"/>
    <w:link w:val="MainFootnoteChar"/>
    <w:qFormat/>
    <w:rsid w:val="00AB51FC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0D2"/>
    <w:rPr>
      <w:sz w:val="20"/>
      <w:szCs w:val="20"/>
    </w:rPr>
  </w:style>
  <w:style w:type="character" w:customStyle="1" w:styleId="MainFootnoteChar">
    <w:name w:val="Main_Footnote Char"/>
    <w:basedOn w:val="DefaultParagraphFont"/>
    <w:link w:val="MainFootnote"/>
    <w:rsid w:val="00AB51FC"/>
    <w:rPr>
      <w:sz w:val="18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0D2"/>
    <w:rPr>
      <w:rFonts w:ascii="Atlas Grotesk" w:hAnsi="Atlas Grotesk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3010D2"/>
    <w:rPr>
      <w:vertAlign w:val="superscript"/>
    </w:rPr>
  </w:style>
  <w:style w:type="character" w:customStyle="1" w:styleId="ImageChar">
    <w:name w:val="Image Char"/>
    <w:basedOn w:val="DefaultParagraphFont"/>
    <w:link w:val="Image"/>
    <w:rsid w:val="00AB51FC"/>
    <w:rPr>
      <w:rFonts w:cs="Publico Light"/>
      <w:color w:val="000000"/>
      <w:sz w:val="21"/>
      <w:szCs w:val="24"/>
    </w:rPr>
  </w:style>
  <w:style w:type="paragraph" w:customStyle="1" w:styleId="ChartTitleFull">
    <w:name w:val="Chart_Title_Full"/>
    <w:basedOn w:val="Normal"/>
    <w:link w:val="ChartTitleFullChar"/>
    <w:qFormat/>
    <w:rsid w:val="00AB51FC"/>
    <w:pPr>
      <w:pBdr>
        <w:bottom w:val="single" w:sz="4" w:space="5" w:color="5B027A"/>
      </w:pBdr>
      <w:spacing w:after="360"/>
    </w:pPr>
    <w:rPr>
      <w:color w:val="5B027A"/>
      <w:sz w:val="16"/>
    </w:rPr>
  </w:style>
  <w:style w:type="paragraph" w:customStyle="1" w:styleId="ChartTitleRight">
    <w:name w:val="Chart_Title_Right"/>
    <w:basedOn w:val="ChartTitleFull"/>
    <w:link w:val="ChartTitleRightChar"/>
    <w:qFormat/>
    <w:rsid w:val="00BB5F40"/>
  </w:style>
  <w:style w:type="character" w:customStyle="1" w:styleId="ChartTitleFullChar">
    <w:name w:val="Chart_Title_Full Char"/>
    <w:basedOn w:val="DefaultParagraphFont"/>
    <w:link w:val="ChartTitleFull"/>
    <w:rsid w:val="00AB51FC"/>
    <w:rPr>
      <w:color w:val="5B027A"/>
      <w:sz w:val="16"/>
      <w:lang w:val="et-EE"/>
    </w:rPr>
  </w:style>
  <w:style w:type="character" w:customStyle="1" w:styleId="ChartTitleRightChar">
    <w:name w:val="Chart_Title_Right Char"/>
    <w:basedOn w:val="ChartTitleFullChar"/>
    <w:link w:val="ChartTitleRight"/>
    <w:rsid w:val="00BB5F40"/>
    <w:rPr>
      <w:color w:val="5B027A"/>
      <w:sz w:val="16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1FC"/>
    <w:rPr>
      <w:rFonts w:asciiTheme="majorHAnsi" w:eastAsiaTheme="majorEastAsia" w:hAnsiTheme="majorHAnsi" w:cstheme="majorBidi"/>
      <w:color w:val="3B0559" w:themeColor="accent1" w:themeShade="BF"/>
      <w:sz w:val="21"/>
      <w:lang w:val="et-EE"/>
    </w:rPr>
  </w:style>
  <w:style w:type="paragraph" w:customStyle="1" w:styleId="MainText">
    <w:name w:val="Main_Text"/>
    <w:basedOn w:val="Normal"/>
    <w:link w:val="MainTextChar"/>
    <w:qFormat/>
    <w:rsid w:val="00DD4A27"/>
    <w:pPr>
      <w:spacing w:line="300" w:lineRule="auto"/>
      <w:jc w:val="left"/>
    </w:pPr>
    <w:rPr>
      <w:sz w:val="20"/>
    </w:rPr>
  </w:style>
  <w:style w:type="character" w:customStyle="1" w:styleId="MainTextChar">
    <w:name w:val="Main_Text Char"/>
    <w:basedOn w:val="DefaultParagraphFont"/>
    <w:link w:val="MainText"/>
    <w:rsid w:val="00DD4A27"/>
    <w:rPr>
      <w:sz w:val="20"/>
      <w:lang w:val="et-EE"/>
    </w:rPr>
  </w:style>
  <w:style w:type="table" w:styleId="TableGrid">
    <w:name w:val="Table Grid"/>
    <w:basedOn w:val="TableNormal"/>
    <w:uiPriority w:val="39"/>
    <w:rsid w:val="008F5088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D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E1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lebov\Documents\Custom%20Office%20Templates\FI%20mallid\Raport_Long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 Light" panose="020F0302020204030204" pitchFamily="34" charset="0"/>
                <a:ea typeface="+mn-ea"/>
                <a:cs typeface="+mn-cs"/>
              </a:defRPr>
            </a:pPr>
            <a:r>
              <a:rPr lang="et-EE" sz="1100" b="1">
                <a:solidFill>
                  <a:schemeClr val="tx2"/>
                </a:solidFill>
                <a:latin typeface="Calibri Light" panose="020F0302020204030204" pitchFamily="34" charset="0"/>
              </a:rPr>
              <a:t>Makseasutuste kvartaalne maksete maht ja arv</a:t>
            </a:r>
          </a:p>
        </c:rich>
      </c:tx>
      <c:layout>
        <c:manualLayout>
          <c:xMode val="edge"/>
          <c:yMode val="edge"/>
          <c:x val="0.1453608032635010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libri Light" panose="020F0302020204030204" pitchFamily="34" charset="0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416637218391432"/>
          <c:y val="0.18936356157651255"/>
          <c:w val="0.70391375128741818"/>
          <c:h val="0.538112159317941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Koond!$B$53</c:f>
              <c:strCache>
                <c:ptCount val="1"/>
                <c:pt idx="0">
                  <c:v>Maksete maht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Koond!$C$52:$AC$52</c:f>
              <c:strCache>
                <c:ptCount val="27"/>
                <c:pt idx="0">
                  <c:v>II 11</c:v>
                </c:pt>
                <c:pt idx="1">
                  <c:v>III 11</c:v>
                </c:pt>
                <c:pt idx="2">
                  <c:v>IV 11</c:v>
                </c:pt>
                <c:pt idx="3">
                  <c:v>I 12</c:v>
                </c:pt>
                <c:pt idx="4">
                  <c:v>II 12</c:v>
                </c:pt>
                <c:pt idx="5">
                  <c:v>III 12</c:v>
                </c:pt>
                <c:pt idx="6">
                  <c:v>IV 12</c:v>
                </c:pt>
                <c:pt idx="7">
                  <c:v>I 13</c:v>
                </c:pt>
                <c:pt idx="8">
                  <c:v>II 13</c:v>
                </c:pt>
                <c:pt idx="9">
                  <c:v>III 13</c:v>
                </c:pt>
                <c:pt idx="10">
                  <c:v>IV 13</c:v>
                </c:pt>
                <c:pt idx="11">
                  <c:v>I 14</c:v>
                </c:pt>
                <c:pt idx="12">
                  <c:v>II 14</c:v>
                </c:pt>
                <c:pt idx="13">
                  <c:v>III 14</c:v>
                </c:pt>
                <c:pt idx="14">
                  <c:v>IV 14</c:v>
                </c:pt>
                <c:pt idx="15">
                  <c:v>I 15</c:v>
                </c:pt>
                <c:pt idx="16">
                  <c:v>II 15</c:v>
                </c:pt>
                <c:pt idx="17">
                  <c:v>III 15</c:v>
                </c:pt>
                <c:pt idx="18">
                  <c:v>IV 15</c:v>
                </c:pt>
                <c:pt idx="19">
                  <c:v>I 16</c:v>
                </c:pt>
                <c:pt idx="20">
                  <c:v>II 16</c:v>
                </c:pt>
                <c:pt idx="21">
                  <c:v>III 16</c:v>
                </c:pt>
                <c:pt idx="22">
                  <c:v>IV 16</c:v>
                </c:pt>
                <c:pt idx="23">
                  <c:v>I 17</c:v>
                </c:pt>
                <c:pt idx="24">
                  <c:v>II 17</c:v>
                </c:pt>
                <c:pt idx="25">
                  <c:v>III 17</c:v>
                </c:pt>
                <c:pt idx="26">
                  <c:v>IV 17</c:v>
                </c:pt>
              </c:strCache>
            </c:strRef>
          </c:cat>
          <c:val>
            <c:numRef>
              <c:f>Koond!$C$53:$AC$53</c:f>
              <c:numCache>
                <c:formatCode>#,##0</c:formatCode>
                <c:ptCount val="27"/>
                <c:pt idx="0">
                  <c:v>210.62957399999999</c:v>
                </c:pt>
                <c:pt idx="1">
                  <c:v>429.41879599999999</c:v>
                </c:pt>
                <c:pt idx="2">
                  <c:v>486.42327899999998</c:v>
                </c:pt>
                <c:pt idx="3">
                  <c:v>296.32604499999997</c:v>
                </c:pt>
                <c:pt idx="4">
                  <c:v>230.24254999999999</c:v>
                </c:pt>
                <c:pt idx="5">
                  <c:v>260.18868700000002</c:v>
                </c:pt>
                <c:pt idx="6">
                  <c:v>276.894069</c:v>
                </c:pt>
                <c:pt idx="7">
                  <c:v>200.941723</c:v>
                </c:pt>
                <c:pt idx="8">
                  <c:v>212.388215</c:v>
                </c:pt>
                <c:pt idx="9">
                  <c:v>258.04092800000001</c:v>
                </c:pt>
                <c:pt idx="10">
                  <c:v>329.49565500000006</c:v>
                </c:pt>
                <c:pt idx="11">
                  <c:v>240.96081899999999</c:v>
                </c:pt>
                <c:pt idx="12">
                  <c:v>212.80840799999999</c:v>
                </c:pt>
                <c:pt idx="13">
                  <c:v>224.57479599999999</c:v>
                </c:pt>
                <c:pt idx="14">
                  <c:v>237.31239000000002</c:v>
                </c:pt>
                <c:pt idx="15">
                  <c:v>209.19</c:v>
                </c:pt>
                <c:pt idx="16">
                  <c:v>210.88399999999999</c:v>
                </c:pt>
                <c:pt idx="17">
                  <c:v>267.17918300000002</c:v>
                </c:pt>
                <c:pt idx="18">
                  <c:v>199.291853</c:v>
                </c:pt>
                <c:pt idx="19">
                  <c:v>94.397970000000001</c:v>
                </c:pt>
                <c:pt idx="20">
                  <c:v>102.191367</c:v>
                </c:pt>
                <c:pt idx="21">
                  <c:v>106.745829</c:v>
                </c:pt>
                <c:pt idx="22">
                  <c:v>128.185698</c:v>
                </c:pt>
                <c:pt idx="23" formatCode="0">
                  <c:v>103.71097</c:v>
                </c:pt>
                <c:pt idx="24" formatCode="0">
                  <c:v>80.713380000000001</c:v>
                </c:pt>
                <c:pt idx="25" formatCode="0">
                  <c:v>73.189358999999996</c:v>
                </c:pt>
                <c:pt idx="26" formatCode="0">
                  <c:v>127.944564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FC-407D-AD3C-7C31239B52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377043664"/>
        <c:axId val="377044056"/>
      </c:barChart>
      <c:lineChart>
        <c:grouping val="standard"/>
        <c:varyColors val="0"/>
        <c:ser>
          <c:idx val="1"/>
          <c:order val="1"/>
          <c:tx>
            <c:strRef>
              <c:f>Koond!$B$55</c:f>
              <c:strCache>
                <c:ptCount val="1"/>
                <c:pt idx="0">
                  <c:v>Maksete arv</c:v>
                </c:pt>
              </c:strCache>
            </c:strRef>
          </c:tx>
          <c:spPr>
            <a:ln w="254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Koond!$C$52:$AC$52</c:f>
              <c:strCache>
                <c:ptCount val="27"/>
                <c:pt idx="0">
                  <c:v>II 11</c:v>
                </c:pt>
                <c:pt idx="1">
                  <c:v>III 11</c:v>
                </c:pt>
                <c:pt idx="2">
                  <c:v>IV 11</c:v>
                </c:pt>
                <c:pt idx="3">
                  <c:v>I 12</c:v>
                </c:pt>
                <c:pt idx="4">
                  <c:v>II 12</c:v>
                </c:pt>
                <c:pt idx="5">
                  <c:v>III 12</c:v>
                </c:pt>
                <c:pt idx="6">
                  <c:v>IV 12</c:v>
                </c:pt>
                <c:pt idx="7">
                  <c:v>I 13</c:v>
                </c:pt>
                <c:pt idx="8">
                  <c:v>II 13</c:v>
                </c:pt>
                <c:pt idx="9">
                  <c:v>III 13</c:v>
                </c:pt>
                <c:pt idx="10">
                  <c:v>IV 13</c:v>
                </c:pt>
                <c:pt idx="11">
                  <c:v>I 14</c:v>
                </c:pt>
                <c:pt idx="12">
                  <c:v>II 14</c:v>
                </c:pt>
                <c:pt idx="13">
                  <c:v>III 14</c:v>
                </c:pt>
                <c:pt idx="14">
                  <c:v>IV 14</c:v>
                </c:pt>
                <c:pt idx="15">
                  <c:v>I 15</c:v>
                </c:pt>
                <c:pt idx="16">
                  <c:v>II 15</c:v>
                </c:pt>
                <c:pt idx="17">
                  <c:v>III 15</c:v>
                </c:pt>
                <c:pt idx="18">
                  <c:v>IV 15</c:v>
                </c:pt>
                <c:pt idx="19">
                  <c:v>I 16</c:v>
                </c:pt>
                <c:pt idx="20">
                  <c:v>II 16</c:v>
                </c:pt>
                <c:pt idx="21">
                  <c:v>III 16</c:v>
                </c:pt>
                <c:pt idx="22">
                  <c:v>IV 16</c:v>
                </c:pt>
                <c:pt idx="23">
                  <c:v>I 17</c:v>
                </c:pt>
                <c:pt idx="24">
                  <c:v>II 17</c:v>
                </c:pt>
                <c:pt idx="25">
                  <c:v>III 17</c:v>
                </c:pt>
                <c:pt idx="26">
                  <c:v>IV 17</c:v>
                </c:pt>
              </c:strCache>
            </c:strRef>
          </c:cat>
          <c:val>
            <c:numRef>
              <c:f>Koond!$C$55:$AC$55</c:f>
              <c:numCache>
                <c:formatCode>0</c:formatCode>
                <c:ptCount val="27"/>
                <c:pt idx="0">
                  <c:v>5.6609999999999996</c:v>
                </c:pt>
                <c:pt idx="1">
                  <c:v>8.0579999999999998</c:v>
                </c:pt>
                <c:pt idx="2">
                  <c:v>10.342000000000001</c:v>
                </c:pt>
                <c:pt idx="3">
                  <c:v>39.5</c:v>
                </c:pt>
                <c:pt idx="4">
                  <c:v>88.891000000000005</c:v>
                </c:pt>
                <c:pt idx="5">
                  <c:v>131.96899999999999</c:v>
                </c:pt>
                <c:pt idx="6">
                  <c:v>169.738</c:v>
                </c:pt>
                <c:pt idx="7">
                  <c:v>193.58199999999999</c:v>
                </c:pt>
                <c:pt idx="8">
                  <c:v>242.267</c:v>
                </c:pt>
                <c:pt idx="9">
                  <c:v>261.202</c:v>
                </c:pt>
                <c:pt idx="10">
                  <c:v>319.14600000000002</c:v>
                </c:pt>
                <c:pt idx="11" formatCode="#,##0">
                  <c:v>336.03399999999999</c:v>
                </c:pt>
                <c:pt idx="12" formatCode="#,##0">
                  <c:v>398.96699999999998</c:v>
                </c:pt>
                <c:pt idx="13" formatCode="#,##0">
                  <c:v>445.399</c:v>
                </c:pt>
                <c:pt idx="14" formatCode="#,##0">
                  <c:v>528.68899999999996</c:v>
                </c:pt>
                <c:pt idx="15" formatCode="#,##0">
                  <c:v>541.97299999999996</c:v>
                </c:pt>
                <c:pt idx="16" formatCode="#,##0">
                  <c:v>633.46699999999998</c:v>
                </c:pt>
                <c:pt idx="17" formatCode="#,##0">
                  <c:v>666.33199999999999</c:v>
                </c:pt>
                <c:pt idx="18" formatCode="#,##0">
                  <c:v>718.78599999999994</c:v>
                </c:pt>
                <c:pt idx="19" formatCode="#,##0">
                  <c:v>720.98500000000001</c:v>
                </c:pt>
                <c:pt idx="20" formatCode="#,##0">
                  <c:v>846.85699999999997</c:v>
                </c:pt>
                <c:pt idx="21" formatCode="#,##0">
                  <c:v>899.23299999999995</c:v>
                </c:pt>
                <c:pt idx="22" formatCode="#,##0">
                  <c:v>903.29</c:v>
                </c:pt>
                <c:pt idx="23">
                  <c:v>900.27099999999996</c:v>
                </c:pt>
                <c:pt idx="24">
                  <c:v>997.35199999999998</c:v>
                </c:pt>
                <c:pt idx="25">
                  <c:v>986.60400000000004</c:v>
                </c:pt>
                <c:pt idx="26">
                  <c:v>1048.106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FC-407D-AD3C-7C31239B52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7044448"/>
        <c:axId val="373501912"/>
      </c:lineChart>
      <c:catAx>
        <c:axId val="37704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Calibri Light" panose="020F0302020204030204" pitchFamily="34" charset="0"/>
                <a:ea typeface="+mn-ea"/>
                <a:cs typeface="+mn-cs"/>
              </a:defRPr>
            </a:pPr>
            <a:endParaRPr lang="et-EE"/>
          </a:p>
        </c:txPr>
        <c:crossAx val="377044056"/>
        <c:crosses val="autoZero"/>
        <c:auto val="1"/>
        <c:lblAlgn val="ctr"/>
        <c:lblOffset val="100"/>
        <c:tickLblSkip val="3"/>
        <c:tickMarkSkip val="1"/>
        <c:noMultiLvlLbl val="0"/>
      </c:catAx>
      <c:valAx>
        <c:axId val="377044056"/>
        <c:scaling>
          <c:orientation val="minMax"/>
          <c:max val="500"/>
        </c:scaling>
        <c:delete val="0"/>
        <c:axPos val="l"/>
        <c:majorGridlines>
          <c:spPr>
            <a:ln w="6350" cap="flat" cmpd="sng" algn="ctr">
              <a:solidFill>
                <a:sysClr val="window" lastClr="FFFFFF">
                  <a:lumMod val="85000"/>
                </a:sys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Calibri Light" panose="020F0302020204030204" pitchFamily="34" charset="0"/>
                    <a:ea typeface="+mn-ea"/>
                    <a:cs typeface="+mn-cs"/>
                  </a:defRPr>
                </a:pPr>
                <a:r>
                  <a:rPr lang="et-EE" sz="900">
                    <a:solidFill>
                      <a:schemeClr val="tx2"/>
                    </a:solidFill>
                    <a:latin typeface="Calibri Light" panose="020F0302020204030204" pitchFamily="34" charset="0"/>
                  </a:rPr>
                  <a:t>Maht, mln eurot</a:t>
                </a:r>
              </a:p>
            </c:rich>
          </c:tx>
          <c:layout>
            <c:manualLayout>
              <c:xMode val="edge"/>
              <c:yMode val="edge"/>
              <c:x val="2.1689403940561834E-3"/>
              <c:y val="0.252923611111111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Calibri Light" panose="020F0302020204030204" pitchFamily="34" charset="0"/>
                  <a:ea typeface="+mn-ea"/>
                  <a:cs typeface="+mn-cs"/>
                </a:defRPr>
              </a:pPr>
              <a:endParaRPr lang="et-EE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Calibri Light" panose="020F0302020204030204" pitchFamily="34" charset="0"/>
                <a:ea typeface="+mn-ea"/>
                <a:cs typeface="+mn-cs"/>
              </a:defRPr>
            </a:pPr>
            <a:endParaRPr lang="et-EE"/>
          </a:p>
        </c:txPr>
        <c:crossAx val="377043664"/>
        <c:crosses val="autoZero"/>
        <c:crossBetween val="between"/>
        <c:majorUnit val="100"/>
      </c:valAx>
      <c:catAx>
        <c:axId val="3770444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73501912"/>
        <c:crosses val="autoZero"/>
        <c:auto val="1"/>
        <c:lblAlgn val="ctr"/>
        <c:lblOffset val="100"/>
        <c:noMultiLvlLbl val="0"/>
      </c:catAx>
      <c:valAx>
        <c:axId val="37350191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Calibri Light" panose="020F0302020204030204" pitchFamily="34" charset="0"/>
                    <a:ea typeface="+mn-ea"/>
                    <a:cs typeface="+mn-cs"/>
                  </a:defRPr>
                </a:pPr>
                <a:r>
                  <a:rPr lang="et-EE" sz="900">
                    <a:solidFill>
                      <a:schemeClr val="tx2"/>
                    </a:solidFill>
                    <a:latin typeface="Calibri Light" panose="020F0302020204030204" pitchFamily="34" charset="0"/>
                  </a:rPr>
                  <a:t>Arv, tuh tk</a:t>
                </a:r>
              </a:p>
            </c:rich>
          </c:tx>
          <c:layout>
            <c:manualLayout>
              <c:xMode val="edge"/>
              <c:yMode val="edge"/>
              <c:x val="0.96041087918101853"/>
              <c:y val="0.219001851851851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Calibri Light" panose="020F0302020204030204" pitchFamily="34" charset="0"/>
                  <a:ea typeface="+mn-ea"/>
                  <a:cs typeface="+mn-cs"/>
                </a:defRPr>
              </a:pPr>
              <a:endParaRPr lang="et-EE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Calibri Light" panose="020F0302020204030204" pitchFamily="34" charset="0"/>
                <a:ea typeface="+mn-ea"/>
                <a:cs typeface="+mn-cs"/>
              </a:defRPr>
            </a:pPr>
            <a:endParaRPr lang="et-EE"/>
          </a:p>
        </c:txPr>
        <c:crossAx val="377044448"/>
        <c:crosses val="max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6764245458426694E-2"/>
          <c:y val="0.90622268518518523"/>
          <c:w val="0.81120545925976495"/>
          <c:h val="9.37773148148148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Calibri Light" panose="020F0302020204030204" pitchFamily="34" charset="0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t-E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t-EE" sz="1100" b="1">
                <a:latin typeface="Calibri Light" panose="020F0302020204030204" pitchFamily="34" charset="0"/>
              </a:rPr>
              <a:t>Makseasutuste sektori kasum ja omakapitali tootlikkus</a:t>
            </a:r>
          </a:p>
        </c:rich>
      </c:tx>
      <c:layout>
        <c:manualLayout>
          <c:xMode val="edge"/>
          <c:yMode val="edge"/>
          <c:x val="0.17142984461407521"/>
          <c:y val="1.79265013444875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0268482993106336"/>
          <c:y val="0.18530026889752016"/>
          <c:w val="0.78223630365389385"/>
          <c:h val="0.569567293780539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'ROE alates 2012'!$BL$21</c:f>
              <c:strCache>
                <c:ptCount val="1"/>
                <c:pt idx="0">
                  <c:v>kasum/kahjum (vasak telg)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'ROE alates 2012'!$BM$20:$BR$20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'ROE alates 2012'!$BM$21:$BR$21</c:f>
              <c:numCache>
                <c:formatCode>#,##0</c:formatCode>
                <c:ptCount val="6"/>
                <c:pt idx="0">
                  <c:v>580897</c:v>
                </c:pt>
                <c:pt idx="1">
                  <c:v>-1761264</c:v>
                </c:pt>
                <c:pt idx="2">
                  <c:v>3951458</c:v>
                </c:pt>
                <c:pt idx="3">
                  <c:v>467529</c:v>
                </c:pt>
                <c:pt idx="4">
                  <c:v>1122508</c:v>
                </c:pt>
                <c:pt idx="5">
                  <c:v>1924469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4D-4B70-85DB-887E65ACB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3502696"/>
        <c:axId val="373503088"/>
      </c:barChart>
      <c:lineChart>
        <c:grouping val="standard"/>
        <c:varyColors val="0"/>
        <c:ser>
          <c:idx val="1"/>
          <c:order val="1"/>
          <c:tx>
            <c:strRef>
              <c:f>'ROE alates 2012'!$BL$22</c:f>
              <c:strCache>
                <c:ptCount val="1"/>
                <c:pt idx="0">
                  <c:v>omakapitali tootlikkus (parem telg)</c:v>
                </c:pt>
              </c:strCache>
            </c:strRef>
          </c:tx>
          <c:spPr>
            <a:ln w="22225" cap="rnd">
              <a:solidFill>
                <a:srgbClr val="500778"/>
              </a:solidFill>
              <a:round/>
            </a:ln>
            <a:effectLst/>
          </c:spPr>
          <c:marker>
            <c:symbol val="none"/>
          </c:marker>
          <c:cat>
            <c:numRef>
              <c:f>'ROE alates 2012'!$BM$20:$BR$20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'ROE alates 2012'!$BM$22:$BR$22</c:f>
              <c:numCache>
                <c:formatCode>0%</c:formatCode>
                <c:ptCount val="6"/>
                <c:pt idx="0">
                  <c:v>5.1857860993851548E-2</c:v>
                </c:pt>
                <c:pt idx="1">
                  <c:v>-4.5852138029367481E-2</c:v>
                </c:pt>
                <c:pt idx="2">
                  <c:v>0.10167549435393954</c:v>
                </c:pt>
                <c:pt idx="3">
                  <c:v>4.9035561363748377E-2</c:v>
                </c:pt>
                <c:pt idx="4">
                  <c:v>8.5724313450990158E-2</c:v>
                </c:pt>
                <c:pt idx="5" formatCode="0.0%">
                  <c:v>0.12767257179790523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4D-4B70-85DB-887E65ACB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503872"/>
        <c:axId val="373503480"/>
      </c:lineChart>
      <c:catAx>
        <c:axId val="373502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Calibri Light" panose="020F0302020204030204" pitchFamily="34" charset="0"/>
                <a:ea typeface="+mn-ea"/>
                <a:cs typeface="+mn-cs"/>
              </a:defRPr>
            </a:pPr>
            <a:endParaRPr lang="et-EE"/>
          </a:p>
        </c:txPr>
        <c:crossAx val="373503088"/>
        <c:crossesAt val="0"/>
        <c:auto val="1"/>
        <c:lblAlgn val="ctr"/>
        <c:lblOffset val="100"/>
        <c:noMultiLvlLbl val="0"/>
      </c:catAx>
      <c:valAx>
        <c:axId val="373503088"/>
        <c:scaling>
          <c:orientation val="minMax"/>
          <c:min val="-200000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Calibri Light" panose="020F0302020204030204" pitchFamily="34" charset="0"/>
                <a:ea typeface="+mn-ea"/>
                <a:cs typeface="+mn-cs"/>
              </a:defRPr>
            </a:pPr>
            <a:endParaRPr lang="et-EE"/>
          </a:p>
        </c:txPr>
        <c:crossAx val="373502696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1.1691153206867816E-2"/>
                <c:y val="0.37597237154438451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Calibri Light" panose="020F0302020204030204" pitchFamily="34" charset="0"/>
                      <a:ea typeface="+mn-ea"/>
                      <a:cs typeface="+mn-cs"/>
                    </a:defRPr>
                  </a:pPr>
                  <a:r>
                    <a:rPr lang="et-EE">
                      <a:latin typeface="Calibri Light" panose="020F0302020204030204" pitchFamily="34" charset="0"/>
                    </a:rPr>
                    <a:t>mln eurodes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Calibri Light" panose="020F0302020204030204" pitchFamily="34" charset="0"/>
                    <a:ea typeface="+mn-ea"/>
                    <a:cs typeface="+mn-cs"/>
                  </a:defRPr>
                </a:pPr>
                <a:endParaRPr lang="et-EE"/>
              </a:p>
            </c:txPr>
          </c:dispUnitsLbl>
        </c:dispUnits>
      </c:valAx>
      <c:valAx>
        <c:axId val="373503480"/>
        <c:scaling>
          <c:orientation val="minMax"/>
          <c:max val="0.15000000000000002"/>
          <c:min val="-6.0000000000000012E-2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Calibri Light" panose="020F0302020204030204" pitchFamily="34" charset="0"/>
                <a:ea typeface="+mn-ea"/>
                <a:cs typeface="+mn-cs"/>
              </a:defRPr>
            </a:pPr>
            <a:endParaRPr lang="et-EE"/>
          </a:p>
        </c:txPr>
        <c:crossAx val="373503872"/>
        <c:crosses val="max"/>
        <c:crossBetween val="between"/>
        <c:majorUnit val="3.0000000000000006E-2"/>
      </c:valAx>
      <c:catAx>
        <c:axId val="3735038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73503480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840361423412904E-3"/>
          <c:y val="0.86674822205336088"/>
          <c:w val="0.98777737672434418"/>
          <c:h val="0.133251777946639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Calibri Light" panose="020F0302020204030204" pitchFamily="34" charset="0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2"/>
          </a:solidFill>
          <a:latin typeface="+mn-lt"/>
        </a:defRPr>
      </a:pPr>
      <a:endParaRPr lang="et-E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rgbClr val="500778"/>
      </a:dk1>
      <a:lt1>
        <a:sysClr val="window" lastClr="FFFFFF"/>
      </a:lt1>
      <a:dk2>
        <a:srgbClr val="500778"/>
      </a:dk2>
      <a:lt2>
        <a:srgbClr val="FFFFFF"/>
      </a:lt2>
      <a:accent1>
        <a:srgbClr val="500778"/>
      </a:accent1>
      <a:accent2>
        <a:srgbClr val="00BB4A"/>
      </a:accent2>
      <a:accent3>
        <a:srgbClr val="FA5C1D"/>
      </a:accent3>
      <a:accent4>
        <a:srgbClr val="0037F5"/>
      </a:accent4>
      <a:accent5>
        <a:srgbClr val="C66EF6"/>
      </a:accent5>
      <a:accent6>
        <a:srgbClr val="500778"/>
      </a:accent6>
      <a:hlink>
        <a:srgbClr val="500778"/>
      </a:hlink>
      <a:folHlink>
        <a:srgbClr val="500778"/>
      </a:folHlink>
    </a:clrScheme>
    <a:fontScheme name="FI_Georgia+CalibriLight">
      <a:majorFont>
        <a:latin typeface="Georgia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FI stiil õige">
    <a:dk1>
      <a:sysClr val="windowText" lastClr="000000"/>
    </a:dk1>
    <a:lt1>
      <a:sysClr val="window" lastClr="FFFFFF"/>
    </a:lt1>
    <a:dk2>
      <a:srgbClr val="3C055A"/>
    </a:dk2>
    <a:lt2>
      <a:srgbClr val="FFFFFF"/>
    </a:lt2>
    <a:accent1>
      <a:srgbClr val="500778"/>
    </a:accent1>
    <a:accent2>
      <a:srgbClr val="00BB4A"/>
    </a:accent2>
    <a:accent3>
      <a:srgbClr val="FA5C1D"/>
    </a:accent3>
    <a:accent4>
      <a:srgbClr val="0037F5"/>
    </a:accent4>
    <a:accent5>
      <a:srgbClr val="000000"/>
    </a:accent5>
    <a:accent6>
      <a:srgbClr val="7F7F7F"/>
    </a:accent6>
    <a:hlink>
      <a:srgbClr val="00BB4A"/>
    </a:hlink>
    <a:folHlink>
      <a:srgbClr val="C66EF6"/>
    </a:folHlink>
  </a:clrScheme>
  <a:fontScheme name="FI font">
    <a:majorFont>
      <a:latin typeface="Atlas Grotesk"/>
      <a:ea typeface=""/>
      <a:cs typeface=""/>
    </a:majorFont>
    <a:minorFont>
      <a:latin typeface="Atlas Grotesk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FI stiil õige">
    <a:dk1>
      <a:sysClr val="windowText" lastClr="000000"/>
    </a:dk1>
    <a:lt1>
      <a:sysClr val="window" lastClr="FFFFFF"/>
    </a:lt1>
    <a:dk2>
      <a:srgbClr val="3C055A"/>
    </a:dk2>
    <a:lt2>
      <a:srgbClr val="FFFFFF"/>
    </a:lt2>
    <a:accent1>
      <a:srgbClr val="500778"/>
    </a:accent1>
    <a:accent2>
      <a:srgbClr val="00BB4A"/>
    </a:accent2>
    <a:accent3>
      <a:srgbClr val="FA5C1D"/>
    </a:accent3>
    <a:accent4>
      <a:srgbClr val="0037F5"/>
    </a:accent4>
    <a:accent5>
      <a:srgbClr val="000000"/>
    </a:accent5>
    <a:accent6>
      <a:srgbClr val="7F7F7F"/>
    </a:accent6>
    <a:hlink>
      <a:srgbClr val="00BB4A"/>
    </a:hlink>
    <a:folHlink>
      <a:srgbClr val="C66EF6"/>
    </a:folHlink>
  </a:clrScheme>
  <a:fontScheme name="FI font">
    <a:majorFont>
      <a:latin typeface="Atlas Grotesk"/>
      <a:ea typeface=""/>
      <a:cs typeface=""/>
    </a:majorFont>
    <a:minorFont>
      <a:latin typeface="Atlas Grotesk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B7F1-70A6-4043-8A45-939330CA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Raport_Long</Template>
  <TotalTime>4</TotalTime>
  <Pages>1</Pages>
  <Words>185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Hlebov</dc:creator>
  <cp:keywords/>
  <dc:description/>
  <cp:lastModifiedBy>Piret Lakson</cp:lastModifiedBy>
  <cp:revision>6</cp:revision>
  <cp:lastPrinted>2018-04-26T11:38:00Z</cp:lastPrinted>
  <dcterms:created xsi:type="dcterms:W3CDTF">2018-04-26T11:00:00Z</dcterms:created>
  <dcterms:modified xsi:type="dcterms:W3CDTF">2018-05-14T10:30:00Z</dcterms:modified>
</cp:coreProperties>
</file>