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399" w:rsidRPr="0036611D" w:rsidRDefault="002E6399" w:rsidP="002E6399">
      <w:pPr>
        <w:rPr>
          <w:rFonts w:ascii="Publico Headline" w:hAnsi="Publico Headline"/>
          <w:color w:val="500778"/>
          <w:sz w:val="28"/>
          <w:szCs w:val="28"/>
        </w:rPr>
      </w:pPr>
      <w:bookmarkStart w:id="0" w:name="_Toc477508438"/>
      <w:bookmarkStart w:id="1" w:name="_Toc497464175"/>
      <w:bookmarkStart w:id="2" w:name="_Toc497464409"/>
      <w:bookmarkStart w:id="3" w:name="_Toc507671951"/>
      <w:r w:rsidRPr="0036611D">
        <w:rPr>
          <w:rFonts w:ascii="Publico Headline" w:hAnsi="Publico Headline"/>
          <w:color w:val="500778"/>
          <w:sz w:val="28"/>
          <w:szCs w:val="28"/>
        </w:rPr>
        <w:t>Pangandussektori I</w:t>
      </w:r>
      <w:r w:rsidR="006D6FB3">
        <w:rPr>
          <w:rFonts w:ascii="Publico Headline" w:hAnsi="Publico Headline"/>
          <w:color w:val="500778"/>
          <w:sz w:val="28"/>
          <w:szCs w:val="28"/>
        </w:rPr>
        <w:t>V</w:t>
      </w:r>
      <w:r w:rsidRPr="0036611D">
        <w:rPr>
          <w:rFonts w:ascii="Publico Headline" w:hAnsi="Publico Headline"/>
          <w:color w:val="500778"/>
          <w:sz w:val="28"/>
          <w:szCs w:val="28"/>
        </w:rPr>
        <w:t xml:space="preserve"> kvartali 2017 ülevaade</w:t>
      </w:r>
    </w:p>
    <w:tbl>
      <w:tblPr>
        <w:tblStyle w:val="TableGrid"/>
        <w:tblpPr w:leftFromText="180" w:rightFromText="180" w:vertAnchor="text" w:tblpY="1"/>
        <w:tblW w:w="47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1467"/>
        <w:gridCol w:w="490"/>
        <w:gridCol w:w="1698"/>
      </w:tblGrid>
      <w:tr w:rsidR="005B6467" w:rsidRPr="000B1684" w:rsidTr="000159DD">
        <w:tc>
          <w:tcPr>
            <w:tcW w:w="2957" w:type="pct"/>
          </w:tcPr>
          <w:p w:rsidR="005B6467" w:rsidRPr="000B1684" w:rsidRDefault="005B6467" w:rsidP="000159DD">
            <w:pPr>
              <w:spacing w:before="0" w:after="0" w:line="276" w:lineRule="auto"/>
              <w:rPr>
                <w:rFonts w:asciiTheme="minorHAnsi" w:hAnsiTheme="minorHAnsi"/>
                <w:sz w:val="20"/>
              </w:rPr>
            </w:pPr>
          </w:p>
        </w:tc>
        <w:tc>
          <w:tcPr>
            <w:tcW w:w="830" w:type="pct"/>
          </w:tcPr>
          <w:p w:rsidR="005B6467" w:rsidRPr="0036026D" w:rsidRDefault="005B6467" w:rsidP="000159DD">
            <w:pPr>
              <w:spacing w:before="0" w:after="0" w:line="276" w:lineRule="auto"/>
              <w:jc w:val="left"/>
              <w:rPr>
                <w:rFonts w:asciiTheme="minorHAnsi" w:hAnsiTheme="minorHAnsi"/>
                <w:b/>
                <w:bCs/>
                <w:smallCaps/>
                <w:color w:val="500778" w:themeColor="accent1"/>
                <w:spacing w:val="5"/>
                <w:szCs w:val="21"/>
              </w:rPr>
            </w:pPr>
            <w:r w:rsidRPr="0036026D">
              <w:rPr>
                <w:rFonts w:asciiTheme="minorHAnsi" w:hAnsiTheme="minorHAnsi"/>
                <w:b/>
                <w:bCs/>
                <w:smallCaps/>
                <w:color w:val="500778" w:themeColor="accent1"/>
                <w:spacing w:val="5"/>
                <w:szCs w:val="21"/>
              </w:rPr>
              <w:t>III kv 2017</w:t>
            </w:r>
          </w:p>
        </w:tc>
        <w:tc>
          <w:tcPr>
            <w:tcW w:w="253" w:type="pct"/>
          </w:tcPr>
          <w:p w:rsidR="005B6467" w:rsidRPr="0036026D" w:rsidRDefault="005B6467" w:rsidP="000159DD">
            <w:pPr>
              <w:spacing w:before="0" w:after="0" w:line="276" w:lineRule="auto"/>
              <w:rPr>
                <w:rFonts w:asciiTheme="minorHAnsi" w:hAnsiTheme="minorHAnsi"/>
                <w:szCs w:val="21"/>
              </w:rPr>
            </w:pPr>
          </w:p>
        </w:tc>
        <w:tc>
          <w:tcPr>
            <w:tcW w:w="960" w:type="pct"/>
          </w:tcPr>
          <w:p w:rsidR="005B6467" w:rsidRPr="0036026D" w:rsidRDefault="005B6467" w:rsidP="000159DD">
            <w:pPr>
              <w:spacing w:before="0" w:after="0" w:line="276" w:lineRule="auto"/>
              <w:jc w:val="left"/>
              <w:rPr>
                <w:rFonts w:asciiTheme="minorHAnsi" w:hAnsiTheme="minorHAnsi"/>
                <w:b/>
                <w:bCs/>
                <w:smallCaps/>
                <w:color w:val="500778" w:themeColor="accent1"/>
                <w:spacing w:val="5"/>
                <w:szCs w:val="21"/>
              </w:rPr>
            </w:pPr>
            <w:r w:rsidRPr="0036026D">
              <w:rPr>
                <w:rFonts w:asciiTheme="minorHAnsi" w:hAnsiTheme="minorHAnsi"/>
                <w:b/>
                <w:bCs/>
                <w:smallCaps/>
                <w:color w:val="500778" w:themeColor="accent1"/>
                <w:spacing w:val="5"/>
                <w:szCs w:val="21"/>
              </w:rPr>
              <w:t>IV kv 2017</w:t>
            </w:r>
          </w:p>
        </w:tc>
      </w:tr>
      <w:tr w:rsidR="005B6467" w:rsidRPr="0036026D" w:rsidTr="000159DD">
        <w:tc>
          <w:tcPr>
            <w:tcW w:w="2957" w:type="pct"/>
          </w:tcPr>
          <w:p w:rsidR="005B6467" w:rsidRPr="0036026D" w:rsidRDefault="005B6467" w:rsidP="000159DD">
            <w:pPr>
              <w:numPr>
                <w:ilvl w:val="0"/>
                <w:numId w:val="13"/>
              </w:numPr>
              <w:spacing w:before="0" w:after="0" w:line="276" w:lineRule="auto"/>
              <w:ind w:left="150" w:hanging="270"/>
              <w:contextualSpacing/>
              <w:jc w:val="left"/>
              <w:rPr>
                <w:rFonts w:asciiTheme="minorHAnsi" w:hAnsiTheme="minorHAnsi"/>
                <w:szCs w:val="21"/>
              </w:rPr>
            </w:pPr>
            <w:r w:rsidRPr="0036026D">
              <w:rPr>
                <w:rFonts w:asciiTheme="minorHAnsi" w:hAnsiTheme="minorHAnsi"/>
                <w:szCs w:val="21"/>
              </w:rPr>
              <w:t>Laenujäägi aastakasv</w:t>
            </w:r>
          </w:p>
        </w:tc>
        <w:tc>
          <w:tcPr>
            <w:tcW w:w="830" w:type="pct"/>
          </w:tcPr>
          <w:p w:rsidR="005B6467" w:rsidRPr="0036026D" w:rsidRDefault="005B6467" w:rsidP="000159DD">
            <w:pPr>
              <w:spacing w:before="0" w:after="0" w:line="276" w:lineRule="auto"/>
              <w:jc w:val="left"/>
              <w:rPr>
                <w:rFonts w:asciiTheme="minorHAnsi" w:hAnsiTheme="minorHAnsi"/>
                <w:szCs w:val="21"/>
              </w:rPr>
            </w:pPr>
            <w:r w:rsidRPr="0036026D">
              <w:rPr>
                <w:rFonts w:asciiTheme="minorHAnsi" w:hAnsiTheme="minorHAnsi"/>
                <w:szCs w:val="21"/>
              </w:rPr>
              <w:t>1,4%</w:t>
            </w:r>
          </w:p>
        </w:tc>
        <w:tc>
          <w:tcPr>
            <w:tcW w:w="253" w:type="pct"/>
          </w:tcPr>
          <w:p w:rsidR="005B6467" w:rsidRPr="0036026D" w:rsidRDefault="005B6467" w:rsidP="000159DD">
            <w:pPr>
              <w:spacing w:before="0" w:after="0" w:line="276" w:lineRule="auto"/>
              <w:rPr>
                <w:rFonts w:asciiTheme="minorHAnsi" w:hAnsiTheme="minorHAnsi"/>
                <w:b/>
                <w:bCs/>
                <w:smallCaps/>
                <w:color w:val="500778" w:themeColor="accent1"/>
                <w:spacing w:val="5"/>
                <w:szCs w:val="21"/>
              </w:rPr>
            </w:pPr>
            <w:r w:rsidRPr="0036026D">
              <w:rPr>
                <w:rFonts w:asciiTheme="minorHAnsi" w:hAnsiTheme="minorHAnsi"/>
                <w:b/>
                <w:bCs/>
                <w:smallCaps/>
                <w:color w:val="00BB4A" w:themeColor="accent2"/>
                <w:spacing w:val="5"/>
                <w:szCs w:val="21"/>
              </w:rPr>
              <w:t>↑</w:t>
            </w:r>
          </w:p>
        </w:tc>
        <w:tc>
          <w:tcPr>
            <w:tcW w:w="960" w:type="pct"/>
          </w:tcPr>
          <w:p w:rsidR="005B6467" w:rsidRPr="0036026D" w:rsidRDefault="005B6467" w:rsidP="000159DD">
            <w:pPr>
              <w:spacing w:before="0" w:after="0" w:line="276" w:lineRule="auto"/>
              <w:jc w:val="left"/>
              <w:rPr>
                <w:rFonts w:asciiTheme="minorHAnsi" w:hAnsiTheme="minorHAnsi"/>
                <w:szCs w:val="21"/>
              </w:rPr>
            </w:pPr>
            <w:r w:rsidRPr="0036026D">
              <w:rPr>
                <w:rFonts w:asciiTheme="minorHAnsi" w:hAnsiTheme="minorHAnsi"/>
                <w:szCs w:val="21"/>
              </w:rPr>
              <w:t>2,1%</w:t>
            </w:r>
          </w:p>
        </w:tc>
      </w:tr>
      <w:tr w:rsidR="005B6467" w:rsidRPr="0036026D" w:rsidTr="000159DD">
        <w:tc>
          <w:tcPr>
            <w:tcW w:w="2957" w:type="pct"/>
          </w:tcPr>
          <w:p w:rsidR="005B6467" w:rsidRPr="0036026D" w:rsidRDefault="005B6467" w:rsidP="000159DD">
            <w:pPr>
              <w:numPr>
                <w:ilvl w:val="0"/>
                <w:numId w:val="13"/>
              </w:numPr>
              <w:spacing w:before="0" w:after="0" w:line="276" w:lineRule="auto"/>
              <w:ind w:left="150" w:hanging="270"/>
              <w:contextualSpacing/>
              <w:jc w:val="left"/>
              <w:rPr>
                <w:rFonts w:asciiTheme="minorHAnsi" w:hAnsiTheme="minorHAnsi"/>
                <w:szCs w:val="21"/>
              </w:rPr>
            </w:pPr>
            <w:r w:rsidRPr="0036026D">
              <w:rPr>
                <w:rFonts w:asciiTheme="minorHAnsi" w:hAnsiTheme="minorHAnsi"/>
                <w:szCs w:val="21"/>
              </w:rPr>
              <w:t>Hoiuste jäägi aastakasv</w:t>
            </w:r>
          </w:p>
        </w:tc>
        <w:tc>
          <w:tcPr>
            <w:tcW w:w="830" w:type="pct"/>
          </w:tcPr>
          <w:p w:rsidR="005B6467" w:rsidRPr="0036026D" w:rsidRDefault="005B6467" w:rsidP="000159DD">
            <w:pPr>
              <w:spacing w:before="0" w:after="0" w:line="276" w:lineRule="auto"/>
              <w:jc w:val="left"/>
              <w:rPr>
                <w:rFonts w:asciiTheme="minorHAnsi" w:hAnsiTheme="minorHAnsi"/>
                <w:szCs w:val="21"/>
              </w:rPr>
            </w:pPr>
            <w:r w:rsidRPr="0036026D">
              <w:rPr>
                <w:rFonts w:asciiTheme="minorHAnsi" w:hAnsiTheme="minorHAnsi"/>
                <w:szCs w:val="21"/>
              </w:rPr>
              <w:t>5,4%</w:t>
            </w:r>
          </w:p>
        </w:tc>
        <w:tc>
          <w:tcPr>
            <w:tcW w:w="253" w:type="pct"/>
          </w:tcPr>
          <w:p w:rsidR="005B6467" w:rsidRPr="0036026D" w:rsidRDefault="005B6467" w:rsidP="000159DD">
            <w:pPr>
              <w:spacing w:before="0" w:after="0" w:line="276" w:lineRule="auto"/>
              <w:rPr>
                <w:rFonts w:asciiTheme="minorHAnsi" w:hAnsiTheme="minorHAnsi"/>
                <w:color w:val="FA5C1D" w:themeColor="accent3"/>
                <w:szCs w:val="21"/>
              </w:rPr>
            </w:pPr>
            <w:r w:rsidRPr="0036026D">
              <w:rPr>
                <w:rFonts w:asciiTheme="minorHAnsi" w:hAnsiTheme="minorHAnsi"/>
                <w:b/>
                <w:bCs/>
                <w:smallCaps/>
                <w:color w:val="FA5C1D" w:themeColor="accent3"/>
                <w:spacing w:val="5"/>
                <w:szCs w:val="21"/>
              </w:rPr>
              <w:t>↓</w:t>
            </w:r>
          </w:p>
        </w:tc>
        <w:tc>
          <w:tcPr>
            <w:tcW w:w="960" w:type="pct"/>
          </w:tcPr>
          <w:p w:rsidR="005B6467" w:rsidRPr="0036026D" w:rsidRDefault="005B6467" w:rsidP="000159DD">
            <w:pPr>
              <w:spacing w:before="0" w:after="0" w:line="276" w:lineRule="auto"/>
              <w:jc w:val="left"/>
              <w:rPr>
                <w:rFonts w:asciiTheme="minorHAnsi" w:hAnsiTheme="minorHAnsi"/>
                <w:szCs w:val="21"/>
              </w:rPr>
            </w:pPr>
            <w:r w:rsidRPr="0036026D">
              <w:rPr>
                <w:rFonts w:asciiTheme="minorHAnsi" w:hAnsiTheme="minorHAnsi"/>
                <w:szCs w:val="21"/>
              </w:rPr>
              <w:t>4,5%</w:t>
            </w:r>
          </w:p>
        </w:tc>
      </w:tr>
      <w:tr w:rsidR="005B6467" w:rsidRPr="0036026D" w:rsidTr="000159DD">
        <w:tc>
          <w:tcPr>
            <w:tcW w:w="2957" w:type="pct"/>
          </w:tcPr>
          <w:p w:rsidR="005B6467" w:rsidRPr="0036026D" w:rsidRDefault="005B6467" w:rsidP="000159DD">
            <w:pPr>
              <w:numPr>
                <w:ilvl w:val="0"/>
                <w:numId w:val="13"/>
              </w:numPr>
              <w:spacing w:before="0" w:after="0" w:line="276" w:lineRule="auto"/>
              <w:ind w:left="150" w:hanging="270"/>
              <w:contextualSpacing/>
              <w:jc w:val="left"/>
              <w:rPr>
                <w:rFonts w:asciiTheme="minorHAnsi" w:hAnsiTheme="minorHAnsi"/>
                <w:szCs w:val="21"/>
              </w:rPr>
            </w:pPr>
            <w:r w:rsidRPr="0036026D">
              <w:rPr>
                <w:rFonts w:asciiTheme="minorHAnsi" w:hAnsiTheme="minorHAnsi"/>
                <w:szCs w:val="21"/>
              </w:rPr>
              <w:t>Laenude ja hoiuste suhtarv</w:t>
            </w:r>
          </w:p>
        </w:tc>
        <w:tc>
          <w:tcPr>
            <w:tcW w:w="830" w:type="pct"/>
          </w:tcPr>
          <w:p w:rsidR="005B6467" w:rsidRPr="0036026D" w:rsidRDefault="005B6467" w:rsidP="000159DD">
            <w:pPr>
              <w:spacing w:before="0" w:after="0" w:line="276" w:lineRule="auto"/>
              <w:jc w:val="left"/>
              <w:rPr>
                <w:rFonts w:asciiTheme="minorHAnsi" w:hAnsiTheme="minorHAnsi"/>
                <w:szCs w:val="21"/>
              </w:rPr>
            </w:pPr>
            <w:r w:rsidRPr="0036026D">
              <w:rPr>
                <w:rFonts w:asciiTheme="minorHAnsi" w:hAnsiTheme="minorHAnsi"/>
                <w:szCs w:val="21"/>
              </w:rPr>
              <w:t>106%</w:t>
            </w:r>
          </w:p>
        </w:tc>
        <w:tc>
          <w:tcPr>
            <w:tcW w:w="253" w:type="pct"/>
          </w:tcPr>
          <w:p w:rsidR="005B6467" w:rsidRPr="0036026D" w:rsidRDefault="005B6467" w:rsidP="000159DD">
            <w:pPr>
              <w:spacing w:before="0" w:after="0" w:line="276" w:lineRule="auto"/>
              <w:rPr>
                <w:rFonts w:asciiTheme="minorHAnsi" w:hAnsiTheme="minorHAnsi"/>
                <w:b/>
                <w:bCs/>
                <w:smallCaps/>
                <w:color w:val="FA5C1D" w:themeColor="accent3"/>
                <w:spacing w:val="5"/>
                <w:szCs w:val="21"/>
                <w:lang w:val="en-US"/>
              </w:rPr>
            </w:pPr>
            <w:r w:rsidRPr="0036026D">
              <w:rPr>
                <w:rFonts w:asciiTheme="minorHAnsi" w:hAnsiTheme="minorHAnsi"/>
                <w:b/>
                <w:bCs/>
                <w:smallCaps/>
                <w:color w:val="FA5C1D" w:themeColor="accent3"/>
                <w:spacing w:val="5"/>
                <w:szCs w:val="21"/>
              </w:rPr>
              <w:t>↑</w:t>
            </w:r>
          </w:p>
        </w:tc>
        <w:tc>
          <w:tcPr>
            <w:tcW w:w="960" w:type="pct"/>
          </w:tcPr>
          <w:p w:rsidR="005B6467" w:rsidRPr="0036026D" w:rsidRDefault="005B6467" w:rsidP="000159DD">
            <w:pPr>
              <w:spacing w:before="0" w:after="0" w:line="276" w:lineRule="auto"/>
              <w:jc w:val="left"/>
              <w:rPr>
                <w:rFonts w:asciiTheme="minorHAnsi" w:hAnsiTheme="minorHAnsi"/>
                <w:szCs w:val="21"/>
              </w:rPr>
            </w:pPr>
            <w:r w:rsidRPr="0036026D">
              <w:rPr>
                <w:rFonts w:asciiTheme="minorHAnsi" w:hAnsiTheme="minorHAnsi"/>
                <w:szCs w:val="21"/>
              </w:rPr>
              <w:t>107%</w:t>
            </w:r>
          </w:p>
        </w:tc>
      </w:tr>
      <w:tr w:rsidR="005B6467" w:rsidRPr="0036026D" w:rsidTr="000159DD">
        <w:tc>
          <w:tcPr>
            <w:tcW w:w="2957" w:type="pct"/>
          </w:tcPr>
          <w:p w:rsidR="005B6467" w:rsidRPr="0036026D" w:rsidRDefault="005B6467" w:rsidP="000159DD">
            <w:pPr>
              <w:numPr>
                <w:ilvl w:val="0"/>
                <w:numId w:val="13"/>
              </w:numPr>
              <w:tabs>
                <w:tab w:val="left" w:pos="375"/>
              </w:tabs>
              <w:spacing w:before="0" w:after="0" w:line="276" w:lineRule="auto"/>
              <w:ind w:left="150" w:hanging="270"/>
              <w:contextualSpacing/>
              <w:jc w:val="left"/>
              <w:rPr>
                <w:rFonts w:asciiTheme="minorHAnsi" w:hAnsiTheme="minorHAnsi"/>
                <w:szCs w:val="21"/>
              </w:rPr>
            </w:pPr>
            <w:r w:rsidRPr="0036026D">
              <w:rPr>
                <w:rFonts w:asciiTheme="minorHAnsi" w:hAnsiTheme="minorHAnsi"/>
                <w:szCs w:val="21"/>
              </w:rPr>
              <w:t>Pikaajaliste viivislaenude osakaal laenuportfellis</w:t>
            </w:r>
          </w:p>
        </w:tc>
        <w:tc>
          <w:tcPr>
            <w:tcW w:w="830" w:type="pct"/>
          </w:tcPr>
          <w:p w:rsidR="005B6467" w:rsidRPr="0036026D" w:rsidRDefault="005B6467" w:rsidP="000159DD">
            <w:pPr>
              <w:spacing w:before="0" w:after="0" w:line="276" w:lineRule="auto"/>
              <w:jc w:val="left"/>
              <w:rPr>
                <w:rFonts w:asciiTheme="minorHAnsi" w:hAnsiTheme="minorHAnsi"/>
                <w:szCs w:val="21"/>
              </w:rPr>
            </w:pPr>
            <w:r w:rsidRPr="0036026D">
              <w:rPr>
                <w:rFonts w:asciiTheme="minorHAnsi" w:hAnsiTheme="minorHAnsi"/>
                <w:szCs w:val="21"/>
              </w:rPr>
              <w:t>1,0%</w:t>
            </w:r>
          </w:p>
        </w:tc>
        <w:tc>
          <w:tcPr>
            <w:tcW w:w="253" w:type="pct"/>
          </w:tcPr>
          <w:p w:rsidR="005B6467" w:rsidRPr="0036026D" w:rsidRDefault="005B6467" w:rsidP="000159DD">
            <w:pPr>
              <w:spacing w:before="0" w:after="0" w:line="276" w:lineRule="auto"/>
              <w:rPr>
                <w:rFonts w:asciiTheme="minorHAnsi" w:hAnsiTheme="minorHAnsi"/>
                <w:color w:val="00BB4A" w:themeColor="accent2"/>
                <w:szCs w:val="21"/>
              </w:rPr>
            </w:pPr>
            <w:r w:rsidRPr="0036026D">
              <w:rPr>
                <w:rFonts w:asciiTheme="minorHAnsi" w:hAnsiTheme="minorHAnsi"/>
                <w:b/>
                <w:bCs/>
                <w:smallCaps/>
                <w:color w:val="00BB4A" w:themeColor="accent2"/>
                <w:spacing w:val="5"/>
                <w:szCs w:val="21"/>
              </w:rPr>
              <w:t>↓</w:t>
            </w:r>
          </w:p>
        </w:tc>
        <w:tc>
          <w:tcPr>
            <w:tcW w:w="960" w:type="pct"/>
          </w:tcPr>
          <w:p w:rsidR="005B6467" w:rsidRPr="0036026D" w:rsidRDefault="005B6467" w:rsidP="000159DD">
            <w:pPr>
              <w:spacing w:before="0" w:after="0" w:line="276" w:lineRule="auto"/>
              <w:jc w:val="left"/>
              <w:rPr>
                <w:rFonts w:asciiTheme="minorHAnsi" w:hAnsiTheme="minorHAnsi"/>
                <w:szCs w:val="21"/>
              </w:rPr>
            </w:pPr>
            <w:r w:rsidRPr="0036026D">
              <w:rPr>
                <w:rFonts w:asciiTheme="minorHAnsi" w:hAnsiTheme="minorHAnsi"/>
                <w:szCs w:val="21"/>
              </w:rPr>
              <w:t>0,8%</w:t>
            </w:r>
          </w:p>
        </w:tc>
      </w:tr>
      <w:tr w:rsidR="005B6467" w:rsidRPr="0036026D" w:rsidTr="000159DD">
        <w:tc>
          <w:tcPr>
            <w:tcW w:w="2957" w:type="pct"/>
          </w:tcPr>
          <w:p w:rsidR="005B6467" w:rsidRPr="0036026D" w:rsidRDefault="005B6467" w:rsidP="000159DD">
            <w:pPr>
              <w:numPr>
                <w:ilvl w:val="0"/>
                <w:numId w:val="13"/>
              </w:numPr>
              <w:spacing w:before="0" w:after="0" w:line="276" w:lineRule="auto"/>
              <w:ind w:left="150" w:hanging="270"/>
              <w:contextualSpacing/>
              <w:jc w:val="left"/>
              <w:rPr>
                <w:rFonts w:asciiTheme="minorHAnsi" w:hAnsiTheme="minorHAnsi"/>
                <w:szCs w:val="21"/>
              </w:rPr>
            </w:pPr>
            <w:r w:rsidRPr="0036026D">
              <w:rPr>
                <w:rFonts w:asciiTheme="minorHAnsi" w:hAnsiTheme="minorHAnsi"/>
                <w:szCs w:val="21"/>
              </w:rPr>
              <w:t>Likviidsuskattekordaja</w:t>
            </w:r>
          </w:p>
        </w:tc>
        <w:tc>
          <w:tcPr>
            <w:tcW w:w="830" w:type="pct"/>
          </w:tcPr>
          <w:p w:rsidR="005B6467" w:rsidRPr="0036026D" w:rsidRDefault="005B6467" w:rsidP="000159DD">
            <w:pPr>
              <w:spacing w:before="0" w:after="0" w:line="276" w:lineRule="auto"/>
              <w:rPr>
                <w:rFonts w:asciiTheme="minorHAnsi" w:hAnsiTheme="minorHAnsi"/>
                <w:szCs w:val="21"/>
              </w:rPr>
            </w:pPr>
            <w:r w:rsidRPr="0036026D">
              <w:rPr>
                <w:rFonts w:asciiTheme="minorHAnsi" w:hAnsiTheme="minorHAnsi"/>
                <w:szCs w:val="21"/>
              </w:rPr>
              <w:t>181%</w:t>
            </w:r>
          </w:p>
        </w:tc>
        <w:tc>
          <w:tcPr>
            <w:tcW w:w="253" w:type="pct"/>
          </w:tcPr>
          <w:p w:rsidR="005B6467" w:rsidRPr="0036026D" w:rsidRDefault="005B6467" w:rsidP="000159DD">
            <w:pPr>
              <w:spacing w:before="0" w:after="0" w:line="276" w:lineRule="auto"/>
              <w:rPr>
                <w:rFonts w:asciiTheme="minorHAnsi" w:hAnsiTheme="minorHAnsi"/>
                <w:color w:val="FA5C1D" w:themeColor="accent3"/>
                <w:szCs w:val="21"/>
              </w:rPr>
            </w:pPr>
            <w:r w:rsidRPr="0036026D">
              <w:rPr>
                <w:rFonts w:asciiTheme="minorHAnsi" w:hAnsiTheme="minorHAnsi"/>
                <w:b/>
                <w:bCs/>
                <w:smallCaps/>
                <w:color w:val="FA5C1D" w:themeColor="accent3"/>
                <w:spacing w:val="5"/>
                <w:szCs w:val="21"/>
              </w:rPr>
              <w:t>↓</w:t>
            </w:r>
          </w:p>
        </w:tc>
        <w:tc>
          <w:tcPr>
            <w:tcW w:w="960" w:type="pct"/>
          </w:tcPr>
          <w:p w:rsidR="005B6467" w:rsidRPr="0036026D" w:rsidRDefault="005B6467" w:rsidP="000159DD">
            <w:pPr>
              <w:spacing w:before="0" w:after="0" w:line="276" w:lineRule="auto"/>
              <w:rPr>
                <w:rFonts w:asciiTheme="minorHAnsi" w:hAnsiTheme="minorHAnsi"/>
                <w:szCs w:val="21"/>
              </w:rPr>
            </w:pPr>
            <w:r w:rsidRPr="0036026D">
              <w:rPr>
                <w:rFonts w:asciiTheme="minorHAnsi" w:hAnsiTheme="minorHAnsi"/>
                <w:szCs w:val="21"/>
              </w:rPr>
              <w:t>165%</w:t>
            </w:r>
          </w:p>
        </w:tc>
      </w:tr>
      <w:tr w:rsidR="005B6467" w:rsidRPr="0036026D" w:rsidTr="000159DD">
        <w:tc>
          <w:tcPr>
            <w:tcW w:w="2957" w:type="pct"/>
          </w:tcPr>
          <w:p w:rsidR="005B6467" w:rsidRPr="0036026D" w:rsidRDefault="005B6467" w:rsidP="000159DD">
            <w:pPr>
              <w:numPr>
                <w:ilvl w:val="0"/>
                <w:numId w:val="13"/>
              </w:numPr>
              <w:spacing w:before="0" w:after="0" w:line="276" w:lineRule="auto"/>
              <w:ind w:left="150" w:hanging="270"/>
              <w:contextualSpacing/>
              <w:rPr>
                <w:rFonts w:asciiTheme="minorHAnsi" w:hAnsiTheme="minorHAnsi"/>
                <w:szCs w:val="21"/>
              </w:rPr>
            </w:pPr>
            <w:r w:rsidRPr="0036026D">
              <w:rPr>
                <w:rFonts w:asciiTheme="minorHAnsi" w:hAnsiTheme="minorHAnsi"/>
                <w:szCs w:val="21"/>
              </w:rPr>
              <w:t>Kasum</w:t>
            </w:r>
          </w:p>
        </w:tc>
        <w:tc>
          <w:tcPr>
            <w:tcW w:w="830" w:type="pct"/>
          </w:tcPr>
          <w:p w:rsidR="005B6467" w:rsidRPr="0036026D" w:rsidRDefault="005B6467" w:rsidP="000159DD">
            <w:pPr>
              <w:spacing w:before="0" w:after="0" w:line="276" w:lineRule="auto"/>
              <w:rPr>
                <w:rFonts w:asciiTheme="minorHAnsi" w:hAnsiTheme="minorHAnsi"/>
                <w:szCs w:val="21"/>
              </w:rPr>
            </w:pPr>
            <w:r w:rsidRPr="0036026D">
              <w:rPr>
                <w:rFonts w:asciiTheme="minorHAnsi" w:hAnsiTheme="minorHAnsi"/>
                <w:szCs w:val="21"/>
              </w:rPr>
              <w:t>85</w:t>
            </w:r>
            <w:r w:rsidR="006D6FB3" w:rsidRPr="0036026D">
              <w:rPr>
                <w:rFonts w:asciiTheme="minorHAnsi" w:hAnsiTheme="minorHAnsi"/>
                <w:szCs w:val="21"/>
              </w:rPr>
              <w:t xml:space="preserve"> mln eurot</w:t>
            </w:r>
          </w:p>
        </w:tc>
        <w:tc>
          <w:tcPr>
            <w:tcW w:w="253" w:type="pct"/>
          </w:tcPr>
          <w:p w:rsidR="005B6467" w:rsidRPr="0036026D" w:rsidRDefault="005B6467" w:rsidP="000159DD">
            <w:pPr>
              <w:spacing w:before="0" w:after="0" w:line="276" w:lineRule="auto"/>
              <w:rPr>
                <w:rFonts w:asciiTheme="minorHAnsi" w:hAnsiTheme="minorHAnsi"/>
                <w:color w:val="FA5C1D" w:themeColor="accent3"/>
                <w:szCs w:val="21"/>
              </w:rPr>
            </w:pPr>
            <w:r w:rsidRPr="0036026D">
              <w:rPr>
                <w:rFonts w:asciiTheme="minorHAnsi" w:hAnsiTheme="minorHAnsi"/>
                <w:b/>
                <w:bCs/>
                <w:smallCaps/>
                <w:color w:val="FA5C1D" w:themeColor="accent3"/>
                <w:spacing w:val="5"/>
                <w:szCs w:val="21"/>
              </w:rPr>
              <w:t>↓</w:t>
            </w:r>
          </w:p>
        </w:tc>
        <w:tc>
          <w:tcPr>
            <w:tcW w:w="960" w:type="pct"/>
          </w:tcPr>
          <w:p w:rsidR="005B6467" w:rsidRPr="0036026D" w:rsidRDefault="005B6467" w:rsidP="000159DD">
            <w:pPr>
              <w:spacing w:before="0" w:after="0" w:line="276" w:lineRule="auto"/>
              <w:rPr>
                <w:rFonts w:asciiTheme="minorHAnsi" w:hAnsiTheme="minorHAnsi"/>
                <w:szCs w:val="21"/>
              </w:rPr>
            </w:pPr>
            <w:r w:rsidRPr="0036026D">
              <w:rPr>
                <w:rFonts w:asciiTheme="minorHAnsi" w:hAnsiTheme="minorHAnsi"/>
                <w:szCs w:val="21"/>
              </w:rPr>
              <w:t>78 mln eurot</w:t>
            </w:r>
          </w:p>
        </w:tc>
      </w:tr>
      <w:tr w:rsidR="005B6467" w:rsidRPr="0036026D" w:rsidTr="000159DD">
        <w:tc>
          <w:tcPr>
            <w:tcW w:w="2957" w:type="pct"/>
          </w:tcPr>
          <w:p w:rsidR="005B6467" w:rsidRPr="0036026D" w:rsidRDefault="005B6467" w:rsidP="000159DD">
            <w:pPr>
              <w:numPr>
                <w:ilvl w:val="0"/>
                <w:numId w:val="13"/>
              </w:numPr>
              <w:spacing w:after="0" w:line="276" w:lineRule="auto"/>
              <w:ind w:left="150" w:hanging="270"/>
              <w:contextualSpacing/>
              <w:rPr>
                <w:szCs w:val="21"/>
              </w:rPr>
            </w:pPr>
            <w:r w:rsidRPr="0036026D">
              <w:rPr>
                <w:rFonts w:asciiTheme="minorHAnsi" w:hAnsiTheme="minorHAnsi"/>
                <w:szCs w:val="21"/>
              </w:rPr>
              <w:t>Kulude ja tulude suhe</w:t>
            </w:r>
          </w:p>
        </w:tc>
        <w:tc>
          <w:tcPr>
            <w:tcW w:w="830" w:type="pct"/>
          </w:tcPr>
          <w:p w:rsidR="005B6467" w:rsidRPr="0036026D" w:rsidRDefault="005B6467" w:rsidP="000159DD">
            <w:pPr>
              <w:spacing w:after="0" w:line="276" w:lineRule="auto"/>
              <w:rPr>
                <w:rFonts w:asciiTheme="minorHAnsi" w:hAnsiTheme="minorHAnsi"/>
                <w:szCs w:val="21"/>
              </w:rPr>
            </w:pPr>
            <w:r w:rsidRPr="0036026D">
              <w:rPr>
                <w:rFonts w:asciiTheme="minorHAnsi" w:hAnsiTheme="minorHAnsi"/>
                <w:szCs w:val="21"/>
              </w:rPr>
              <w:t>46%</w:t>
            </w:r>
          </w:p>
        </w:tc>
        <w:tc>
          <w:tcPr>
            <w:tcW w:w="253" w:type="pct"/>
          </w:tcPr>
          <w:p w:rsidR="005B6467" w:rsidRPr="0036026D" w:rsidRDefault="005B6467" w:rsidP="000159DD">
            <w:pPr>
              <w:spacing w:after="0" w:line="276" w:lineRule="auto"/>
              <w:rPr>
                <w:rFonts w:asciiTheme="minorHAnsi" w:hAnsiTheme="minorHAnsi"/>
                <w:b/>
                <w:bCs/>
                <w:smallCaps/>
                <w:color w:val="FA5C1D" w:themeColor="accent3"/>
                <w:spacing w:val="5"/>
                <w:szCs w:val="21"/>
              </w:rPr>
            </w:pPr>
            <w:r w:rsidRPr="0036026D">
              <w:rPr>
                <w:rFonts w:asciiTheme="minorHAnsi" w:hAnsiTheme="minorHAnsi"/>
                <w:b/>
                <w:bCs/>
                <w:smallCaps/>
                <w:color w:val="FA5C1D" w:themeColor="accent3"/>
                <w:spacing w:val="5"/>
                <w:szCs w:val="21"/>
              </w:rPr>
              <w:t>↑</w:t>
            </w:r>
          </w:p>
        </w:tc>
        <w:tc>
          <w:tcPr>
            <w:tcW w:w="960" w:type="pct"/>
          </w:tcPr>
          <w:p w:rsidR="005B6467" w:rsidRPr="0036026D" w:rsidRDefault="005B6467" w:rsidP="000159DD">
            <w:pPr>
              <w:spacing w:after="0" w:line="276" w:lineRule="auto"/>
              <w:rPr>
                <w:rFonts w:asciiTheme="minorHAnsi" w:hAnsiTheme="minorHAnsi"/>
                <w:szCs w:val="21"/>
              </w:rPr>
            </w:pPr>
            <w:r w:rsidRPr="0036026D">
              <w:rPr>
                <w:rFonts w:asciiTheme="minorHAnsi" w:hAnsiTheme="minorHAnsi"/>
                <w:szCs w:val="21"/>
              </w:rPr>
              <w:t>48%</w:t>
            </w:r>
          </w:p>
        </w:tc>
      </w:tr>
      <w:tr w:rsidR="005B6467" w:rsidRPr="0036026D" w:rsidTr="000159DD">
        <w:tc>
          <w:tcPr>
            <w:tcW w:w="2957" w:type="pct"/>
          </w:tcPr>
          <w:p w:rsidR="005B6467" w:rsidRPr="0036026D" w:rsidRDefault="005B6467" w:rsidP="000159DD">
            <w:pPr>
              <w:numPr>
                <w:ilvl w:val="0"/>
                <w:numId w:val="13"/>
              </w:numPr>
              <w:spacing w:after="0" w:line="276" w:lineRule="auto"/>
              <w:ind w:left="150" w:hanging="270"/>
              <w:contextualSpacing/>
              <w:rPr>
                <w:szCs w:val="21"/>
              </w:rPr>
            </w:pPr>
            <w:r w:rsidRPr="0036026D">
              <w:rPr>
                <w:rFonts w:asciiTheme="minorHAnsi" w:hAnsiTheme="minorHAnsi"/>
                <w:szCs w:val="21"/>
              </w:rPr>
              <w:t>Omakapitali tootlikkus</w:t>
            </w:r>
          </w:p>
        </w:tc>
        <w:tc>
          <w:tcPr>
            <w:tcW w:w="830" w:type="pct"/>
          </w:tcPr>
          <w:p w:rsidR="005B6467" w:rsidRPr="0036026D" w:rsidRDefault="005B6467" w:rsidP="000159DD">
            <w:pPr>
              <w:spacing w:after="0" w:line="276" w:lineRule="auto"/>
              <w:rPr>
                <w:rFonts w:asciiTheme="minorHAnsi" w:hAnsiTheme="minorHAnsi"/>
                <w:szCs w:val="21"/>
              </w:rPr>
            </w:pPr>
            <w:r w:rsidRPr="0036026D">
              <w:rPr>
                <w:rFonts w:asciiTheme="minorHAnsi" w:hAnsiTheme="minorHAnsi"/>
                <w:szCs w:val="21"/>
              </w:rPr>
              <w:t>10,2%</w:t>
            </w:r>
          </w:p>
        </w:tc>
        <w:tc>
          <w:tcPr>
            <w:tcW w:w="253" w:type="pct"/>
          </w:tcPr>
          <w:p w:rsidR="005B6467" w:rsidRPr="0036026D" w:rsidRDefault="005B6467" w:rsidP="000159DD">
            <w:pPr>
              <w:spacing w:after="0" w:line="276" w:lineRule="auto"/>
              <w:rPr>
                <w:rFonts w:asciiTheme="minorHAnsi" w:hAnsiTheme="minorHAnsi"/>
                <w:b/>
                <w:bCs/>
                <w:smallCaps/>
                <w:color w:val="500778" w:themeColor="accent1"/>
                <w:spacing w:val="5"/>
                <w:szCs w:val="21"/>
              </w:rPr>
            </w:pPr>
            <w:r w:rsidRPr="0036026D">
              <w:rPr>
                <w:rFonts w:asciiTheme="minorHAnsi" w:hAnsiTheme="minorHAnsi"/>
                <w:b/>
                <w:bCs/>
                <w:smallCaps/>
                <w:color w:val="00BB4A" w:themeColor="accent2"/>
                <w:spacing w:val="5"/>
                <w:szCs w:val="21"/>
              </w:rPr>
              <w:t>↑</w:t>
            </w:r>
          </w:p>
        </w:tc>
        <w:tc>
          <w:tcPr>
            <w:tcW w:w="960" w:type="pct"/>
          </w:tcPr>
          <w:p w:rsidR="005B6467" w:rsidRPr="0036026D" w:rsidRDefault="005B6467" w:rsidP="000159DD">
            <w:pPr>
              <w:spacing w:after="0" w:line="276" w:lineRule="auto"/>
              <w:rPr>
                <w:rFonts w:asciiTheme="minorHAnsi" w:hAnsiTheme="minorHAnsi"/>
                <w:szCs w:val="21"/>
              </w:rPr>
            </w:pPr>
            <w:r w:rsidRPr="0036026D">
              <w:rPr>
                <w:rFonts w:asciiTheme="minorHAnsi" w:hAnsiTheme="minorHAnsi"/>
                <w:szCs w:val="21"/>
              </w:rPr>
              <w:t>10,3%</w:t>
            </w:r>
          </w:p>
        </w:tc>
      </w:tr>
      <w:tr w:rsidR="005B6467" w:rsidRPr="0036026D" w:rsidTr="000159DD">
        <w:tc>
          <w:tcPr>
            <w:tcW w:w="2957" w:type="pct"/>
          </w:tcPr>
          <w:p w:rsidR="005B6467" w:rsidRPr="0036026D" w:rsidRDefault="005B6467" w:rsidP="000159DD">
            <w:pPr>
              <w:numPr>
                <w:ilvl w:val="0"/>
                <w:numId w:val="13"/>
              </w:numPr>
              <w:spacing w:after="0" w:line="276" w:lineRule="auto"/>
              <w:ind w:left="150" w:hanging="270"/>
              <w:contextualSpacing/>
              <w:rPr>
                <w:szCs w:val="21"/>
              </w:rPr>
            </w:pPr>
            <w:r w:rsidRPr="0036026D">
              <w:rPr>
                <w:rFonts w:asciiTheme="minorHAnsi" w:hAnsiTheme="minorHAnsi"/>
                <w:szCs w:val="21"/>
              </w:rPr>
              <w:t>Varade tootlikkus</w:t>
            </w:r>
          </w:p>
        </w:tc>
        <w:tc>
          <w:tcPr>
            <w:tcW w:w="830" w:type="pct"/>
          </w:tcPr>
          <w:p w:rsidR="005B6467" w:rsidRPr="0036026D" w:rsidRDefault="005B6467" w:rsidP="000159DD">
            <w:pPr>
              <w:spacing w:after="0" w:line="276" w:lineRule="auto"/>
              <w:rPr>
                <w:rFonts w:asciiTheme="minorHAnsi" w:hAnsiTheme="minorHAnsi"/>
                <w:szCs w:val="21"/>
              </w:rPr>
            </w:pPr>
            <w:r w:rsidRPr="0036026D">
              <w:rPr>
                <w:rFonts w:asciiTheme="minorHAnsi" w:hAnsiTheme="minorHAnsi"/>
                <w:szCs w:val="21"/>
              </w:rPr>
              <w:t>1,6%</w:t>
            </w:r>
          </w:p>
        </w:tc>
        <w:tc>
          <w:tcPr>
            <w:tcW w:w="253" w:type="pct"/>
          </w:tcPr>
          <w:p w:rsidR="005B6467" w:rsidRPr="0036026D" w:rsidRDefault="005B6467" w:rsidP="000159DD">
            <w:pPr>
              <w:spacing w:after="0" w:line="276" w:lineRule="auto"/>
              <w:rPr>
                <w:rFonts w:asciiTheme="minorHAnsi" w:hAnsiTheme="minorHAnsi"/>
                <w:b/>
                <w:bCs/>
                <w:smallCaps/>
                <w:color w:val="500778" w:themeColor="accent1"/>
                <w:spacing w:val="5"/>
                <w:szCs w:val="21"/>
              </w:rPr>
            </w:pPr>
            <w:r w:rsidRPr="0036026D">
              <w:rPr>
                <w:rFonts w:asciiTheme="minorHAnsi" w:hAnsiTheme="minorHAnsi"/>
                <w:b/>
                <w:bCs/>
                <w:smallCaps/>
                <w:color w:val="500778" w:themeColor="text2"/>
                <w:spacing w:val="5"/>
                <w:szCs w:val="21"/>
              </w:rPr>
              <w:t>↔</w:t>
            </w:r>
          </w:p>
        </w:tc>
        <w:tc>
          <w:tcPr>
            <w:tcW w:w="960" w:type="pct"/>
          </w:tcPr>
          <w:p w:rsidR="005B6467" w:rsidRPr="0036026D" w:rsidRDefault="005B6467" w:rsidP="000159DD">
            <w:pPr>
              <w:spacing w:after="0" w:line="276" w:lineRule="auto"/>
              <w:rPr>
                <w:rFonts w:asciiTheme="minorHAnsi" w:hAnsiTheme="minorHAnsi"/>
                <w:szCs w:val="21"/>
              </w:rPr>
            </w:pPr>
            <w:r w:rsidRPr="0036026D">
              <w:rPr>
                <w:rFonts w:asciiTheme="minorHAnsi" w:hAnsiTheme="minorHAnsi"/>
                <w:szCs w:val="21"/>
              </w:rPr>
              <w:t>1,6%</w:t>
            </w:r>
          </w:p>
        </w:tc>
      </w:tr>
      <w:tr w:rsidR="005B6467" w:rsidRPr="0036026D" w:rsidTr="000159DD">
        <w:tc>
          <w:tcPr>
            <w:tcW w:w="2957" w:type="pct"/>
          </w:tcPr>
          <w:p w:rsidR="005B6467" w:rsidRPr="0036026D" w:rsidRDefault="005B6467" w:rsidP="000159DD">
            <w:pPr>
              <w:numPr>
                <w:ilvl w:val="0"/>
                <w:numId w:val="13"/>
              </w:numPr>
              <w:spacing w:after="0" w:line="276" w:lineRule="auto"/>
              <w:ind w:left="150" w:hanging="270"/>
              <w:contextualSpacing/>
              <w:rPr>
                <w:szCs w:val="21"/>
              </w:rPr>
            </w:pPr>
            <w:r w:rsidRPr="0036026D">
              <w:rPr>
                <w:rFonts w:asciiTheme="minorHAnsi" w:hAnsiTheme="minorHAnsi"/>
                <w:szCs w:val="21"/>
              </w:rPr>
              <w:t>Esimese taseme põhiomavahendite suhtarv</w:t>
            </w:r>
          </w:p>
        </w:tc>
        <w:tc>
          <w:tcPr>
            <w:tcW w:w="830" w:type="pct"/>
          </w:tcPr>
          <w:p w:rsidR="005B6467" w:rsidRPr="0036026D" w:rsidRDefault="005B6467" w:rsidP="000159DD">
            <w:pPr>
              <w:spacing w:after="0" w:line="276" w:lineRule="auto"/>
              <w:rPr>
                <w:rFonts w:asciiTheme="minorHAnsi" w:hAnsiTheme="minorHAnsi"/>
                <w:szCs w:val="21"/>
              </w:rPr>
            </w:pPr>
            <w:r w:rsidRPr="0036026D">
              <w:rPr>
                <w:rFonts w:asciiTheme="minorHAnsi" w:hAnsiTheme="minorHAnsi"/>
                <w:szCs w:val="21"/>
              </w:rPr>
              <w:t>35,7%</w:t>
            </w:r>
          </w:p>
        </w:tc>
        <w:tc>
          <w:tcPr>
            <w:tcW w:w="253" w:type="pct"/>
          </w:tcPr>
          <w:p w:rsidR="005B6467" w:rsidRPr="0036026D" w:rsidRDefault="005B6467" w:rsidP="000159DD">
            <w:pPr>
              <w:spacing w:after="0" w:line="276" w:lineRule="auto"/>
              <w:rPr>
                <w:rFonts w:asciiTheme="minorHAnsi" w:hAnsiTheme="minorHAnsi"/>
                <w:b/>
                <w:bCs/>
                <w:smallCaps/>
                <w:color w:val="500778" w:themeColor="accent1"/>
                <w:spacing w:val="5"/>
                <w:szCs w:val="21"/>
              </w:rPr>
            </w:pPr>
            <w:r w:rsidRPr="0036026D">
              <w:rPr>
                <w:rFonts w:asciiTheme="minorHAnsi" w:hAnsiTheme="minorHAnsi"/>
                <w:b/>
                <w:bCs/>
                <w:smallCaps/>
                <w:color w:val="FA5C1D" w:themeColor="accent3"/>
                <w:spacing w:val="5"/>
                <w:szCs w:val="21"/>
              </w:rPr>
              <w:t>↓</w:t>
            </w:r>
          </w:p>
        </w:tc>
        <w:tc>
          <w:tcPr>
            <w:tcW w:w="960" w:type="pct"/>
          </w:tcPr>
          <w:p w:rsidR="005B6467" w:rsidRPr="0036026D" w:rsidRDefault="005B6467" w:rsidP="000159DD">
            <w:pPr>
              <w:spacing w:after="0" w:line="276" w:lineRule="auto"/>
              <w:rPr>
                <w:rFonts w:asciiTheme="minorHAnsi" w:hAnsiTheme="minorHAnsi"/>
                <w:szCs w:val="21"/>
              </w:rPr>
            </w:pPr>
            <w:r w:rsidRPr="0036026D">
              <w:rPr>
                <w:rFonts w:asciiTheme="minorHAnsi" w:hAnsiTheme="minorHAnsi"/>
                <w:szCs w:val="21"/>
              </w:rPr>
              <w:t>30,1%</w:t>
            </w:r>
          </w:p>
        </w:tc>
      </w:tr>
    </w:tbl>
    <w:p w:rsidR="005B6467" w:rsidRDefault="005B6467" w:rsidP="005B6467">
      <w:pPr>
        <w:spacing w:after="120"/>
      </w:pPr>
    </w:p>
    <w:p w:rsidR="005B6467" w:rsidRDefault="005B6467" w:rsidP="002E6399">
      <w:pPr>
        <w:pStyle w:val="MainText"/>
        <w:spacing w:after="120"/>
        <w:jc w:val="both"/>
        <w:rPr>
          <w:sz w:val="21"/>
          <w:szCs w:val="21"/>
        </w:rPr>
      </w:pPr>
      <w:r w:rsidRPr="002E6399">
        <w:rPr>
          <w:noProof/>
          <w:sz w:val="21"/>
          <w:szCs w:val="21"/>
          <w:lang w:eastAsia="et-EE"/>
        </w:rPr>
        <w:drawing>
          <wp:anchor distT="0" distB="0" distL="114300" distR="114300" simplePos="0" relativeHeight="251702272" behindDoc="0" locked="0" layoutInCell="1" allowOverlap="1" wp14:anchorId="3D44009E" wp14:editId="74D87C85">
            <wp:simplePos x="0" y="0"/>
            <wp:positionH relativeFrom="column">
              <wp:posOffset>2388235</wp:posOffset>
            </wp:positionH>
            <wp:positionV relativeFrom="paragraph">
              <wp:posOffset>88265</wp:posOffset>
            </wp:positionV>
            <wp:extent cx="3599180" cy="2073910"/>
            <wp:effectExtent l="0" t="0" r="1270" b="254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2E6399">
        <w:rPr>
          <w:sz w:val="21"/>
          <w:szCs w:val="21"/>
        </w:rPr>
        <w:t>Eestis tegutsevate pankade laenuportfelli aastakasv 2017. aasta neljandas kvartalis kiirenes, kolmanda kvartali 1,4%lt 2,1%ni. Laenukasv viimaste aastate võrdluses on siiski madal. Selle põhjuseks on ühekordsed turuosaliste konsolideerimisgrupis toimunud ümberkorraldused kolmandas kvartalis. Nimetatud ümberkorralduste mõju elimineerides laenukasv tegelikkuses kiirenes ja küündis neljandas kvartalis 6,8%ni (kolmandas kvartalis oleks laenukasv olnud 6,1%).</w:t>
      </w:r>
    </w:p>
    <w:p w:rsidR="005B6467" w:rsidRPr="002E6399" w:rsidRDefault="005B6467" w:rsidP="002E6399">
      <w:pPr>
        <w:pStyle w:val="MainText"/>
        <w:spacing w:after="120"/>
        <w:jc w:val="both"/>
        <w:rPr>
          <w:sz w:val="21"/>
          <w:szCs w:val="21"/>
        </w:rPr>
      </w:pPr>
      <w:r w:rsidRPr="002E6399">
        <w:rPr>
          <w:sz w:val="21"/>
          <w:szCs w:val="21"/>
        </w:rPr>
        <w:t>Grupisiseste tehingute tulemusel äriühingute laenuportfelli maht vähenes võrreldes eelmise aasta sama perioodiga 2,6% võrra, sh vähenes mittefinantsettevõtete laenuportfell</w:t>
      </w:r>
      <w:r w:rsidR="00690179">
        <w:rPr>
          <w:sz w:val="21"/>
          <w:szCs w:val="21"/>
        </w:rPr>
        <w:t>i maht</w:t>
      </w:r>
      <w:r w:rsidRPr="002E6399">
        <w:rPr>
          <w:sz w:val="21"/>
          <w:szCs w:val="21"/>
        </w:rPr>
        <w:t xml:space="preserve"> 6,2%</w:t>
      </w:r>
      <w:r w:rsidR="00690179">
        <w:rPr>
          <w:sz w:val="21"/>
          <w:szCs w:val="21"/>
        </w:rPr>
        <w:t xml:space="preserve"> võrra</w:t>
      </w:r>
      <w:r w:rsidRPr="002E6399">
        <w:rPr>
          <w:sz w:val="21"/>
          <w:szCs w:val="21"/>
        </w:rPr>
        <w:t>.</w:t>
      </w:r>
      <w:r w:rsidRPr="002E6399">
        <w:rPr>
          <w:noProof/>
          <w:sz w:val="21"/>
          <w:szCs w:val="21"/>
          <w:lang w:eastAsia="et-EE"/>
        </w:rPr>
        <w:drawing>
          <wp:anchor distT="0" distB="0" distL="114300" distR="114300" simplePos="0" relativeHeight="251703296" behindDoc="0" locked="0" layoutInCell="1" allowOverlap="1" wp14:anchorId="302DF354" wp14:editId="6DDC9E7A">
            <wp:simplePos x="0" y="0"/>
            <wp:positionH relativeFrom="column">
              <wp:posOffset>2386647</wp:posOffset>
            </wp:positionH>
            <wp:positionV relativeFrom="paragraph">
              <wp:posOffset>691515</wp:posOffset>
            </wp:positionV>
            <wp:extent cx="3599815" cy="2159635"/>
            <wp:effectExtent l="0" t="0" r="635" b="0"/>
            <wp:wrapSquare wrapText="bothSides"/>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2E6399">
        <w:rPr>
          <w:sz w:val="21"/>
          <w:szCs w:val="21"/>
        </w:rPr>
        <w:t xml:space="preserve"> Eraisikute laenuportfelli aastakasv jäi kolmanda kvartali tasemele ja oli 6,7%. Peamiseks eraisikute laenukasvu mõjutajaks olid eluasemelaenud. </w:t>
      </w:r>
    </w:p>
    <w:p w:rsidR="005B6467" w:rsidRPr="002E6399" w:rsidRDefault="005B6467" w:rsidP="002E6399">
      <w:pPr>
        <w:pStyle w:val="MainText"/>
        <w:spacing w:after="120"/>
        <w:jc w:val="both"/>
        <w:rPr>
          <w:sz w:val="21"/>
          <w:szCs w:val="21"/>
        </w:rPr>
      </w:pPr>
      <w:r w:rsidRPr="002E6399">
        <w:rPr>
          <w:sz w:val="21"/>
          <w:szCs w:val="21"/>
        </w:rPr>
        <w:t xml:space="preserve">Hoiuste jäägi aastakasv aeglustus neljandas kvartalis kolmanda kvartali 5,4%lt 4,5%ni. Kuna hoiuste kasv ületas laenukasvu, langes pangandussektori (koos filiaalidega) laenude ja hoiuste suhtarv aastaga 107%ni. </w:t>
      </w:r>
    </w:p>
    <w:p w:rsidR="005B6467" w:rsidRPr="002E6399" w:rsidRDefault="005B6467" w:rsidP="002E6399">
      <w:pPr>
        <w:pStyle w:val="MainText"/>
        <w:spacing w:after="120"/>
        <w:jc w:val="both"/>
        <w:rPr>
          <w:sz w:val="21"/>
          <w:szCs w:val="21"/>
        </w:rPr>
      </w:pPr>
      <w:r w:rsidRPr="002E6399">
        <w:rPr>
          <w:sz w:val="21"/>
          <w:szCs w:val="21"/>
        </w:rPr>
        <w:t xml:space="preserve">Eesti pangandussektori laenukvaliteet on erakordselt hea. Pankade pikaajaliste ehk üle 90 päeva viivises olevate laenude osakaal </w:t>
      </w:r>
      <w:r w:rsidR="00D2733A" w:rsidRPr="002E6399">
        <w:rPr>
          <w:sz w:val="21"/>
          <w:szCs w:val="21"/>
        </w:rPr>
        <w:t>vähenes</w:t>
      </w:r>
      <w:r w:rsidRPr="002E6399">
        <w:rPr>
          <w:sz w:val="21"/>
          <w:szCs w:val="21"/>
        </w:rPr>
        <w:t xml:space="preserve"> ning oli aasta lõpus 0,82%. Paranemine suhtarvudes tulenes nii laenuportfelli kasvust kui ka probleemlaenude vähenemisest.</w:t>
      </w:r>
    </w:p>
    <w:p w:rsidR="005B6467" w:rsidRPr="002E6399" w:rsidRDefault="005B6467" w:rsidP="002E6399">
      <w:pPr>
        <w:pStyle w:val="MainText"/>
        <w:spacing w:after="120"/>
        <w:jc w:val="both"/>
        <w:rPr>
          <w:sz w:val="21"/>
          <w:szCs w:val="21"/>
        </w:rPr>
      </w:pPr>
      <w:r w:rsidRPr="002E6399">
        <w:rPr>
          <w:sz w:val="21"/>
          <w:szCs w:val="21"/>
        </w:rPr>
        <w:lastRenderedPageBreak/>
        <w:t xml:space="preserve">Pankade likviidsusseis </w:t>
      </w:r>
      <w:r w:rsidR="00690179">
        <w:rPr>
          <w:sz w:val="21"/>
          <w:szCs w:val="21"/>
        </w:rPr>
        <w:t>on püsinud tugev</w:t>
      </w:r>
      <w:r w:rsidRPr="002E6399">
        <w:rPr>
          <w:sz w:val="21"/>
          <w:szCs w:val="21"/>
        </w:rPr>
        <w:t>. Kõik pangad täitsid likviidsuskattekordaja nõuet piisava varuga, ehkki sektori keskmine näitaja langes aasta lõpus kolmanda kvartali 181%lt 165%ni. Lisaks likviidsuskattekordaja täitmiseks mõeldud vahenditele on pankadel ka muid likviidseid vahend</w:t>
      </w:r>
      <w:r w:rsidR="00B44782">
        <w:rPr>
          <w:sz w:val="21"/>
          <w:szCs w:val="21"/>
        </w:rPr>
        <w:t xml:space="preserve">eid (hoiused krediidiasutustes) </w:t>
      </w:r>
      <w:r w:rsidRPr="002E6399">
        <w:rPr>
          <w:sz w:val="21"/>
          <w:szCs w:val="21"/>
        </w:rPr>
        <w:t>ning selliste varade osakaal moodustas 23% varadest.</w:t>
      </w:r>
    </w:p>
    <w:p w:rsidR="005B6467" w:rsidRPr="002E6399" w:rsidRDefault="005B6467" w:rsidP="002E6399">
      <w:pPr>
        <w:pStyle w:val="MainText"/>
        <w:spacing w:after="120"/>
        <w:jc w:val="both"/>
        <w:rPr>
          <w:sz w:val="21"/>
          <w:szCs w:val="21"/>
        </w:rPr>
      </w:pPr>
      <w:r w:rsidRPr="002E6399">
        <w:rPr>
          <w:sz w:val="21"/>
          <w:szCs w:val="21"/>
        </w:rPr>
        <w:t xml:space="preserve">Pankade ressurss suurenes neljandas kvartalis 2,4% võrra. </w:t>
      </w:r>
      <w:r w:rsidR="00B44782">
        <w:rPr>
          <w:sz w:val="21"/>
          <w:szCs w:val="21"/>
        </w:rPr>
        <w:t>Ressursi liikidest kasvas e</w:t>
      </w:r>
      <w:r w:rsidRPr="002E6399">
        <w:rPr>
          <w:sz w:val="21"/>
          <w:szCs w:val="21"/>
        </w:rPr>
        <w:t>nim krediidiasutuste ja kodumajapidamiste ning vähene</w:t>
      </w:r>
      <w:r w:rsidR="00B44782">
        <w:rPr>
          <w:sz w:val="21"/>
          <w:szCs w:val="21"/>
        </w:rPr>
        <w:t>s</w:t>
      </w:r>
      <w:r w:rsidRPr="002E6399">
        <w:rPr>
          <w:sz w:val="21"/>
          <w:szCs w:val="21"/>
        </w:rPr>
        <w:t xml:space="preserve"> keskvalitsuse ja pensionifondide hoiuste maht. Klientide hoiused suurenesid kvartaliga 0,9% võrra. Residentide hoiused suurenesid 1,8% ning mitteresidentide hoiused vähenesid 5,5% võrra. Kokkuvõttes langes mitteresidentidest klientide hoiuste osakaal </w:t>
      </w:r>
      <w:r w:rsidR="00B44782">
        <w:rPr>
          <w:sz w:val="21"/>
          <w:szCs w:val="21"/>
        </w:rPr>
        <w:t xml:space="preserve">neljandas kvartalis </w:t>
      </w:r>
      <w:r w:rsidRPr="002E6399">
        <w:rPr>
          <w:sz w:val="21"/>
          <w:szCs w:val="21"/>
        </w:rPr>
        <w:t>kolmanda kvartali 12,5%lt 11,7%ni.</w:t>
      </w:r>
    </w:p>
    <w:p w:rsidR="005B6467" w:rsidRPr="002E6399" w:rsidRDefault="005B6467" w:rsidP="002E6399">
      <w:pPr>
        <w:pStyle w:val="MainText"/>
        <w:spacing w:after="120"/>
        <w:jc w:val="both"/>
        <w:rPr>
          <w:sz w:val="21"/>
          <w:szCs w:val="21"/>
        </w:rPr>
      </w:pPr>
      <w:r w:rsidRPr="002E6399">
        <w:rPr>
          <w:sz w:val="21"/>
          <w:szCs w:val="21"/>
        </w:rPr>
        <w:t xml:space="preserve">Pangad ja filiaalid teenisid neljandas kvartalis 78,3 miljonit eurot kasumit, 8% vähem kui kolmandas kvartalis. Pangandussektori tulu oli aga 1% võrra suurem, küündides 211,6 miljoni euroni. Peamistest tululiikidest teenustasutulud </w:t>
      </w:r>
      <w:r w:rsidR="00B44782">
        <w:rPr>
          <w:sz w:val="21"/>
          <w:szCs w:val="21"/>
        </w:rPr>
        <w:t xml:space="preserve">kasvasid, </w:t>
      </w:r>
      <w:r w:rsidRPr="002E6399">
        <w:rPr>
          <w:sz w:val="21"/>
          <w:szCs w:val="21"/>
        </w:rPr>
        <w:t xml:space="preserve">kvartaliga 3%, ent intressitulud </w:t>
      </w:r>
      <w:r w:rsidR="00B44782">
        <w:rPr>
          <w:sz w:val="21"/>
          <w:szCs w:val="21"/>
        </w:rPr>
        <w:t>vähenesid,</w:t>
      </w:r>
      <w:r w:rsidRPr="002E6399">
        <w:rPr>
          <w:sz w:val="21"/>
          <w:szCs w:val="21"/>
        </w:rPr>
        <w:t xml:space="preserve"> 2% </w:t>
      </w:r>
      <w:r w:rsidR="00B44782">
        <w:rPr>
          <w:sz w:val="21"/>
          <w:szCs w:val="21"/>
        </w:rPr>
        <w:t>jagu</w:t>
      </w:r>
      <w:r w:rsidRPr="002E6399">
        <w:rPr>
          <w:sz w:val="21"/>
          <w:szCs w:val="21"/>
        </w:rPr>
        <w:t>.</w:t>
      </w:r>
    </w:p>
    <w:p w:rsidR="005B6467" w:rsidRPr="002E6399" w:rsidRDefault="00B44782" w:rsidP="002E6399">
      <w:pPr>
        <w:pStyle w:val="MainText"/>
        <w:spacing w:after="120"/>
        <w:jc w:val="both"/>
        <w:rPr>
          <w:sz w:val="21"/>
          <w:szCs w:val="21"/>
        </w:rPr>
      </w:pPr>
      <w:r>
        <w:rPr>
          <w:sz w:val="21"/>
          <w:szCs w:val="21"/>
        </w:rPr>
        <w:t>2017. a</w:t>
      </w:r>
      <w:r w:rsidR="005B6467" w:rsidRPr="002E6399">
        <w:rPr>
          <w:sz w:val="21"/>
          <w:szCs w:val="21"/>
        </w:rPr>
        <w:t>asta kokkuvõttes teenis pangandussektor kasumit 342 miljonit eurot</w:t>
      </w:r>
      <w:r>
        <w:rPr>
          <w:sz w:val="21"/>
          <w:szCs w:val="21"/>
        </w:rPr>
        <w:t xml:space="preserve"> ehk</w:t>
      </w:r>
      <w:r w:rsidR="005B6467" w:rsidRPr="002E6399">
        <w:rPr>
          <w:sz w:val="21"/>
          <w:szCs w:val="21"/>
        </w:rPr>
        <w:t xml:space="preserve"> 5% </w:t>
      </w:r>
      <w:r>
        <w:rPr>
          <w:sz w:val="21"/>
          <w:szCs w:val="21"/>
        </w:rPr>
        <w:t xml:space="preserve">võrra </w:t>
      </w:r>
      <w:r w:rsidR="005B6467" w:rsidRPr="002E6399">
        <w:rPr>
          <w:sz w:val="21"/>
          <w:szCs w:val="21"/>
        </w:rPr>
        <w:t xml:space="preserve">vähem kui </w:t>
      </w:r>
      <w:r>
        <w:rPr>
          <w:sz w:val="21"/>
          <w:szCs w:val="21"/>
        </w:rPr>
        <w:t>aasta varem</w:t>
      </w:r>
      <w:r w:rsidR="005B6467" w:rsidRPr="002E6399">
        <w:rPr>
          <w:sz w:val="21"/>
          <w:szCs w:val="21"/>
        </w:rPr>
        <w:t>. Pangandussektori tulud</w:t>
      </w:r>
      <w:r>
        <w:rPr>
          <w:sz w:val="21"/>
          <w:szCs w:val="21"/>
        </w:rPr>
        <w:t xml:space="preserve"> </w:t>
      </w:r>
      <w:r w:rsidR="005B6467" w:rsidRPr="002E6399">
        <w:rPr>
          <w:sz w:val="21"/>
          <w:szCs w:val="21"/>
        </w:rPr>
        <w:t xml:space="preserve">kokku </w:t>
      </w:r>
      <w:r w:rsidRPr="002E6399">
        <w:rPr>
          <w:sz w:val="21"/>
          <w:szCs w:val="21"/>
        </w:rPr>
        <w:t xml:space="preserve">olid </w:t>
      </w:r>
      <w:r w:rsidR="005B6467" w:rsidRPr="002E6399">
        <w:rPr>
          <w:sz w:val="21"/>
          <w:szCs w:val="21"/>
        </w:rPr>
        <w:t xml:space="preserve">835 miljonit eurot ehk 6% </w:t>
      </w:r>
      <w:r w:rsidR="008E5456">
        <w:rPr>
          <w:sz w:val="21"/>
          <w:szCs w:val="21"/>
        </w:rPr>
        <w:t xml:space="preserve">võrra </w:t>
      </w:r>
      <w:r w:rsidR="005B6467" w:rsidRPr="002E6399">
        <w:rPr>
          <w:sz w:val="21"/>
          <w:szCs w:val="21"/>
        </w:rPr>
        <w:t xml:space="preserve">väiksemad kui </w:t>
      </w:r>
      <w:r w:rsidR="008E5456">
        <w:rPr>
          <w:sz w:val="21"/>
          <w:szCs w:val="21"/>
        </w:rPr>
        <w:t>2016. aastal</w:t>
      </w:r>
      <w:r w:rsidR="005B6467" w:rsidRPr="002E6399">
        <w:rPr>
          <w:sz w:val="21"/>
          <w:szCs w:val="21"/>
        </w:rPr>
        <w:t xml:space="preserve">. </w:t>
      </w:r>
    </w:p>
    <w:p w:rsidR="005B6467" w:rsidRPr="002E6399" w:rsidRDefault="005B6467" w:rsidP="002E6399">
      <w:pPr>
        <w:pStyle w:val="MainText"/>
        <w:spacing w:after="120"/>
        <w:jc w:val="both"/>
        <w:rPr>
          <w:sz w:val="21"/>
          <w:szCs w:val="21"/>
        </w:rPr>
      </w:pPr>
      <w:r w:rsidRPr="002E6399">
        <w:rPr>
          <w:sz w:val="21"/>
          <w:szCs w:val="21"/>
        </w:rPr>
        <w:t xml:space="preserve">Pankade aastane omakapitali tootlikkus kerkis </w:t>
      </w:r>
      <w:r w:rsidR="008E5456">
        <w:rPr>
          <w:sz w:val="21"/>
          <w:szCs w:val="21"/>
        </w:rPr>
        <w:t xml:space="preserve">neljanda kvartali lõpuks </w:t>
      </w:r>
      <w:r w:rsidRPr="002E6399">
        <w:rPr>
          <w:sz w:val="21"/>
          <w:szCs w:val="21"/>
        </w:rPr>
        <w:t xml:space="preserve">kolmanda kvartali 10,2%lt 10,3%ni. </w:t>
      </w:r>
    </w:p>
    <w:p w:rsidR="005B6467" w:rsidRPr="002E6399" w:rsidRDefault="005B6467" w:rsidP="00C509FF">
      <w:pPr>
        <w:pStyle w:val="MainText"/>
        <w:spacing w:after="120"/>
        <w:jc w:val="both"/>
        <w:rPr>
          <w:color w:val="00B0F0"/>
          <w:sz w:val="21"/>
          <w:szCs w:val="21"/>
        </w:rPr>
      </w:pPr>
      <w:r w:rsidRPr="002E6399">
        <w:rPr>
          <w:sz w:val="21"/>
          <w:szCs w:val="21"/>
        </w:rPr>
        <w:t xml:space="preserve">Usaldatavusnõuete näitajad neljandas kvartalis langesid. Esimese taseme põhiomavahendite suhtarv </w:t>
      </w:r>
      <w:r w:rsidR="008E5456">
        <w:rPr>
          <w:sz w:val="21"/>
          <w:szCs w:val="21"/>
        </w:rPr>
        <w:t>vähenes</w:t>
      </w:r>
      <w:r w:rsidRPr="002E6399">
        <w:rPr>
          <w:sz w:val="21"/>
          <w:szCs w:val="21"/>
        </w:rPr>
        <w:t xml:space="preserve"> 35,7%lt 30,1%ni, konsolideeritud arvestuses oli see näitaja 30,1%. Langus kapitaliseerituses tulenes peamiselt riskivarade suurenemisest.</w:t>
      </w:r>
    </w:p>
    <w:p w:rsidR="002E6399" w:rsidRDefault="002E6399" w:rsidP="00C509FF">
      <w:pPr>
        <w:pStyle w:val="Heading3"/>
        <w:spacing w:before="0" w:after="120" w:line="300" w:lineRule="auto"/>
        <w:rPr>
          <w:rFonts w:asciiTheme="minorHAnsi" w:hAnsiTheme="minorHAnsi"/>
          <w:szCs w:val="21"/>
        </w:rPr>
      </w:pPr>
      <w:bookmarkStart w:id="4" w:name="_Toc507671950"/>
    </w:p>
    <w:bookmarkEnd w:id="4"/>
    <w:p w:rsidR="002E6399" w:rsidRPr="002E6399" w:rsidRDefault="002E6399" w:rsidP="00C509FF">
      <w:pPr>
        <w:tabs>
          <w:tab w:val="left" w:pos="284"/>
        </w:tabs>
        <w:spacing w:after="120" w:line="300" w:lineRule="auto"/>
        <w:rPr>
          <w:rFonts w:ascii="Publico Headline" w:hAnsi="Publico Headline"/>
          <w:color w:val="500778"/>
          <w:sz w:val="24"/>
          <w:szCs w:val="24"/>
        </w:rPr>
      </w:pPr>
      <w:r w:rsidRPr="002E6399">
        <w:rPr>
          <w:rFonts w:ascii="Publico Headline" w:hAnsi="Publico Headline"/>
          <w:color w:val="500778"/>
          <w:sz w:val="24"/>
          <w:szCs w:val="24"/>
        </w:rPr>
        <w:t>Peamised arengusuunad ja riskid</w:t>
      </w:r>
    </w:p>
    <w:p w:rsidR="005B6467" w:rsidRPr="002E6399" w:rsidRDefault="005B6467" w:rsidP="002E6399">
      <w:pPr>
        <w:pStyle w:val="ListParagraph"/>
        <w:numPr>
          <w:ilvl w:val="0"/>
          <w:numId w:val="19"/>
        </w:numPr>
        <w:tabs>
          <w:tab w:val="left" w:pos="284"/>
        </w:tabs>
        <w:spacing w:after="120" w:line="300" w:lineRule="auto"/>
        <w:ind w:left="714" w:hanging="357"/>
        <w:contextualSpacing w:val="0"/>
        <w:rPr>
          <w:szCs w:val="21"/>
        </w:rPr>
      </w:pPr>
      <w:r w:rsidRPr="002E6399">
        <w:rPr>
          <w:szCs w:val="21"/>
        </w:rPr>
        <w:t>Pankade pikaajaliste ehk üle 90 päeva viivises olevate laenude osakaal on languses. Pikaajalised viivised on täies mahus kaetud allahindlustega.</w:t>
      </w:r>
    </w:p>
    <w:p w:rsidR="005B6467" w:rsidRPr="002E6399" w:rsidRDefault="005B6467" w:rsidP="002E6399">
      <w:pPr>
        <w:pStyle w:val="ListParagraph"/>
        <w:numPr>
          <w:ilvl w:val="0"/>
          <w:numId w:val="19"/>
        </w:numPr>
        <w:tabs>
          <w:tab w:val="left" w:pos="284"/>
        </w:tabs>
        <w:spacing w:after="120" w:line="300" w:lineRule="auto"/>
        <w:ind w:left="714" w:hanging="357"/>
        <w:contextualSpacing w:val="0"/>
        <w:rPr>
          <w:szCs w:val="21"/>
        </w:rPr>
      </w:pPr>
      <w:r w:rsidRPr="002E6399">
        <w:rPr>
          <w:szCs w:val="21"/>
        </w:rPr>
        <w:t>Pangad on likviidsed. Pangandussektori keskmine likviidsusnäitaja (LCR) ületas suure varuga normatiivi. Lisaks normatiivi täitmisele hoidsid pangad täiendavat likviidsust mitte-LCR instrumentides.</w:t>
      </w:r>
    </w:p>
    <w:p w:rsidR="005B6467" w:rsidRPr="002E6399" w:rsidRDefault="005B6467" w:rsidP="002E6399">
      <w:pPr>
        <w:pStyle w:val="ListParagraph"/>
        <w:numPr>
          <w:ilvl w:val="0"/>
          <w:numId w:val="19"/>
        </w:numPr>
        <w:tabs>
          <w:tab w:val="left" w:pos="284"/>
        </w:tabs>
        <w:spacing w:after="120" w:line="300" w:lineRule="auto"/>
        <w:ind w:left="714" w:hanging="357"/>
        <w:contextualSpacing w:val="0"/>
        <w:rPr>
          <w:szCs w:val="21"/>
        </w:rPr>
      </w:pPr>
      <w:r w:rsidRPr="002E6399">
        <w:rPr>
          <w:szCs w:val="21"/>
        </w:rPr>
        <w:t>Tururiski osakaal on suhteliselt madal, väärtpaberiportfelli osakaal moodustab 3-4% varadest. Enamik tururiski kandvatest varadest on võlakirjadega seotud ning paigutatud kvaliteetsetesse väärtpaberitesse.</w:t>
      </w:r>
    </w:p>
    <w:p w:rsidR="005B6467" w:rsidRPr="002E6399" w:rsidRDefault="005B6467" w:rsidP="002E6399">
      <w:pPr>
        <w:pStyle w:val="ListParagraph"/>
        <w:numPr>
          <w:ilvl w:val="0"/>
          <w:numId w:val="19"/>
        </w:numPr>
        <w:tabs>
          <w:tab w:val="left" w:pos="284"/>
        </w:tabs>
        <w:spacing w:after="120" w:line="300" w:lineRule="auto"/>
        <w:ind w:left="714" w:hanging="357"/>
        <w:contextualSpacing w:val="0"/>
        <w:rPr>
          <w:szCs w:val="21"/>
        </w:rPr>
      </w:pPr>
      <w:r w:rsidRPr="002E6399">
        <w:rPr>
          <w:szCs w:val="21"/>
        </w:rPr>
        <w:t>Pankade kasumlikkus püsib hea. Neljandas kvartalis suurenes pankade aastane omakapitali tootlikkus. See näitab, et pangad suudavad madalate intressimäärade keskkonnas säilitada kasumlikkust.</w:t>
      </w:r>
    </w:p>
    <w:p w:rsidR="005B6467" w:rsidRPr="002E6399" w:rsidRDefault="008E5456" w:rsidP="002E6399">
      <w:pPr>
        <w:pStyle w:val="ListParagraph"/>
        <w:numPr>
          <w:ilvl w:val="0"/>
          <w:numId w:val="19"/>
        </w:numPr>
        <w:tabs>
          <w:tab w:val="left" w:pos="284"/>
        </w:tabs>
        <w:spacing w:after="120" w:line="300" w:lineRule="auto"/>
        <w:ind w:left="714" w:hanging="357"/>
        <w:contextualSpacing w:val="0"/>
        <w:rPr>
          <w:szCs w:val="21"/>
        </w:rPr>
      </w:pPr>
      <w:r>
        <w:rPr>
          <w:szCs w:val="21"/>
        </w:rPr>
        <w:t>Neljandas kvartalis toimus kaheksa</w:t>
      </w:r>
      <w:r w:rsidR="005B6467" w:rsidRPr="002E6399">
        <w:rPr>
          <w:szCs w:val="21"/>
        </w:rPr>
        <w:t xml:space="preserve"> äritegevuse jätkuvu</w:t>
      </w:r>
      <w:r w:rsidR="006B365A">
        <w:rPr>
          <w:szCs w:val="21"/>
        </w:rPr>
        <w:t>st häirinud süsteemitõrget kogu</w:t>
      </w:r>
      <w:bookmarkStart w:id="5" w:name="_GoBack"/>
      <w:bookmarkEnd w:id="5"/>
      <w:r w:rsidR="005B6467" w:rsidRPr="002E6399">
        <w:rPr>
          <w:szCs w:val="21"/>
        </w:rPr>
        <w:t xml:space="preserve">kestvusega 13 tundi. </w:t>
      </w:r>
      <w:r>
        <w:rPr>
          <w:noProof/>
          <w:szCs w:val="21"/>
          <w:lang w:eastAsia="et-EE"/>
        </w:rPr>
        <w:t>2017. aastal</w:t>
      </w:r>
      <w:r w:rsidR="005B6467" w:rsidRPr="002E6399">
        <w:rPr>
          <w:noProof/>
          <w:szCs w:val="21"/>
          <w:lang w:eastAsia="et-EE"/>
        </w:rPr>
        <w:t xml:space="preserve"> suurenes raporteeritud intsidentide arv võrreldes eelneva aastaga 17%.</w:t>
      </w:r>
    </w:p>
    <w:p w:rsidR="005B6467" w:rsidRPr="002E6399" w:rsidRDefault="005B6467" w:rsidP="002E6399">
      <w:pPr>
        <w:pStyle w:val="ListParagraph"/>
        <w:numPr>
          <w:ilvl w:val="0"/>
          <w:numId w:val="19"/>
        </w:numPr>
        <w:tabs>
          <w:tab w:val="left" w:pos="284"/>
        </w:tabs>
        <w:spacing w:after="120" w:line="300" w:lineRule="auto"/>
        <w:ind w:left="714" w:hanging="357"/>
        <w:contextualSpacing w:val="0"/>
        <w:rPr>
          <w:szCs w:val="21"/>
        </w:rPr>
      </w:pPr>
      <w:r w:rsidRPr="002E6399">
        <w:rPr>
          <w:szCs w:val="21"/>
        </w:rPr>
        <w:t xml:space="preserve">Mitteresidentide hoiuste osakaal langes aasta lõpus 11,7%ni. Kuna mitteresidentide hoiused on oma olemuselt </w:t>
      </w:r>
      <w:proofErr w:type="spellStart"/>
      <w:r w:rsidRPr="002E6399">
        <w:rPr>
          <w:szCs w:val="21"/>
        </w:rPr>
        <w:t>volatiilsemad</w:t>
      </w:r>
      <w:proofErr w:type="spellEnd"/>
      <w:r w:rsidRPr="002E6399">
        <w:rPr>
          <w:szCs w:val="21"/>
        </w:rPr>
        <w:t>, hoiavad pangad nimetatud hoiustega seonduva likviidsusriski katteks kõrgemaid likviidsuspuhvreid.</w:t>
      </w:r>
    </w:p>
    <w:p w:rsidR="005B6467" w:rsidRPr="006D6FB3" w:rsidRDefault="005B6467" w:rsidP="005B6467">
      <w:pPr>
        <w:pStyle w:val="ListParagraph"/>
        <w:numPr>
          <w:ilvl w:val="0"/>
          <w:numId w:val="19"/>
        </w:numPr>
        <w:tabs>
          <w:tab w:val="left" w:pos="284"/>
        </w:tabs>
        <w:spacing w:after="120" w:line="300" w:lineRule="auto"/>
        <w:ind w:left="714" w:hanging="357"/>
        <w:contextualSpacing w:val="0"/>
        <w:rPr>
          <w:szCs w:val="21"/>
        </w:rPr>
      </w:pPr>
      <w:r w:rsidRPr="002E6399">
        <w:rPr>
          <w:szCs w:val="21"/>
        </w:rPr>
        <w:t xml:space="preserve">Riskid on endiselt üleval emapankade koduturgudel Rootsis. Kinnisvarahinnad aasta teises pooles Rootsis langesid. Rootsi kinnisvarasektoriga seonduvad riskid püsivad endiselt ning riskide realiseerumisel võib selle mõju kanduda ka Eesti pangandusturule. Seetõttu on oluline, et pangad säilitaksid riskide realiseerumise katteks piisavad kapitalipuhvrid, mille olemasolu vähendab piiriüleste </w:t>
      </w:r>
      <w:r w:rsidRPr="002E6399">
        <w:rPr>
          <w:szCs w:val="21"/>
        </w:rPr>
        <w:lastRenderedPageBreak/>
        <w:t xml:space="preserve">riskide ülekandumise mõju. Lisaks Rootsi kinnisvarasektoriga seotud riskidele on probleemiks majapidamiste kõrge võlakoormus ning pankade finantseerimise struktuuri </w:t>
      </w:r>
      <w:proofErr w:type="spellStart"/>
      <w:r w:rsidRPr="002E6399">
        <w:rPr>
          <w:szCs w:val="21"/>
        </w:rPr>
        <w:t>haavatavus</w:t>
      </w:r>
      <w:proofErr w:type="spellEnd"/>
      <w:r w:rsidRPr="002E6399">
        <w:rPr>
          <w:szCs w:val="21"/>
        </w:rPr>
        <w:t>.</w:t>
      </w:r>
    </w:p>
    <w:bookmarkEnd w:id="0"/>
    <w:bookmarkEnd w:id="1"/>
    <w:bookmarkEnd w:id="2"/>
    <w:bookmarkEnd w:id="3"/>
    <w:sectPr w:rsidR="005B6467" w:rsidRPr="006D6FB3" w:rsidSect="006D6FB3">
      <w:headerReference w:type="default" r:id="rId10"/>
      <w:footerReference w:type="default" r:id="rId11"/>
      <w:headerReference w:type="first" r:id="rId12"/>
      <w:type w:val="continuous"/>
      <w:pgSz w:w="11906" w:h="16838" w:code="9"/>
      <w:pgMar w:top="851" w:right="851" w:bottom="851" w:left="1701"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DDD" w:rsidRDefault="00551DDD" w:rsidP="00DD5C49">
      <w:r>
        <w:separator/>
      </w:r>
    </w:p>
    <w:p w:rsidR="00551DDD" w:rsidRDefault="00551DDD"/>
  </w:endnote>
  <w:endnote w:type="continuationSeparator" w:id="0">
    <w:p w:rsidR="00551DDD" w:rsidRDefault="00551DDD" w:rsidP="00DD5C49">
      <w:r>
        <w:continuationSeparator/>
      </w:r>
    </w:p>
    <w:p w:rsidR="00551DDD" w:rsidRDefault="00551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w:altName w:val="Arial"/>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tlas Grotesk Light">
    <w:panose1 w:val="00000000000000000000"/>
    <w:charset w:val="00"/>
    <w:family w:val="modern"/>
    <w:notTrueType/>
    <w:pitch w:val="variable"/>
    <w:sig w:usb0="00000007" w:usb1="00000000" w:usb2="00000000" w:usb3="00000000" w:csb0="00000093" w:csb1="00000000"/>
  </w:font>
  <w:font w:name="Publico Light">
    <w:altName w:val="Arial"/>
    <w:panose1 w:val="00000000000000000000"/>
    <w:charset w:val="00"/>
    <w:family w:val="modern"/>
    <w:notTrueType/>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Publico Headline">
    <w:panose1 w:val="02040502060504060203"/>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32102"/>
      <w:docPartObj>
        <w:docPartGallery w:val="Page Numbers (Bottom of Page)"/>
        <w:docPartUnique/>
      </w:docPartObj>
    </w:sdtPr>
    <w:sdtEndPr/>
    <w:sdtContent>
      <w:sdt>
        <w:sdtPr>
          <w:id w:val="-1308784095"/>
          <w:docPartObj>
            <w:docPartGallery w:val="Page Numbers (Top of Page)"/>
            <w:docPartUnique/>
          </w:docPartObj>
        </w:sdtPr>
        <w:sdtEndPr/>
        <w:sdtContent>
          <w:p w:rsidR="00115410" w:rsidRDefault="00115410" w:rsidP="00447F54">
            <w:pPr>
              <w:pStyle w:val="Footer"/>
              <w:jc w:val="right"/>
            </w:pPr>
            <w:r>
              <w:rPr>
                <w:noProof/>
                <w:lang w:eastAsia="et-EE"/>
              </w:rPr>
              <w:drawing>
                <wp:anchor distT="180340" distB="0" distL="114300" distR="114300" simplePos="0" relativeHeight="251662336" behindDoc="0" locked="0" layoutInCell="1" allowOverlap="1" wp14:anchorId="2C7D0297" wp14:editId="52D914C6">
                  <wp:simplePos x="0" y="0"/>
                  <wp:positionH relativeFrom="column">
                    <wp:align>left</wp:align>
                  </wp:positionH>
                  <wp:positionV relativeFrom="page">
                    <wp:posOffset>10081260</wp:posOffset>
                  </wp:positionV>
                  <wp:extent cx="1077480" cy="122040"/>
                  <wp:effectExtent l="0" t="0" r="8890" b="0"/>
                  <wp:wrapNone/>
                  <wp:docPr id="4" name="Picture 4"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48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5F65">
              <w:rPr>
                <w:bCs/>
                <w:color w:val="500778"/>
                <w:sz w:val="14"/>
                <w:szCs w:val="14"/>
              </w:rPr>
              <w:fldChar w:fldCharType="begin"/>
            </w:r>
            <w:r w:rsidRPr="00FF5F65">
              <w:rPr>
                <w:bCs/>
                <w:color w:val="500778"/>
                <w:sz w:val="14"/>
                <w:szCs w:val="14"/>
              </w:rPr>
              <w:instrText xml:space="preserve"> PAGE </w:instrText>
            </w:r>
            <w:r w:rsidRPr="00FF5F65">
              <w:rPr>
                <w:bCs/>
                <w:color w:val="500778"/>
                <w:sz w:val="14"/>
                <w:szCs w:val="14"/>
              </w:rPr>
              <w:fldChar w:fldCharType="separate"/>
            </w:r>
            <w:r w:rsidR="006B365A">
              <w:rPr>
                <w:bCs/>
                <w:noProof/>
                <w:color w:val="500778"/>
                <w:sz w:val="14"/>
                <w:szCs w:val="14"/>
              </w:rPr>
              <w:t>3</w:t>
            </w:r>
            <w:r w:rsidRPr="00FF5F65">
              <w:rPr>
                <w:bCs/>
                <w:color w:val="500778"/>
                <w:sz w:val="14"/>
                <w:szCs w:val="14"/>
              </w:rPr>
              <w:fldChar w:fldCharType="end"/>
            </w:r>
            <w:r w:rsidRPr="00FF5F65">
              <w:rPr>
                <w:color w:val="500778"/>
                <w:sz w:val="14"/>
                <w:szCs w:val="14"/>
              </w:rPr>
              <w:t xml:space="preserve"> / </w:t>
            </w:r>
            <w:r w:rsidRPr="00FF5F65">
              <w:rPr>
                <w:bCs/>
                <w:color w:val="500778"/>
                <w:sz w:val="14"/>
                <w:szCs w:val="14"/>
              </w:rPr>
              <w:fldChar w:fldCharType="begin"/>
            </w:r>
            <w:r w:rsidRPr="00FF5F65">
              <w:rPr>
                <w:bCs/>
                <w:color w:val="500778"/>
                <w:sz w:val="14"/>
                <w:szCs w:val="14"/>
              </w:rPr>
              <w:instrText xml:space="preserve"> NUMPAGES  </w:instrText>
            </w:r>
            <w:r w:rsidRPr="00FF5F65">
              <w:rPr>
                <w:bCs/>
                <w:color w:val="500778"/>
                <w:sz w:val="14"/>
                <w:szCs w:val="14"/>
              </w:rPr>
              <w:fldChar w:fldCharType="separate"/>
            </w:r>
            <w:r w:rsidR="006B365A">
              <w:rPr>
                <w:bCs/>
                <w:noProof/>
                <w:color w:val="500778"/>
                <w:sz w:val="14"/>
                <w:szCs w:val="14"/>
              </w:rPr>
              <w:t>3</w:t>
            </w:r>
            <w:r w:rsidRPr="00FF5F65">
              <w:rPr>
                <w:bCs/>
                <w:color w:val="500778"/>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DDD" w:rsidRPr="003010D2" w:rsidRDefault="00551DDD" w:rsidP="00DD5C49">
      <w:pPr>
        <w:rPr>
          <w:color w:val="500778"/>
        </w:rPr>
      </w:pPr>
      <w:r w:rsidRPr="003010D2">
        <w:rPr>
          <w:color w:val="500778"/>
        </w:rPr>
        <w:separator/>
      </w:r>
    </w:p>
    <w:p w:rsidR="00551DDD" w:rsidRDefault="00551DDD"/>
  </w:footnote>
  <w:footnote w:type="continuationSeparator" w:id="0">
    <w:p w:rsidR="00551DDD" w:rsidRDefault="00551DDD" w:rsidP="00DD5C49">
      <w:r>
        <w:continuationSeparator/>
      </w:r>
    </w:p>
    <w:p w:rsidR="00551DDD" w:rsidRDefault="00551D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399" w:rsidRDefault="002E6399">
    <w:pPr>
      <w:pStyle w:val="Header"/>
    </w:pPr>
    <w:r>
      <w:rPr>
        <w:noProof/>
        <w:lang w:eastAsia="et-EE"/>
      </w:rPr>
      <w:drawing>
        <wp:anchor distT="0" distB="0" distL="114300" distR="114300" simplePos="0" relativeHeight="251664384" behindDoc="0" locked="0" layoutInCell="1" allowOverlap="1" wp14:anchorId="0A110DA3" wp14:editId="4B44CEC0">
          <wp:simplePos x="0" y="0"/>
          <wp:positionH relativeFrom="page">
            <wp:posOffset>1080135</wp:posOffset>
          </wp:positionH>
          <wp:positionV relativeFrom="page">
            <wp:posOffset>360045</wp:posOffset>
          </wp:positionV>
          <wp:extent cx="1077120" cy="122040"/>
          <wp:effectExtent l="0" t="0" r="0" b="0"/>
          <wp:wrapNone/>
          <wp:docPr id="6" name="Picture 6"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12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5410" w:rsidRPr="0015129C" w:rsidRDefault="00115410" w:rsidP="00151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FB3" w:rsidRDefault="006D6FB3">
    <w:pPr>
      <w:pStyle w:val="Header"/>
    </w:pPr>
    <w:r>
      <w:rPr>
        <w:noProof/>
        <w:lang w:eastAsia="et-EE"/>
      </w:rPr>
      <w:drawing>
        <wp:anchor distT="0" distB="0" distL="114300" distR="114300" simplePos="0" relativeHeight="251666432" behindDoc="0" locked="0" layoutInCell="1" allowOverlap="1" wp14:anchorId="701F3617" wp14:editId="786AFC06">
          <wp:simplePos x="0" y="0"/>
          <wp:positionH relativeFrom="page">
            <wp:posOffset>1080135</wp:posOffset>
          </wp:positionH>
          <wp:positionV relativeFrom="page">
            <wp:posOffset>360045</wp:posOffset>
          </wp:positionV>
          <wp:extent cx="1077120" cy="122040"/>
          <wp:effectExtent l="0" t="0" r="0" b="0"/>
          <wp:wrapNone/>
          <wp:docPr id="11" name="Picture 11"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12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5410" w:rsidRPr="00812B47" w:rsidRDefault="00115410" w:rsidP="006D6FB3">
    <w:pPr>
      <w:pStyle w:val="Header"/>
      <w:spacing w:after="170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A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F06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0D49FE"/>
    <w:multiLevelType w:val="hybridMultilevel"/>
    <w:tmpl w:val="426A6320"/>
    <w:lvl w:ilvl="0" w:tplc="36C8FB7C">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A456E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BB7770"/>
    <w:multiLevelType w:val="hybridMultilevel"/>
    <w:tmpl w:val="9C0E53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E302F"/>
    <w:multiLevelType w:val="multilevel"/>
    <w:tmpl w:val="C248D3BA"/>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C5007"/>
    <w:multiLevelType w:val="hybridMultilevel"/>
    <w:tmpl w:val="0A82912C"/>
    <w:lvl w:ilvl="0" w:tplc="CA28E1D2">
      <w:numFmt w:val="bullet"/>
      <w:pStyle w:val="MainGrayBoxBulletlist"/>
      <w:lvlText w:val="•"/>
      <w:lvlJc w:val="left"/>
      <w:pPr>
        <w:ind w:left="3101" w:hanging="360"/>
      </w:pPr>
      <w:rPr>
        <w:rFonts w:ascii="Atlas Grotesk" w:eastAsiaTheme="minorHAnsi" w:hAnsi="Atlas Grotesk" w:cstheme="minorBidi" w:hint="default"/>
      </w:rPr>
    </w:lvl>
    <w:lvl w:ilvl="1" w:tplc="08090003" w:tentative="1">
      <w:start w:val="1"/>
      <w:numFmt w:val="bullet"/>
      <w:lvlText w:val="o"/>
      <w:lvlJc w:val="left"/>
      <w:pPr>
        <w:ind w:left="3821" w:hanging="360"/>
      </w:pPr>
      <w:rPr>
        <w:rFonts w:ascii="Courier New" w:hAnsi="Courier New" w:cs="Courier New" w:hint="default"/>
      </w:rPr>
    </w:lvl>
    <w:lvl w:ilvl="2" w:tplc="08090005" w:tentative="1">
      <w:start w:val="1"/>
      <w:numFmt w:val="bullet"/>
      <w:lvlText w:val=""/>
      <w:lvlJc w:val="left"/>
      <w:pPr>
        <w:ind w:left="4541" w:hanging="360"/>
      </w:pPr>
      <w:rPr>
        <w:rFonts w:ascii="Wingdings" w:hAnsi="Wingdings" w:hint="default"/>
      </w:rPr>
    </w:lvl>
    <w:lvl w:ilvl="3" w:tplc="08090001" w:tentative="1">
      <w:start w:val="1"/>
      <w:numFmt w:val="bullet"/>
      <w:lvlText w:val=""/>
      <w:lvlJc w:val="left"/>
      <w:pPr>
        <w:ind w:left="5261" w:hanging="360"/>
      </w:pPr>
      <w:rPr>
        <w:rFonts w:ascii="Symbol" w:hAnsi="Symbol" w:hint="default"/>
      </w:rPr>
    </w:lvl>
    <w:lvl w:ilvl="4" w:tplc="08090003" w:tentative="1">
      <w:start w:val="1"/>
      <w:numFmt w:val="bullet"/>
      <w:lvlText w:val="o"/>
      <w:lvlJc w:val="left"/>
      <w:pPr>
        <w:ind w:left="5981" w:hanging="360"/>
      </w:pPr>
      <w:rPr>
        <w:rFonts w:ascii="Courier New" w:hAnsi="Courier New" w:cs="Courier New" w:hint="default"/>
      </w:rPr>
    </w:lvl>
    <w:lvl w:ilvl="5" w:tplc="08090005" w:tentative="1">
      <w:start w:val="1"/>
      <w:numFmt w:val="bullet"/>
      <w:lvlText w:val=""/>
      <w:lvlJc w:val="left"/>
      <w:pPr>
        <w:ind w:left="6701" w:hanging="360"/>
      </w:pPr>
      <w:rPr>
        <w:rFonts w:ascii="Wingdings" w:hAnsi="Wingdings" w:hint="default"/>
      </w:rPr>
    </w:lvl>
    <w:lvl w:ilvl="6" w:tplc="08090001" w:tentative="1">
      <w:start w:val="1"/>
      <w:numFmt w:val="bullet"/>
      <w:lvlText w:val=""/>
      <w:lvlJc w:val="left"/>
      <w:pPr>
        <w:ind w:left="7421" w:hanging="360"/>
      </w:pPr>
      <w:rPr>
        <w:rFonts w:ascii="Symbol" w:hAnsi="Symbol" w:hint="default"/>
      </w:rPr>
    </w:lvl>
    <w:lvl w:ilvl="7" w:tplc="08090003" w:tentative="1">
      <w:start w:val="1"/>
      <w:numFmt w:val="bullet"/>
      <w:lvlText w:val="o"/>
      <w:lvlJc w:val="left"/>
      <w:pPr>
        <w:ind w:left="8141" w:hanging="360"/>
      </w:pPr>
      <w:rPr>
        <w:rFonts w:ascii="Courier New" w:hAnsi="Courier New" w:cs="Courier New" w:hint="default"/>
      </w:rPr>
    </w:lvl>
    <w:lvl w:ilvl="8" w:tplc="08090005" w:tentative="1">
      <w:start w:val="1"/>
      <w:numFmt w:val="bullet"/>
      <w:lvlText w:val=""/>
      <w:lvlJc w:val="left"/>
      <w:pPr>
        <w:ind w:left="8861" w:hanging="360"/>
      </w:pPr>
      <w:rPr>
        <w:rFonts w:ascii="Wingdings" w:hAnsi="Wingdings" w:hint="default"/>
      </w:rPr>
    </w:lvl>
  </w:abstractNum>
  <w:abstractNum w:abstractNumId="7" w15:restartNumberingAfterBreak="0">
    <w:nsid w:val="2DCF0B11"/>
    <w:multiLevelType w:val="hybridMultilevel"/>
    <w:tmpl w:val="5824C4F0"/>
    <w:lvl w:ilvl="0" w:tplc="8796F4F0">
      <w:numFmt w:val="bullet"/>
      <w:lvlText w:val="•"/>
      <w:lvlJc w:val="left"/>
      <w:pPr>
        <w:ind w:left="720" w:hanging="360"/>
      </w:pPr>
      <w:rPr>
        <w:rFonts w:ascii="Atlas Grotesk" w:eastAsiaTheme="minorHAnsi" w:hAnsi="Atlas Grotes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4602B6"/>
    <w:multiLevelType w:val="hybridMultilevel"/>
    <w:tmpl w:val="121E880C"/>
    <w:lvl w:ilvl="0" w:tplc="B95A4A24">
      <w:start w:val="1"/>
      <w:numFmt w:val="bullet"/>
      <w:lvlText w:val=""/>
      <w:lvlJc w:val="left"/>
      <w:pPr>
        <w:ind w:left="2160" w:hanging="360"/>
      </w:pPr>
      <w:rPr>
        <w:rFonts w:ascii="Symbol" w:hAnsi="Symbol" w:hint="default"/>
        <w:color w:val="500778"/>
      </w:rPr>
    </w:lvl>
    <w:lvl w:ilvl="1" w:tplc="04250003" w:tentative="1">
      <w:start w:val="1"/>
      <w:numFmt w:val="bullet"/>
      <w:lvlText w:val="o"/>
      <w:lvlJc w:val="left"/>
      <w:pPr>
        <w:ind w:left="2880" w:hanging="360"/>
      </w:pPr>
      <w:rPr>
        <w:rFonts w:ascii="Courier New" w:hAnsi="Courier New" w:cs="Courier New" w:hint="default"/>
      </w:rPr>
    </w:lvl>
    <w:lvl w:ilvl="2" w:tplc="04250005" w:tentative="1">
      <w:start w:val="1"/>
      <w:numFmt w:val="bullet"/>
      <w:lvlText w:val=""/>
      <w:lvlJc w:val="left"/>
      <w:pPr>
        <w:ind w:left="3600" w:hanging="360"/>
      </w:pPr>
      <w:rPr>
        <w:rFonts w:ascii="Wingdings" w:hAnsi="Wingdings" w:hint="default"/>
      </w:rPr>
    </w:lvl>
    <w:lvl w:ilvl="3" w:tplc="04250001" w:tentative="1">
      <w:start w:val="1"/>
      <w:numFmt w:val="bullet"/>
      <w:lvlText w:val=""/>
      <w:lvlJc w:val="left"/>
      <w:pPr>
        <w:ind w:left="4320" w:hanging="360"/>
      </w:pPr>
      <w:rPr>
        <w:rFonts w:ascii="Symbol" w:hAnsi="Symbol" w:hint="default"/>
      </w:rPr>
    </w:lvl>
    <w:lvl w:ilvl="4" w:tplc="04250003" w:tentative="1">
      <w:start w:val="1"/>
      <w:numFmt w:val="bullet"/>
      <w:lvlText w:val="o"/>
      <w:lvlJc w:val="left"/>
      <w:pPr>
        <w:ind w:left="5040" w:hanging="360"/>
      </w:pPr>
      <w:rPr>
        <w:rFonts w:ascii="Courier New" w:hAnsi="Courier New" w:cs="Courier New" w:hint="default"/>
      </w:rPr>
    </w:lvl>
    <w:lvl w:ilvl="5" w:tplc="04250005" w:tentative="1">
      <w:start w:val="1"/>
      <w:numFmt w:val="bullet"/>
      <w:lvlText w:val=""/>
      <w:lvlJc w:val="left"/>
      <w:pPr>
        <w:ind w:left="5760" w:hanging="360"/>
      </w:pPr>
      <w:rPr>
        <w:rFonts w:ascii="Wingdings" w:hAnsi="Wingdings" w:hint="default"/>
      </w:rPr>
    </w:lvl>
    <w:lvl w:ilvl="6" w:tplc="04250001" w:tentative="1">
      <w:start w:val="1"/>
      <w:numFmt w:val="bullet"/>
      <w:lvlText w:val=""/>
      <w:lvlJc w:val="left"/>
      <w:pPr>
        <w:ind w:left="6480" w:hanging="360"/>
      </w:pPr>
      <w:rPr>
        <w:rFonts w:ascii="Symbol" w:hAnsi="Symbol" w:hint="default"/>
      </w:rPr>
    </w:lvl>
    <w:lvl w:ilvl="7" w:tplc="04250003" w:tentative="1">
      <w:start w:val="1"/>
      <w:numFmt w:val="bullet"/>
      <w:lvlText w:val="o"/>
      <w:lvlJc w:val="left"/>
      <w:pPr>
        <w:ind w:left="7200" w:hanging="360"/>
      </w:pPr>
      <w:rPr>
        <w:rFonts w:ascii="Courier New" w:hAnsi="Courier New" w:cs="Courier New" w:hint="default"/>
      </w:rPr>
    </w:lvl>
    <w:lvl w:ilvl="8" w:tplc="04250005" w:tentative="1">
      <w:start w:val="1"/>
      <w:numFmt w:val="bullet"/>
      <w:lvlText w:val=""/>
      <w:lvlJc w:val="left"/>
      <w:pPr>
        <w:ind w:left="7920" w:hanging="360"/>
      </w:pPr>
      <w:rPr>
        <w:rFonts w:ascii="Wingdings" w:hAnsi="Wingdings" w:hint="default"/>
      </w:rPr>
    </w:lvl>
  </w:abstractNum>
  <w:abstractNum w:abstractNumId="9" w15:restartNumberingAfterBreak="0">
    <w:nsid w:val="3C8C1699"/>
    <w:multiLevelType w:val="hybridMultilevel"/>
    <w:tmpl w:val="427C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32964"/>
    <w:multiLevelType w:val="hybridMultilevel"/>
    <w:tmpl w:val="3116A29C"/>
    <w:lvl w:ilvl="0" w:tplc="D1427E2C">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85A5F23"/>
    <w:multiLevelType w:val="hybridMultilevel"/>
    <w:tmpl w:val="638AFD80"/>
    <w:lvl w:ilvl="0" w:tplc="B95A4A24">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3657DF9"/>
    <w:multiLevelType w:val="hybridMultilevel"/>
    <w:tmpl w:val="36B890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4701A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BB63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C56625"/>
    <w:multiLevelType w:val="hybridMultilevel"/>
    <w:tmpl w:val="66A074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CF3F2D"/>
    <w:multiLevelType w:val="hybridMultilevel"/>
    <w:tmpl w:val="96CA322A"/>
    <w:lvl w:ilvl="0" w:tplc="D0F26D74">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59F16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B452BE"/>
    <w:multiLevelType w:val="hybridMultilevel"/>
    <w:tmpl w:val="2AC41F88"/>
    <w:lvl w:ilvl="0" w:tplc="36C8FB7C">
      <w:start w:val="1"/>
      <w:numFmt w:val="bullet"/>
      <w:lvlText w:val=""/>
      <w:lvlJc w:val="left"/>
      <w:pPr>
        <w:ind w:left="720" w:hanging="360"/>
      </w:pPr>
      <w:rPr>
        <w:rFonts w:ascii="Symbol" w:hAnsi="Symbol" w:hint="default"/>
        <w:color w:val="50077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E5D1C"/>
    <w:multiLevelType w:val="hybridMultilevel"/>
    <w:tmpl w:val="27A2E3DE"/>
    <w:lvl w:ilvl="0" w:tplc="36C8FB7C">
      <w:start w:val="1"/>
      <w:numFmt w:val="bullet"/>
      <w:lvlText w:val=""/>
      <w:lvlJc w:val="left"/>
      <w:pPr>
        <w:ind w:left="720" w:hanging="360"/>
      </w:pPr>
      <w:rPr>
        <w:rFonts w:ascii="Symbol" w:hAnsi="Symbol" w:hint="default"/>
        <w:color w:val="50077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4"/>
  </w:num>
  <w:num w:numId="4">
    <w:abstractNumId w:val="1"/>
  </w:num>
  <w:num w:numId="5">
    <w:abstractNumId w:val="3"/>
  </w:num>
  <w:num w:numId="6">
    <w:abstractNumId w:val="13"/>
  </w:num>
  <w:num w:numId="7">
    <w:abstractNumId w:val="0"/>
  </w:num>
  <w:num w:numId="8">
    <w:abstractNumId w:val="5"/>
  </w:num>
  <w:num w:numId="9">
    <w:abstractNumId w:val="9"/>
  </w:num>
  <w:num w:numId="10">
    <w:abstractNumId w:val="7"/>
  </w:num>
  <w:num w:numId="11">
    <w:abstractNumId w:val="6"/>
  </w:num>
  <w:num w:numId="12">
    <w:abstractNumId w:val="2"/>
  </w:num>
  <w:num w:numId="13">
    <w:abstractNumId w:val="18"/>
  </w:num>
  <w:num w:numId="14">
    <w:abstractNumId w:val="11"/>
  </w:num>
  <w:num w:numId="15">
    <w:abstractNumId w:val="8"/>
  </w:num>
  <w:num w:numId="16">
    <w:abstractNumId w:val="16"/>
  </w:num>
  <w:num w:numId="17">
    <w:abstractNumId w:val="10"/>
  </w:num>
  <w:num w:numId="18">
    <w:abstractNumId w:val="12"/>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1B"/>
    <w:rsid w:val="000014CC"/>
    <w:rsid w:val="00005089"/>
    <w:rsid w:val="00005B3E"/>
    <w:rsid w:val="00011CD9"/>
    <w:rsid w:val="0002047D"/>
    <w:rsid w:val="00022657"/>
    <w:rsid w:val="000233CC"/>
    <w:rsid w:val="0003000E"/>
    <w:rsid w:val="0004478E"/>
    <w:rsid w:val="00045665"/>
    <w:rsid w:val="00087B78"/>
    <w:rsid w:val="0009671A"/>
    <w:rsid w:val="000A2680"/>
    <w:rsid w:val="000B1684"/>
    <w:rsid w:val="000C5091"/>
    <w:rsid w:val="000D165A"/>
    <w:rsid w:val="000D509E"/>
    <w:rsid w:val="000E201C"/>
    <w:rsid w:val="000E5BB8"/>
    <w:rsid w:val="000F162F"/>
    <w:rsid w:val="000F1AEF"/>
    <w:rsid w:val="000F4687"/>
    <w:rsid w:val="001127A8"/>
    <w:rsid w:val="00115410"/>
    <w:rsid w:val="00130577"/>
    <w:rsid w:val="00137C90"/>
    <w:rsid w:val="0015072C"/>
    <w:rsid w:val="0015129C"/>
    <w:rsid w:val="00154E93"/>
    <w:rsid w:val="00162479"/>
    <w:rsid w:val="00170A82"/>
    <w:rsid w:val="00176DDC"/>
    <w:rsid w:val="001A6DA7"/>
    <w:rsid w:val="001B287A"/>
    <w:rsid w:val="001B2D51"/>
    <w:rsid w:val="001B3A22"/>
    <w:rsid w:val="001C3BE9"/>
    <w:rsid w:val="001C4F14"/>
    <w:rsid w:val="001C579F"/>
    <w:rsid w:val="001D611A"/>
    <w:rsid w:val="001E1FBB"/>
    <w:rsid w:val="001F2E4C"/>
    <w:rsid w:val="00225666"/>
    <w:rsid w:val="002261FE"/>
    <w:rsid w:val="00226E54"/>
    <w:rsid w:val="00234BEA"/>
    <w:rsid w:val="00242638"/>
    <w:rsid w:val="002512AA"/>
    <w:rsid w:val="002626B6"/>
    <w:rsid w:val="00262828"/>
    <w:rsid w:val="00283690"/>
    <w:rsid w:val="00292CFF"/>
    <w:rsid w:val="002964EC"/>
    <w:rsid w:val="00297FB8"/>
    <w:rsid w:val="002A1DA1"/>
    <w:rsid w:val="002A3D01"/>
    <w:rsid w:val="002A69DF"/>
    <w:rsid w:val="002B4131"/>
    <w:rsid w:val="002C0DF8"/>
    <w:rsid w:val="002C1614"/>
    <w:rsid w:val="002C70CC"/>
    <w:rsid w:val="002E6399"/>
    <w:rsid w:val="002F58A1"/>
    <w:rsid w:val="002F6FF2"/>
    <w:rsid w:val="003010D2"/>
    <w:rsid w:val="0030173F"/>
    <w:rsid w:val="00314DD4"/>
    <w:rsid w:val="00331AA9"/>
    <w:rsid w:val="0033263C"/>
    <w:rsid w:val="00341820"/>
    <w:rsid w:val="003459F8"/>
    <w:rsid w:val="003461FD"/>
    <w:rsid w:val="0035134A"/>
    <w:rsid w:val="0036026D"/>
    <w:rsid w:val="00362712"/>
    <w:rsid w:val="00364603"/>
    <w:rsid w:val="00387A01"/>
    <w:rsid w:val="0039144F"/>
    <w:rsid w:val="00397BFB"/>
    <w:rsid w:val="003A472D"/>
    <w:rsid w:val="003A6989"/>
    <w:rsid w:val="003B291D"/>
    <w:rsid w:val="003B3C64"/>
    <w:rsid w:val="003B47E0"/>
    <w:rsid w:val="003B5CD2"/>
    <w:rsid w:val="00416BE0"/>
    <w:rsid w:val="00434700"/>
    <w:rsid w:val="004355B6"/>
    <w:rsid w:val="00447F54"/>
    <w:rsid w:val="004500DE"/>
    <w:rsid w:val="004524AF"/>
    <w:rsid w:val="0046078E"/>
    <w:rsid w:val="00471A0B"/>
    <w:rsid w:val="00481144"/>
    <w:rsid w:val="00493E0D"/>
    <w:rsid w:val="00496240"/>
    <w:rsid w:val="004A348C"/>
    <w:rsid w:val="004B4C7B"/>
    <w:rsid w:val="004C0791"/>
    <w:rsid w:val="004D4037"/>
    <w:rsid w:val="004D6AE5"/>
    <w:rsid w:val="004E0AE8"/>
    <w:rsid w:val="004F71BC"/>
    <w:rsid w:val="0051065D"/>
    <w:rsid w:val="0051369B"/>
    <w:rsid w:val="00517E8A"/>
    <w:rsid w:val="005237D6"/>
    <w:rsid w:val="00525943"/>
    <w:rsid w:val="00536E25"/>
    <w:rsid w:val="0053770C"/>
    <w:rsid w:val="00550B68"/>
    <w:rsid w:val="00551DDD"/>
    <w:rsid w:val="00557346"/>
    <w:rsid w:val="00557490"/>
    <w:rsid w:val="0056613C"/>
    <w:rsid w:val="00567569"/>
    <w:rsid w:val="005701AD"/>
    <w:rsid w:val="00582086"/>
    <w:rsid w:val="00592E07"/>
    <w:rsid w:val="00593306"/>
    <w:rsid w:val="005B52FA"/>
    <w:rsid w:val="005B6467"/>
    <w:rsid w:val="005C36E5"/>
    <w:rsid w:val="005C52F5"/>
    <w:rsid w:val="005D0053"/>
    <w:rsid w:val="005F15E6"/>
    <w:rsid w:val="006058C9"/>
    <w:rsid w:val="0060724F"/>
    <w:rsid w:val="00613B48"/>
    <w:rsid w:val="006302AA"/>
    <w:rsid w:val="006316F9"/>
    <w:rsid w:val="006363B9"/>
    <w:rsid w:val="00642971"/>
    <w:rsid w:val="006446C5"/>
    <w:rsid w:val="00647B73"/>
    <w:rsid w:val="006507FB"/>
    <w:rsid w:val="00653DE1"/>
    <w:rsid w:val="0065579B"/>
    <w:rsid w:val="006604D8"/>
    <w:rsid w:val="006633D8"/>
    <w:rsid w:val="00690179"/>
    <w:rsid w:val="006957FA"/>
    <w:rsid w:val="006965B2"/>
    <w:rsid w:val="006B365A"/>
    <w:rsid w:val="006D46B2"/>
    <w:rsid w:val="006D6FB3"/>
    <w:rsid w:val="006E2A08"/>
    <w:rsid w:val="006E2F49"/>
    <w:rsid w:val="006F3569"/>
    <w:rsid w:val="007046C1"/>
    <w:rsid w:val="00713047"/>
    <w:rsid w:val="007233F3"/>
    <w:rsid w:val="0073678A"/>
    <w:rsid w:val="00745F96"/>
    <w:rsid w:val="00750F9A"/>
    <w:rsid w:val="00783D8F"/>
    <w:rsid w:val="007B2875"/>
    <w:rsid w:val="007C1062"/>
    <w:rsid w:val="007C6630"/>
    <w:rsid w:val="007D75EC"/>
    <w:rsid w:val="007E1049"/>
    <w:rsid w:val="007E2D15"/>
    <w:rsid w:val="007F180D"/>
    <w:rsid w:val="007F4C07"/>
    <w:rsid w:val="00807BEE"/>
    <w:rsid w:val="00812B47"/>
    <w:rsid w:val="00813D65"/>
    <w:rsid w:val="00816748"/>
    <w:rsid w:val="008265FC"/>
    <w:rsid w:val="00841F41"/>
    <w:rsid w:val="008665F1"/>
    <w:rsid w:val="00870A54"/>
    <w:rsid w:val="00884656"/>
    <w:rsid w:val="008B0F2F"/>
    <w:rsid w:val="008C3007"/>
    <w:rsid w:val="008C4BEF"/>
    <w:rsid w:val="008E5456"/>
    <w:rsid w:val="008E628E"/>
    <w:rsid w:val="008F1574"/>
    <w:rsid w:val="008F5088"/>
    <w:rsid w:val="009025C8"/>
    <w:rsid w:val="00911842"/>
    <w:rsid w:val="00913474"/>
    <w:rsid w:val="00926BF3"/>
    <w:rsid w:val="00933E8C"/>
    <w:rsid w:val="00952602"/>
    <w:rsid w:val="009555A2"/>
    <w:rsid w:val="009572EC"/>
    <w:rsid w:val="00957D9A"/>
    <w:rsid w:val="00965A95"/>
    <w:rsid w:val="00980D5E"/>
    <w:rsid w:val="00981C83"/>
    <w:rsid w:val="00987C41"/>
    <w:rsid w:val="009940B2"/>
    <w:rsid w:val="009B2F76"/>
    <w:rsid w:val="009C1BF2"/>
    <w:rsid w:val="009D0862"/>
    <w:rsid w:val="009F1363"/>
    <w:rsid w:val="009F1F98"/>
    <w:rsid w:val="00A02BF6"/>
    <w:rsid w:val="00A22AFE"/>
    <w:rsid w:val="00A40F77"/>
    <w:rsid w:val="00A44487"/>
    <w:rsid w:val="00A56945"/>
    <w:rsid w:val="00A7281F"/>
    <w:rsid w:val="00A75FB7"/>
    <w:rsid w:val="00A80BC0"/>
    <w:rsid w:val="00A92A27"/>
    <w:rsid w:val="00A92F74"/>
    <w:rsid w:val="00AB1162"/>
    <w:rsid w:val="00AB51FC"/>
    <w:rsid w:val="00AB5BD0"/>
    <w:rsid w:val="00AF787B"/>
    <w:rsid w:val="00B01374"/>
    <w:rsid w:val="00B21DBF"/>
    <w:rsid w:val="00B22B97"/>
    <w:rsid w:val="00B26FBD"/>
    <w:rsid w:val="00B44782"/>
    <w:rsid w:val="00B44B2C"/>
    <w:rsid w:val="00B719EB"/>
    <w:rsid w:val="00B93C43"/>
    <w:rsid w:val="00B948E7"/>
    <w:rsid w:val="00BA0506"/>
    <w:rsid w:val="00BA5E1B"/>
    <w:rsid w:val="00BA6221"/>
    <w:rsid w:val="00BB06C2"/>
    <w:rsid w:val="00BB0C28"/>
    <w:rsid w:val="00BB5F40"/>
    <w:rsid w:val="00BB6F28"/>
    <w:rsid w:val="00BD771A"/>
    <w:rsid w:val="00BE215F"/>
    <w:rsid w:val="00BF161E"/>
    <w:rsid w:val="00C05214"/>
    <w:rsid w:val="00C12531"/>
    <w:rsid w:val="00C333FB"/>
    <w:rsid w:val="00C509FF"/>
    <w:rsid w:val="00C77BE3"/>
    <w:rsid w:val="00C91757"/>
    <w:rsid w:val="00C933D2"/>
    <w:rsid w:val="00CB25D1"/>
    <w:rsid w:val="00CC72D6"/>
    <w:rsid w:val="00CC78A5"/>
    <w:rsid w:val="00CD1C6A"/>
    <w:rsid w:val="00CD22E1"/>
    <w:rsid w:val="00CD5EF7"/>
    <w:rsid w:val="00CE1C61"/>
    <w:rsid w:val="00CE3A53"/>
    <w:rsid w:val="00CF2305"/>
    <w:rsid w:val="00CF47D8"/>
    <w:rsid w:val="00D032CA"/>
    <w:rsid w:val="00D04BC3"/>
    <w:rsid w:val="00D158DA"/>
    <w:rsid w:val="00D206FA"/>
    <w:rsid w:val="00D22995"/>
    <w:rsid w:val="00D2733A"/>
    <w:rsid w:val="00D403BE"/>
    <w:rsid w:val="00D76AEC"/>
    <w:rsid w:val="00D8700D"/>
    <w:rsid w:val="00D94D26"/>
    <w:rsid w:val="00DA6829"/>
    <w:rsid w:val="00DC2B6D"/>
    <w:rsid w:val="00DD4A27"/>
    <w:rsid w:val="00DD5C49"/>
    <w:rsid w:val="00DD735D"/>
    <w:rsid w:val="00DE3816"/>
    <w:rsid w:val="00DF087F"/>
    <w:rsid w:val="00E10AA9"/>
    <w:rsid w:val="00E16041"/>
    <w:rsid w:val="00E2081C"/>
    <w:rsid w:val="00E23536"/>
    <w:rsid w:val="00E24CEF"/>
    <w:rsid w:val="00E345E9"/>
    <w:rsid w:val="00E45B16"/>
    <w:rsid w:val="00E54D00"/>
    <w:rsid w:val="00E64ED7"/>
    <w:rsid w:val="00E64EFE"/>
    <w:rsid w:val="00ED3A3C"/>
    <w:rsid w:val="00ED5BDF"/>
    <w:rsid w:val="00ED6F20"/>
    <w:rsid w:val="00F0345C"/>
    <w:rsid w:val="00F0483B"/>
    <w:rsid w:val="00F2586E"/>
    <w:rsid w:val="00F27AE5"/>
    <w:rsid w:val="00F3070F"/>
    <w:rsid w:val="00F41502"/>
    <w:rsid w:val="00F4316D"/>
    <w:rsid w:val="00F44EDC"/>
    <w:rsid w:val="00F456F0"/>
    <w:rsid w:val="00F50979"/>
    <w:rsid w:val="00F610D1"/>
    <w:rsid w:val="00F655A8"/>
    <w:rsid w:val="00F75AF0"/>
    <w:rsid w:val="00F822B0"/>
    <w:rsid w:val="00FA7D85"/>
    <w:rsid w:val="00FC29EA"/>
    <w:rsid w:val="00FD12AF"/>
    <w:rsid w:val="00FD1B44"/>
    <w:rsid w:val="00FD3A7E"/>
    <w:rsid w:val="00FE4FD9"/>
    <w:rsid w:val="00FE6308"/>
    <w:rsid w:val="00FF5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D02E75"/>
  <w15:chartTrackingRefBased/>
  <w15:docId w15:val="{AF7C9D03-F51B-40E9-9DE6-312DE436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IN_INFO"/>
    <w:qFormat/>
    <w:rsid w:val="00BB5F40"/>
    <w:pPr>
      <w:spacing w:after="240" w:line="240" w:lineRule="auto"/>
      <w:jc w:val="both"/>
    </w:pPr>
    <w:rPr>
      <w:sz w:val="21"/>
      <w:lang w:val="et-EE"/>
    </w:rPr>
  </w:style>
  <w:style w:type="paragraph" w:styleId="Heading1">
    <w:name w:val="heading 1"/>
    <w:basedOn w:val="Normal"/>
    <w:next w:val="Normal"/>
    <w:link w:val="Heading1Char"/>
    <w:uiPriority w:val="9"/>
    <w:qFormat/>
    <w:rsid w:val="00987C41"/>
    <w:pPr>
      <w:keepNext/>
      <w:keepLines/>
      <w:pageBreakBefore/>
      <w:spacing w:before="240" w:after="360"/>
      <w:outlineLvl w:val="0"/>
    </w:pPr>
    <w:rPr>
      <w:rFonts w:asciiTheme="majorHAnsi" w:eastAsiaTheme="majorEastAsia" w:hAnsiTheme="majorHAnsi" w:cstheme="majorBidi"/>
      <w:color w:val="500778"/>
      <w:sz w:val="30"/>
      <w:szCs w:val="32"/>
    </w:rPr>
  </w:style>
  <w:style w:type="paragraph" w:styleId="Heading2">
    <w:name w:val="heading 2"/>
    <w:basedOn w:val="Heading1"/>
    <w:next w:val="Normal"/>
    <w:link w:val="Heading2Char"/>
    <w:autoRedefine/>
    <w:uiPriority w:val="9"/>
    <w:unhideWhenUsed/>
    <w:qFormat/>
    <w:rsid w:val="00BB5F40"/>
    <w:pPr>
      <w:numPr>
        <w:ilvl w:val="1"/>
        <w:numId w:val="8"/>
      </w:numPr>
      <w:spacing w:before="360" w:after="240"/>
      <w:ind w:left="425" w:hanging="425"/>
      <w:outlineLvl w:val="1"/>
    </w:pPr>
    <w:rPr>
      <w:szCs w:val="26"/>
    </w:rPr>
  </w:style>
  <w:style w:type="paragraph" w:styleId="Heading3">
    <w:name w:val="heading 3"/>
    <w:basedOn w:val="Normal"/>
    <w:next w:val="Normal"/>
    <w:link w:val="Heading3Char"/>
    <w:uiPriority w:val="9"/>
    <w:unhideWhenUsed/>
    <w:qFormat/>
    <w:rsid w:val="006446C5"/>
    <w:pPr>
      <w:keepNext/>
      <w:keepLines/>
      <w:spacing w:before="360"/>
      <w:outlineLvl w:val="2"/>
    </w:pPr>
    <w:rPr>
      <w:rFonts w:asciiTheme="majorHAnsi" w:eastAsiaTheme="majorEastAsia" w:hAnsiTheme="majorHAnsi" w:cstheme="majorBidi"/>
      <w:color w:val="500778"/>
      <w:szCs w:val="24"/>
    </w:rPr>
  </w:style>
  <w:style w:type="paragraph" w:styleId="Heading4">
    <w:name w:val="heading 4"/>
    <w:basedOn w:val="Normal"/>
    <w:next w:val="Normal"/>
    <w:link w:val="Heading4Char"/>
    <w:uiPriority w:val="9"/>
    <w:unhideWhenUsed/>
    <w:qFormat/>
    <w:rsid w:val="00AB51FC"/>
    <w:pPr>
      <w:keepNext/>
      <w:keepLines/>
      <w:spacing w:before="40"/>
      <w:outlineLvl w:val="3"/>
    </w:pPr>
    <w:rPr>
      <w:rFonts w:asciiTheme="majorHAnsi" w:eastAsiaTheme="majorEastAsia" w:hAnsiTheme="majorHAnsi" w:cstheme="majorBidi"/>
      <w:i/>
      <w:iCs/>
      <w:color w:val="3B0559" w:themeColor="accent1" w:themeShade="BF"/>
    </w:rPr>
  </w:style>
  <w:style w:type="paragraph" w:styleId="Heading5">
    <w:name w:val="heading 5"/>
    <w:basedOn w:val="Normal"/>
    <w:next w:val="Normal"/>
    <w:link w:val="Heading5Char"/>
    <w:uiPriority w:val="9"/>
    <w:semiHidden/>
    <w:unhideWhenUsed/>
    <w:qFormat/>
    <w:rsid w:val="00AB51FC"/>
    <w:pPr>
      <w:keepNext/>
      <w:keepLines/>
      <w:spacing w:before="40" w:after="0"/>
      <w:outlineLvl w:val="4"/>
    </w:pPr>
    <w:rPr>
      <w:rFonts w:asciiTheme="majorHAnsi" w:eastAsiaTheme="majorEastAsia" w:hAnsiTheme="majorHAnsi" w:cstheme="majorBidi"/>
      <w:color w:val="3B055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4CC"/>
    <w:pPr>
      <w:tabs>
        <w:tab w:val="center" w:pos="4513"/>
        <w:tab w:val="right" w:pos="9026"/>
      </w:tabs>
    </w:pPr>
    <w:rPr>
      <w:sz w:val="17"/>
    </w:rPr>
  </w:style>
  <w:style w:type="character" w:customStyle="1" w:styleId="HeaderChar">
    <w:name w:val="Header Char"/>
    <w:basedOn w:val="DefaultParagraphFont"/>
    <w:link w:val="Header"/>
    <w:uiPriority w:val="99"/>
    <w:rsid w:val="000014CC"/>
    <w:rPr>
      <w:rFonts w:ascii="Atlas Grotesk Light" w:hAnsi="Atlas Grotesk Light"/>
      <w:sz w:val="17"/>
      <w:lang w:val="et-EE"/>
    </w:rPr>
  </w:style>
  <w:style w:type="paragraph" w:styleId="Footer">
    <w:name w:val="footer"/>
    <w:link w:val="FooterChar"/>
    <w:uiPriority w:val="99"/>
    <w:unhideWhenUsed/>
    <w:rsid w:val="00AB51FC"/>
    <w:pPr>
      <w:spacing w:before="300" w:after="0" w:line="240" w:lineRule="auto"/>
    </w:pPr>
    <w:rPr>
      <w:sz w:val="18"/>
      <w:lang w:val="et-EE"/>
    </w:rPr>
  </w:style>
  <w:style w:type="character" w:customStyle="1" w:styleId="FooterChar">
    <w:name w:val="Footer Char"/>
    <w:basedOn w:val="DefaultParagraphFont"/>
    <w:link w:val="Footer"/>
    <w:uiPriority w:val="99"/>
    <w:rsid w:val="00AB51FC"/>
    <w:rPr>
      <w:sz w:val="18"/>
      <w:lang w:val="et-EE"/>
    </w:rPr>
  </w:style>
  <w:style w:type="paragraph" w:customStyle="1" w:styleId="MainGrayboxParagraph">
    <w:name w:val="Main_Graybox_Paragraph"/>
    <w:link w:val="MainGrayboxParagraphChar"/>
    <w:qFormat/>
    <w:rsid w:val="00BB5F40"/>
    <w:pPr>
      <w:pBdr>
        <w:top w:val="single" w:sz="4" w:space="15" w:color="F6F6F6"/>
        <w:left w:val="single" w:sz="4" w:space="15" w:color="F6F6F6"/>
        <w:bottom w:val="single" w:sz="4" w:space="15" w:color="F6F6F6"/>
        <w:right w:val="single" w:sz="4" w:space="15" w:color="F6F6F6"/>
      </w:pBdr>
      <w:shd w:val="clear" w:color="auto" w:fill="F6F6F6"/>
      <w:spacing w:line="300" w:lineRule="auto"/>
      <w:ind w:left="284" w:right="284"/>
    </w:pPr>
    <w:rPr>
      <w:sz w:val="21"/>
      <w:lang w:val="et-EE"/>
    </w:rPr>
  </w:style>
  <w:style w:type="character" w:customStyle="1" w:styleId="Heading1Char">
    <w:name w:val="Heading 1 Char"/>
    <w:basedOn w:val="DefaultParagraphFont"/>
    <w:link w:val="Heading1"/>
    <w:uiPriority w:val="9"/>
    <w:rsid w:val="00987C41"/>
    <w:rPr>
      <w:rFonts w:asciiTheme="majorHAnsi" w:eastAsiaTheme="majorEastAsia" w:hAnsiTheme="majorHAnsi" w:cstheme="majorBidi"/>
      <w:color w:val="500778"/>
      <w:sz w:val="30"/>
      <w:szCs w:val="32"/>
      <w:lang w:val="et-EE"/>
    </w:rPr>
  </w:style>
  <w:style w:type="character" w:customStyle="1" w:styleId="Heading2Char">
    <w:name w:val="Heading 2 Char"/>
    <w:basedOn w:val="DefaultParagraphFont"/>
    <w:link w:val="Heading2"/>
    <w:uiPriority w:val="9"/>
    <w:rsid w:val="00BB5F40"/>
    <w:rPr>
      <w:rFonts w:asciiTheme="majorHAnsi" w:eastAsiaTheme="majorEastAsia" w:hAnsiTheme="majorHAnsi" w:cstheme="majorBidi"/>
      <w:color w:val="500778"/>
      <w:sz w:val="30"/>
      <w:szCs w:val="26"/>
      <w:lang w:val="et-EE"/>
    </w:rPr>
  </w:style>
  <w:style w:type="paragraph" w:styleId="Title">
    <w:name w:val="Title"/>
    <w:basedOn w:val="Normal"/>
    <w:next w:val="Default"/>
    <w:link w:val="TitleChar"/>
    <w:uiPriority w:val="10"/>
    <w:qFormat/>
    <w:rsid w:val="00BB5F40"/>
    <w:pPr>
      <w:ind w:left="2381"/>
      <w:contextualSpacing/>
    </w:pPr>
    <w:rPr>
      <w:rFonts w:asciiTheme="majorHAnsi" w:eastAsiaTheme="majorEastAsia" w:hAnsiTheme="majorHAnsi" w:cstheme="majorBidi"/>
      <w:color w:val="500778"/>
      <w:sz w:val="76"/>
      <w:szCs w:val="56"/>
    </w:rPr>
  </w:style>
  <w:style w:type="character" w:customStyle="1" w:styleId="TitleChar">
    <w:name w:val="Title Char"/>
    <w:basedOn w:val="DefaultParagraphFont"/>
    <w:link w:val="Title"/>
    <w:uiPriority w:val="10"/>
    <w:rsid w:val="00BB5F40"/>
    <w:rPr>
      <w:rFonts w:asciiTheme="majorHAnsi" w:eastAsiaTheme="majorEastAsia" w:hAnsiTheme="majorHAnsi" w:cstheme="majorBidi"/>
      <w:color w:val="500778"/>
      <w:sz w:val="76"/>
      <w:szCs w:val="56"/>
      <w:lang w:val="et-EE"/>
    </w:rPr>
  </w:style>
  <w:style w:type="paragraph" w:styleId="Subtitle">
    <w:name w:val="Subtitle"/>
    <w:basedOn w:val="Normal"/>
    <w:next w:val="Normal"/>
    <w:link w:val="SubtitleChar"/>
    <w:uiPriority w:val="11"/>
    <w:rsid w:val="00AB51FC"/>
    <w:pPr>
      <w:numPr>
        <w:ilvl w:val="1"/>
      </w:numPr>
      <w:spacing w:after="160"/>
      <w:ind w:left="2381"/>
    </w:pPr>
    <w:rPr>
      <w:rFonts w:eastAsiaTheme="minorEastAsia"/>
      <w:color w:val="500778" w:themeColor="accent6"/>
      <w:spacing w:val="15"/>
      <w:sz w:val="22"/>
    </w:rPr>
  </w:style>
  <w:style w:type="character" w:customStyle="1" w:styleId="SubtitleChar">
    <w:name w:val="Subtitle Char"/>
    <w:basedOn w:val="DefaultParagraphFont"/>
    <w:link w:val="Subtitle"/>
    <w:uiPriority w:val="11"/>
    <w:rsid w:val="00AB51FC"/>
    <w:rPr>
      <w:rFonts w:eastAsiaTheme="minorEastAsia"/>
      <w:color w:val="500778" w:themeColor="accent6"/>
      <w:spacing w:val="15"/>
      <w:lang w:val="et-EE"/>
    </w:rPr>
  </w:style>
  <w:style w:type="paragraph" w:customStyle="1" w:styleId="Default">
    <w:name w:val="Default"/>
    <w:rsid w:val="00BB5F40"/>
    <w:pPr>
      <w:autoSpaceDE w:val="0"/>
      <w:autoSpaceDN w:val="0"/>
      <w:adjustRightInd w:val="0"/>
      <w:spacing w:after="240" w:line="300" w:lineRule="auto"/>
    </w:pPr>
    <w:rPr>
      <w:rFonts w:cs="Publico Light"/>
      <w:color w:val="000000"/>
      <w:sz w:val="18"/>
      <w:szCs w:val="24"/>
    </w:rPr>
  </w:style>
  <w:style w:type="paragraph" w:customStyle="1" w:styleId="PageTitleTableOfContent">
    <w:name w:val="Page_Title_TableOfContent"/>
    <w:qFormat/>
    <w:rsid w:val="00AB51FC"/>
    <w:pPr>
      <w:pBdr>
        <w:bottom w:val="single" w:sz="4" w:space="8" w:color="auto"/>
      </w:pBdr>
      <w:spacing w:after="360" w:line="300" w:lineRule="auto"/>
    </w:pPr>
    <w:rPr>
      <w:rFonts w:asciiTheme="majorHAnsi" w:hAnsiTheme="majorHAnsi"/>
      <w:color w:val="5B027A"/>
      <w:sz w:val="30"/>
      <w:szCs w:val="30"/>
      <w:lang w:val="et-EE"/>
    </w:rPr>
  </w:style>
  <w:style w:type="paragraph" w:styleId="ListParagraph">
    <w:name w:val="List Paragraph"/>
    <w:basedOn w:val="Normal"/>
    <w:link w:val="ListParagraphChar"/>
    <w:uiPriority w:val="34"/>
    <w:qFormat/>
    <w:rsid w:val="002964EC"/>
    <w:pPr>
      <w:ind w:left="720"/>
      <w:contextualSpacing/>
    </w:pPr>
  </w:style>
  <w:style w:type="paragraph" w:styleId="TOC1">
    <w:name w:val="toc 1"/>
    <w:basedOn w:val="Normal"/>
    <w:next w:val="Default"/>
    <w:link w:val="TOC1Char"/>
    <w:autoRedefine/>
    <w:uiPriority w:val="39"/>
    <w:unhideWhenUsed/>
    <w:rsid w:val="00BB5F40"/>
    <w:pPr>
      <w:tabs>
        <w:tab w:val="left" w:pos="284"/>
        <w:tab w:val="right" w:pos="9344"/>
      </w:tabs>
      <w:spacing w:after="360"/>
    </w:pPr>
    <w:rPr>
      <w:rFonts w:asciiTheme="majorHAnsi" w:hAnsiTheme="majorHAnsi"/>
      <w:color w:val="500778"/>
      <w:sz w:val="30"/>
    </w:rPr>
  </w:style>
  <w:style w:type="character" w:styleId="Hyperlink">
    <w:name w:val="Hyperlink"/>
    <w:basedOn w:val="DefaultParagraphFont"/>
    <w:uiPriority w:val="99"/>
    <w:unhideWhenUsed/>
    <w:rsid w:val="002964EC"/>
    <w:rPr>
      <w:color w:val="500778" w:themeColor="hyperlink"/>
      <w:u w:val="single"/>
    </w:rPr>
  </w:style>
  <w:style w:type="character" w:customStyle="1" w:styleId="TOC1Char">
    <w:name w:val="TOC 1 Char"/>
    <w:basedOn w:val="DefaultParagraphFont"/>
    <w:link w:val="TOC1"/>
    <w:uiPriority w:val="39"/>
    <w:rsid w:val="00BB5F40"/>
    <w:rPr>
      <w:rFonts w:asciiTheme="majorHAnsi" w:hAnsiTheme="majorHAnsi"/>
      <w:color w:val="500778"/>
      <w:sz w:val="30"/>
      <w:lang w:val="et-EE"/>
    </w:rPr>
  </w:style>
  <w:style w:type="paragraph" w:styleId="TOCHeading">
    <w:name w:val="TOC Heading"/>
    <w:basedOn w:val="Heading1"/>
    <w:next w:val="Normal"/>
    <w:uiPriority w:val="39"/>
    <w:unhideWhenUsed/>
    <w:qFormat/>
    <w:rsid w:val="00AB51FC"/>
    <w:pPr>
      <w:spacing w:line="259" w:lineRule="auto"/>
      <w:outlineLvl w:val="9"/>
    </w:pPr>
    <w:rPr>
      <w:color w:val="3B0559" w:themeColor="accent1" w:themeShade="BF"/>
      <w:sz w:val="32"/>
      <w:lang w:val="en-US"/>
    </w:rPr>
  </w:style>
  <w:style w:type="paragraph" w:styleId="TOC3">
    <w:name w:val="toc 3"/>
    <w:basedOn w:val="Normal"/>
    <w:next w:val="Normal"/>
    <w:autoRedefine/>
    <w:uiPriority w:val="39"/>
    <w:unhideWhenUsed/>
    <w:rsid w:val="00AB51FC"/>
    <w:pPr>
      <w:spacing w:after="100" w:line="259" w:lineRule="auto"/>
      <w:ind w:left="440"/>
    </w:pPr>
    <w:rPr>
      <w:rFonts w:asciiTheme="majorHAnsi" w:eastAsiaTheme="minorEastAsia" w:hAnsiTheme="majorHAnsi" w:cs="Times New Roman"/>
      <w:sz w:val="22"/>
      <w:lang w:val="en-US"/>
    </w:rPr>
  </w:style>
  <w:style w:type="paragraph" w:styleId="TOC2">
    <w:name w:val="toc 2"/>
    <w:basedOn w:val="Normal"/>
    <w:next w:val="Normal"/>
    <w:autoRedefine/>
    <w:uiPriority w:val="39"/>
    <w:unhideWhenUsed/>
    <w:rsid w:val="00BB5F40"/>
    <w:pPr>
      <w:tabs>
        <w:tab w:val="left" w:pos="993"/>
        <w:tab w:val="right" w:pos="9344"/>
      </w:tabs>
      <w:spacing w:after="360"/>
      <w:ind w:left="426"/>
      <w:contextualSpacing/>
    </w:pPr>
    <w:rPr>
      <w:rFonts w:asciiTheme="majorHAnsi" w:hAnsiTheme="majorHAnsi"/>
      <w:color w:val="500778"/>
      <w:sz w:val="30"/>
    </w:rPr>
  </w:style>
  <w:style w:type="paragraph" w:customStyle="1" w:styleId="MainGrayBoxBulletlist">
    <w:name w:val="Main_GrayBox_Bulletlist"/>
    <w:basedOn w:val="ListParagraph"/>
    <w:link w:val="MainGrayBoxBulletlistChar"/>
    <w:qFormat/>
    <w:rsid w:val="00BB5F40"/>
    <w:pPr>
      <w:numPr>
        <w:numId w:val="11"/>
      </w:numPr>
      <w:pBdr>
        <w:top w:val="single" w:sz="2" w:space="15" w:color="F6F6F6"/>
        <w:left w:val="single" w:sz="2" w:space="15" w:color="F6F6F6"/>
        <w:bottom w:val="single" w:sz="2" w:space="15" w:color="F6F6F6"/>
        <w:right w:val="single" w:sz="2" w:space="15" w:color="F6F6F6"/>
      </w:pBdr>
      <w:shd w:val="clear" w:color="auto" w:fill="F6F6F6"/>
      <w:ind w:left="641" w:right="284" w:hanging="357"/>
    </w:pPr>
  </w:style>
  <w:style w:type="character" w:customStyle="1" w:styleId="Heading3Char">
    <w:name w:val="Heading 3 Char"/>
    <w:basedOn w:val="DefaultParagraphFont"/>
    <w:link w:val="Heading3"/>
    <w:uiPriority w:val="9"/>
    <w:rsid w:val="006446C5"/>
    <w:rPr>
      <w:rFonts w:asciiTheme="majorHAnsi" w:eastAsiaTheme="majorEastAsia" w:hAnsiTheme="majorHAnsi" w:cstheme="majorBidi"/>
      <w:color w:val="500778"/>
      <w:sz w:val="21"/>
      <w:szCs w:val="24"/>
      <w:lang w:val="et-EE"/>
    </w:rPr>
  </w:style>
  <w:style w:type="character" w:customStyle="1" w:styleId="ListParagraphChar">
    <w:name w:val="List Paragraph Char"/>
    <w:basedOn w:val="DefaultParagraphFont"/>
    <w:link w:val="ListParagraph"/>
    <w:uiPriority w:val="34"/>
    <w:rsid w:val="00F0345C"/>
    <w:rPr>
      <w:rFonts w:ascii="Atlas Grotesk" w:hAnsi="Atlas Grotesk"/>
      <w:sz w:val="17"/>
      <w:lang w:val="et-EE"/>
    </w:rPr>
  </w:style>
  <w:style w:type="character" w:customStyle="1" w:styleId="MainGrayBoxBulletlistChar">
    <w:name w:val="Main_GrayBox_Bulletlist Char"/>
    <w:basedOn w:val="ListParagraphChar"/>
    <w:link w:val="MainGrayBoxBulletlist"/>
    <w:rsid w:val="00BB5F40"/>
    <w:rPr>
      <w:rFonts w:ascii="Atlas Grotesk" w:hAnsi="Atlas Grotesk"/>
      <w:sz w:val="21"/>
      <w:shd w:val="clear" w:color="auto" w:fill="F6F6F6"/>
      <w:lang w:val="et-EE"/>
    </w:rPr>
  </w:style>
  <w:style w:type="character" w:styleId="SubtleReference">
    <w:name w:val="Subtle Reference"/>
    <w:basedOn w:val="DefaultParagraphFont"/>
    <w:uiPriority w:val="31"/>
    <w:qFormat/>
    <w:rsid w:val="00262828"/>
    <w:rPr>
      <w:smallCaps/>
      <w:color w:val="500778" w:themeColor="accent6"/>
    </w:rPr>
  </w:style>
  <w:style w:type="character" w:styleId="IntenseReference">
    <w:name w:val="Intense Reference"/>
    <w:basedOn w:val="DefaultParagraphFont"/>
    <w:uiPriority w:val="32"/>
    <w:qFormat/>
    <w:rsid w:val="00D22995"/>
    <w:rPr>
      <w:b/>
      <w:bCs/>
      <w:smallCaps/>
      <w:color w:val="500778" w:themeColor="accent1"/>
      <w:spacing w:val="5"/>
    </w:rPr>
  </w:style>
  <w:style w:type="paragraph" w:styleId="NoSpacing">
    <w:name w:val="No Spacing"/>
    <w:uiPriority w:val="1"/>
    <w:rsid w:val="00BB5F40"/>
    <w:pPr>
      <w:spacing w:after="0" w:line="240" w:lineRule="auto"/>
    </w:pPr>
    <w:rPr>
      <w:sz w:val="21"/>
      <w:lang w:val="et-EE"/>
    </w:rPr>
  </w:style>
  <w:style w:type="character" w:customStyle="1" w:styleId="MainGrayboxParagraphChar">
    <w:name w:val="Main_Graybox_Paragraph Char"/>
    <w:basedOn w:val="DefaultParagraphFont"/>
    <w:link w:val="MainGrayboxParagraph"/>
    <w:rsid w:val="00BB5F40"/>
    <w:rPr>
      <w:sz w:val="21"/>
      <w:shd w:val="clear" w:color="auto" w:fill="F6F6F6"/>
      <w:lang w:val="et-EE"/>
    </w:rPr>
  </w:style>
  <w:style w:type="paragraph" w:styleId="Quote">
    <w:name w:val="Quote"/>
    <w:basedOn w:val="Normal"/>
    <w:next w:val="Normal"/>
    <w:link w:val="QuoteChar"/>
    <w:uiPriority w:val="29"/>
    <w:rsid w:val="00262828"/>
    <w:pPr>
      <w:spacing w:before="200" w:after="160"/>
      <w:ind w:left="864" w:right="864"/>
      <w:jc w:val="center"/>
    </w:pPr>
    <w:rPr>
      <w:i/>
      <w:iCs/>
      <w:color w:val="500778" w:themeColor="accent6"/>
    </w:rPr>
  </w:style>
  <w:style w:type="character" w:customStyle="1" w:styleId="QuoteChar">
    <w:name w:val="Quote Char"/>
    <w:basedOn w:val="DefaultParagraphFont"/>
    <w:link w:val="Quote"/>
    <w:uiPriority w:val="29"/>
    <w:rsid w:val="00262828"/>
    <w:rPr>
      <w:rFonts w:ascii="Atlas Grotesk Light" w:hAnsi="Atlas Grotesk Light"/>
      <w:i/>
      <w:iCs/>
      <w:color w:val="500778" w:themeColor="accent6"/>
      <w:sz w:val="18"/>
      <w:lang w:val="et-EE"/>
    </w:rPr>
  </w:style>
  <w:style w:type="character" w:styleId="Strong">
    <w:name w:val="Strong"/>
    <w:basedOn w:val="DefaultParagraphFont"/>
    <w:uiPriority w:val="22"/>
    <w:qFormat/>
    <w:rsid w:val="00D22995"/>
    <w:rPr>
      <w:b/>
      <w:bCs/>
    </w:rPr>
  </w:style>
  <w:style w:type="character" w:styleId="IntenseEmphasis">
    <w:name w:val="Intense Emphasis"/>
    <w:basedOn w:val="DefaultParagraphFont"/>
    <w:uiPriority w:val="21"/>
    <w:qFormat/>
    <w:rsid w:val="00D22995"/>
    <w:rPr>
      <w:i/>
      <w:iCs/>
      <w:color w:val="500778" w:themeColor="accent1"/>
    </w:rPr>
  </w:style>
  <w:style w:type="character" w:styleId="Emphasis">
    <w:name w:val="Emphasis"/>
    <w:basedOn w:val="DefaultParagraphFont"/>
    <w:uiPriority w:val="20"/>
    <w:qFormat/>
    <w:rsid w:val="00D22995"/>
    <w:rPr>
      <w:i/>
      <w:iCs/>
    </w:rPr>
  </w:style>
  <w:style w:type="character" w:styleId="SubtleEmphasis">
    <w:name w:val="Subtle Emphasis"/>
    <w:basedOn w:val="DefaultParagraphFont"/>
    <w:uiPriority w:val="19"/>
    <w:qFormat/>
    <w:rsid w:val="00262828"/>
    <w:rPr>
      <w:i/>
      <w:iCs/>
      <w:color w:val="500778" w:themeColor="accent6"/>
    </w:rPr>
  </w:style>
  <w:style w:type="character" w:customStyle="1" w:styleId="Heading4Char">
    <w:name w:val="Heading 4 Char"/>
    <w:basedOn w:val="DefaultParagraphFont"/>
    <w:link w:val="Heading4"/>
    <w:uiPriority w:val="9"/>
    <w:rsid w:val="00AB51FC"/>
    <w:rPr>
      <w:rFonts w:asciiTheme="majorHAnsi" w:eastAsiaTheme="majorEastAsia" w:hAnsiTheme="majorHAnsi" w:cstheme="majorBidi"/>
      <w:i/>
      <w:iCs/>
      <w:color w:val="3B0559" w:themeColor="accent1" w:themeShade="BF"/>
      <w:sz w:val="21"/>
      <w:lang w:val="et-EE"/>
    </w:rPr>
  </w:style>
  <w:style w:type="paragraph" w:customStyle="1" w:styleId="Image">
    <w:name w:val="Image"/>
    <w:link w:val="ImageChar"/>
    <w:qFormat/>
    <w:rsid w:val="00AB51FC"/>
    <w:rPr>
      <w:rFonts w:cs="Publico Light"/>
      <w:color w:val="000000"/>
      <w:sz w:val="21"/>
      <w:szCs w:val="24"/>
    </w:rPr>
  </w:style>
  <w:style w:type="paragraph" w:customStyle="1" w:styleId="MainFootnote">
    <w:name w:val="Main_Footnote"/>
    <w:basedOn w:val="Normal"/>
    <w:link w:val="MainFootnoteChar"/>
    <w:qFormat/>
    <w:rsid w:val="00AB51FC"/>
    <w:rPr>
      <w:sz w:val="18"/>
    </w:rPr>
  </w:style>
  <w:style w:type="paragraph" w:styleId="FootnoteText">
    <w:name w:val="footnote text"/>
    <w:basedOn w:val="Normal"/>
    <w:link w:val="FootnoteTextChar"/>
    <w:uiPriority w:val="99"/>
    <w:semiHidden/>
    <w:unhideWhenUsed/>
    <w:rsid w:val="003010D2"/>
    <w:rPr>
      <w:sz w:val="20"/>
      <w:szCs w:val="20"/>
    </w:rPr>
  </w:style>
  <w:style w:type="character" w:customStyle="1" w:styleId="MainFootnoteChar">
    <w:name w:val="Main_Footnote Char"/>
    <w:basedOn w:val="DefaultParagraphFont"/>
    <w:link w:val="MainFootnote"/>
    <w:rsid w:val="00AB51FC"/>
    <w:rPr>
      <w:sz w:val="18"/>
      <w:lang w:val="et-EE"/>
    </w:rPr>
  </w:style>
  <w:style w:type="character" w:customStyle="1" w:styleId="FootnoteTextChar">
    <w:name w:val="Footnote Text Char"/>
    <w:basedOn w:val="DefaultParagraphFont"/>
    <w:link w:val="FootnoteText"/>
    <w:uiPriority w:val="99"/>
    <w:semiHidden/>
    <w:rsid w:val="003010D2"/>
    <w:rPr>
      <w:rFonts w:ascii="Atlas Grotesk" w:hAnsi="Atlas Grotesk"/>
      <w:sz w:val="20"/>
      <w:szCs w:val="20"/>
      <w:lang w:val="et-EE"/>
    </w:rPr>
  </w:style>
  <w:style w:type="character" w:styleId="FootnoteReference">
    <w:name w:val="footnote reference"/>
    <w:basedOn w:val="DefaultParagraphFont"/>
    <w:uiPriority w:val="99"/>
    <w:semiHidden/>
    <w:unhideWhenUsed/>
    <w:rsid w:val="003010D2"/>
    <w:rPr>
      <w:vertAlign w:val="superscript"/>
    </w:rPr>
  </w:style>
  <w:style w:type="character" w:customStyle="1" w:styleId="ImageChar">
    <w:name w:val="Image Char"/>
    <w:basedOn w:val="DefaultParagraphFont"/>
    <w:link w:val="Image"/>
    <w:rsid w:val="00AB51FC"/>
    <w:rPr>
      <w:rFonts w:cs="Publico Light"/>
      <w:color w:val="000000"/>
      <w:sz w:val="21"/>
      <w:szCs w:val="24"/>
    </w:rPr>
  </w:style>
  <w:style w:type="paragraph" w:customStyle="1" w:styleId="ChartTitleFull">
    <w:name w:val="Chart_Title_Full"/>
    <w:basedOn w:val="Normal"/>
    <w:link w:val="ChartTitleFullChar"/>
    <w:qFormat/>
    <w:rsid w:val="00AB51FC"/>
    <w:pPr>
      <w:pBdr>
        <w:bottom w:val="single" w:sz="4" w:space="5" w:color="5B027A"/>
      </w:pBdr>
      <w:spacing w:after="360"/>
    </w:pPr>
    <w:rPr>
      <w:color w:val="5B027A"/>
      <w:sz w:val="16"/>
    </w:rPr>
  </w:style>
  <w:style w:type="paragraph" w:customStyle="1" w:styleId="ChartTitleRight">
    <w:name w:val="Chart_Title_Right"/>
    <w:basedOn w:val="ChartTitleFull"/>
    <w:link w:val="ChartTitleRightChar"/>
    <w:qFormat/>
    <w:rsid w:val="00BB5F40"/>
  </w:style>
  <w:style w:type="character" w:customStyle="1" w:styleId="ChartTitleFullChar">
    <w:name w:val="Chart_Title_Full Char"/>
    <w:basedOn w:val="DefaultParagraphFont"/>
    <w:link w:val="ChartTitleFull"/>
    <w:rsid w:val="00AB51FC"/>
    <w:rPr>
      <w:color w:val="5B027A"/>
      <w:sz w:val="16"/>
      <w:lang w:val="et-EE"/>
    </w:rPr>
  </w:style>
  <w:style w:type="character" w:customStyle="1" w:styleId="ChartTitleRightChar">
    <w:name w:val="Chart_Title_Right Char"/>
    <w:basedOn w:val="ChartTitleFullChar"/>
    <w:link w:val="ChartTitleRight"/>
    <w:rsid w:val="00BB5F40"/>
    <w:rPr>
      <w:color w:val="5B027A"/>
      <w:sz w:val="16"/>
      <w:lang w:val="et-EE"/>
    </w:rPr>
  </w:style>
  <w:style w:type="character" w:customStyle="1" w:styleId="Heading5Char">
    <w:name w:val="Heading 5 Char"/>
    <w:basedOn w:val="DefaultParagraphFont"/>
    <w:link w:val="Heading5"/>
    <w:uiPriority w:val="9"/>
    <w:semiHidden/>
    <w:rsid w:val="00AB51FC"/>
    <w:rPr>
      <w:rFonts w:asciiTheme="majorHAnsi" w:eastAsiaTheme="majorEastAsia" w:hAnsiTheme="majorHAnsi" w:cstheme="majorBidi"/>
      <w:color w:val="3B0559" w:themeColor="accent1" w:themeShade="BF"/>
      <w:sz w:val="21"/>
      <w:lang w:val="et-EE"/>
    </w:rPr>
  </w:style>
  <w:style w:type="paragraph" w:customStyle="1" w:styleId="MainText">
    <w:name w:val="Main_Text"/>
    <w:basedOn w:val="Normal"/>
    <w:link w:val="MainTextChar"/>
    <w:qFormat/>
    <w:rsid w:val="00DD4A27"/>
    <w:pPr>
      <w:spacing w:line="300" w:lineRule="auto"/>
      <w:jc w:val="left"/>
    </w:pPr>
    <w:rPr>
      <w:sz w:val="20"/>
    </w:rPr>
  </w:style>
  <w:style w:type="character" w:customStyle="1" w:styleId="MainTextChar">
    <w:name w:val="Main_Text Char"/>
    <w:basedOn w:val="DefaultParagraphFont"/>
    <w:link w:val="MainText"/>
    <w:rsid w:val="00DD4A27"/>
    <w:rPr>
      <w:sz w:val="20"/>
      <w:lang w:val="et-EE"/>
    </w:rPr>
  </w:style>
  <w:style w:type="table" w:styleId="TableGrid">
    <w:name w:val="Table Grid"/>
    <w:basedOn w:val="TableNormal"/>
    <w:uiPriority w:val="39"/>
    <w:rsid w:val="008F5088"/>
    <w:pPr>
      <w:spacing w:before="60" w:after="6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3D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DE1"/>
    <w:rPr>
      <w:rFonts w:ascii="Segoe UI" w:hAnsi="Segoe UI" w:cs="Segoe UI"/>
      <w:sz w:val="18"/>
      <w:szCs w:val="18"/>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ebov\Documents\Custom%20Office%20Templates\FI%20mallid\Raport_Long.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ahu\Desktop\joonised_pangandus_n&#245;ukog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hlebov\Documents\My%20Documents\&#220;levaadete%20koostamine.%20Sektor\2017.%20IV%20kv\N&#245;ukogule\joonised_pangandus_n&#245;ukog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t-EE" sz="1100"/>
              <a:t>Laenude ja hoiuste jäägi aastakasv ning laenude ja hoiuste suhtarv</a:t>
            </a:r>
          </a:p>
        </c:rich>
      </c:tx>
      <c:layout/>
      <c:overlay val="0"/>
    </c:title>
    <c:autoTitleDeleted val="0"/>
    <c:plotArea>
      <c:layout>
        <c:manualLayout>
          <c:layoutTarget val="inner"/>
          <c:xMode val="edge"/>
          <c:yMode val="edge"/>
          <c:x val="0.11284951881014704"/>
          <c:y val="0.21598642274978785"/>
          <c:w val="0.76735832258046599"/>
          <c:h val="0.47023733177134092"/>
        </c:manualLayout>
      </c:layout>
      <c:lineChart>
        <c:grouping val="standard"/>
        <c:varyColors val="0"/>
        <c:ser>
          <c:idx val="0"/>
          <c:order val="0"/>
          <c:tx>
            <c:strRef>
              <c:f>'Laenud&amp;hoiused'!$B$5</c:f>
              <c:strCache>
                <c:ptCount val="1"/>
                <c:pt idx="0">
                  <c:v>Laenu kasvumäär</c:v>
                </c:pt>
              </c:strCache>
            </c:strRef>
          </c:tx>
          <c:marker>
            <c:symbol val="none"/>
          </c:marker>
          <c:dPt>
            <c:idx val="38"/>
            <c:bubble3D val="0"/>
            <c:extLst>
              <c:ext xmlns:c16="http://schemas.microsoft.com/office/drawing/2014/chart" uri="{C3380CC4-5D6E-409C-BE32-E72D297353CC}">
                <c16:uniqueId val="{00000000-7AF2-4E91-AB8E-835311CF7CCF}"/>
              </c:ext>
            </c:extLst>
          </c:dPt>
          <c:cat>
            <c:strRef>
              <c:f>'Laenud&amp;hoiused'!$A$12:$A$69</c:f>
              <c:strCache>
                <c:ptCount val="58"/>
                <c:pt idx="0">
                  <c:v>03 III</c:v>
                </c:pt>
                <c:pt idx="1">
                  <c:v>03 IV</c:v>
                </c:pt>
                <c:pt idx="2">
                  <c:v>04 I</c:v>
                </c:pt>
                <c:pt idx="3">
                  <c:v>04 II</c:v>
                </c:pt>
                <c:pt idx="4">
                  <c:v>04 III</c:v>
                </c:pt>
                <c:pt idx="5">
                  <c:v>04 IV</c:v>
                </c:pt>
                <c:pt idx="6">
                  <c:v>05 I</c:v>
                </c:pt>
                <c:pt idx="7">
                  <c:v>05 II</c:v>
                </c:pt>
                <c:pt idx="8">
                  <c:v>05 III</c:v>
                </c:pt>
                <c:pt idx="9">
                  <c:v>05 IV</c:v>
                </c:pt>
                <c:pt idx="10">
                  <c:v>06 I</c:v>
                </c:pt>
                <c:pt idx="11">
                  <c:v>06 II</c:v>
                </c:pt>
                <c:pt idx="12">
                  <c:v>06 III</c:v>
                </c:pt>
                <c:pt idx="13">
                  <c:v>06 IV</c:v>
                </c:pt>
                <c:pt idx="14">
                  <c:v>07 I</c:v>
                </c:pt>
                <c:pt idx="15">
                  <c:v>07 II</c:v>
                </c:pt>
                <c:pt idx="16">
                  <c:v>07 III</c:v>
                </c:pt>
                <c:pt idx="17">
                  <c:v>07 IV</c:v>
                </c:pt>
                <c:pt idx="18">
                  <c:v>08 I</c:v>
                </c:pt>
                <c:pt idx="19">
                  <c:v>08 II</c:v>
                </c:pt>
                <c:pt idx="20">
                  <c:v>08 III</c:v>
                </c:pt>
                <c:pt idx="21">
                  <c:v>08 IV</c:v>
                </c:pt>
                <c:pt idx="22">
                  <c:v>09 I</c:v>
                </c:pt>
                <c:pt idx="23">
                  <c:v>09 II</c:v>
                </c:pt>
                <c:pt idx="24">
                  <c:v>09 III</c:v>
                </c:pt>
                <c:pt idx="25">
                  <c:v>09 IV</c:v>
                </c:pt>
                <c:pt idx="26">
                  <c:v>10 I</c:v>
                </c:pt>
                <c:pt idx="27">
                  <c:v>10 II</c:v>
                </c:pt>
                <c:pt idx="28">
                  <c:v>10 III</c:v>
                </c:pt>
                <c:pt idx="29">
                  <c:v>10 IV</c:v>
                </c:pt>
                <c:pt idx="30">
                  <c:v>11 
I</c:v>
                </c:pt>
                <c:pt idx="31">
                  <c:v>11 II</c:v>
                </c:pt>
                <c:pt idx="32">
                  <c:v>11 III</c:v>
                </c:pt>
                <c:pt idx="33">
                  <c:v>11 IV</c:v>
                </c:pt>
                <c:pt idx="34">
                  <c:v>12 I</c:v>
                </c:pt>
                <c:pt idx="35">
                  <c:v>12 II</c:v>
                </c:pt>
                <c:pt idx="36">
                  <c:v>12 III</c:v>
                </c:pt>
                <c:pt idx="37">
                  <c:v>12 IV</c:v>
                </c:pt>
                <c:pt idx="38">
                  <c:v>13 I</c:v>
                </c:pt>
                <c:pt idx="39">
                  <c:v>13 II</c:v>
                </c:pt>
                <c:pt idx="40">
                  <c:v>13 III</c:v>
                </c:pt>
                <c:pt idx="41">
                  <c:v>13 IV</c:v>
                </c:pt>
                <c:pt idx="42">
                  <c:v>14 I</c:v>
                </c:pt>
                <c:pt idx="43">
                  <c:v>14 II</c:v>
                </c:pt>
                <c:pt idx="44">
                  <c:v>14 III</c:v>
                </c:pt>
                <c:pt idx="45">
                  <c:v>14 IV</c:v>
                </c:pt>
                <c:pt idx="46">
                  <c:v>15 I</c:v>
                </c:pt>
                <c:pt idx="47">
                  <c:v>15 II</c:v>
                </c:pt>
                <c:pt idx="48">
                  <c:v>15 III</c:v>
                </c:pt>
                <c:pt idx="49">
                  <c:v>15 IV</c:v>
                </c:pt>
                <c:pt idx="50">
                  <c:v>16 I</c:v>
                </c:pt>
                <c:pt idx="51">
                  <c:v>16 II</c:v>
                </c:pt>
                <c:pt idx="52">
                  <c:v>16 III</c:v>
                </c:pt>
                <c:pt idx="53">
                  <c:v>16 IV</c:v>
                </c:pt>
                <c:pt idx="54">
                  <c:v>17 
I</c:v>
                </c:pt>
                <c:pt idx="55">
                  <c:v>17 II</c:v>
                </c:pt>
                <c:pt idx="56">
                  <c:v>17 III</c:v>
                </c:pt>
                <c:pt idx="57">
                  <c:v>17 IV</c:v>
                </c:pt>
              </c:strCache>
            </c:strRef>
          </c:cat>
          <c:val>
            <c:numRef>
              <c:f>'Laenud&amp;hoiused'!$B$12:$B$69</c:f>
              <c:numCache>
                <c:formatCode>0%</c:formatCode>
                <c:ptCount val="58"/>
                <c:pt idx="0">
                  <c:v>0.30307917566834308</c:v>
                </c:pt>
                <c:pt idx="1">
                  <c:v>0.38414356126650584</c:v>
                </c:pt>
                <c:pt idx="2">
                  <c:v>0.40193812994868394</c:v>
                </c:pt>
                <c:pt idx="3">
                  <c:v>0.38565187635241549</c:v>
                </c:pt>
                <c:pt idx="4">
                  <c:v>0.39672927797436897</c:v>
                </c:pt>
                <c:pt idx="5">
                  <c:v>0.33804989658852636</c:v>
                </c:pt>
                <c:pt idx="6">
                  <c:v>0.32840695040129675</c:v>
                </c:pt>
                <c:pt idx="7">
                  <c:v>0.33983886407890984</c:v>
                </c:pt>
                <c:pt idx="8">
                  <c:v>0.39660013570379449</c:v>
                </c:pt>
                <c:pt idx="9">
                  <c:v>0.3556717522354742</c:v>
                </c:pt>
                <c:pt idx="10">
                  <c:v>0.41269836432904428</c:v>
                </c:pt>
                <c:pt idx="11">
                  <c:v>0.43950413375761999</c:v>
                </c:pt>
                <c:pt idx="12">
                  <c:v>0.34704763089590274</c:v>
                </c:pt>
                <c:pt idx="13">
                  <c:v>0.41605806318495531</c:v>
                </c:pt>
                <c:pt idx="14">
                  <c:v>0.39714604048071833</c:v>
                </c:pt>
                <c:pt idx="15">
                  <c:v>0.39964832933503547</c:v>
                </c:pt>
                <c:pt idx="16">
                  <c:v>0.4221031914423683</c:v>
                </c:pt>
                <c:pt idx="17">
                  <c:v>0.34622941164930121</c:v>
                </c:pt>
                <c:pt idx="18">
                  <c:v>0.29349222741754444</c:v>
                </c:pt>
                <c:pt idx="19">
                  <c:v>0.1996868306998949</c:v>
                </c:pt>
                <c:pt idx="20">
                  <c:v>0.1369957234995447</c:v>
                </c:pt>
                <c:pt idx="21">
                  <c:v>8.6766894754205515E-2</c:v>
                </c:pt>
                <c:pt idx="22">
                  <c:v>3.6712046983086388E-2</c:v>
                </c:pt>
                <c:pt idx="23" formatCode="0.0%">
                  <c:v>-2.1459154311613271E-2</c:v>
                </c:pt>
                <c:pt idx="24" formatCode="0.0%">
                  <c:v>-3.8769306460984421E-2</c:v>
                </c:pt>
                <c:pt idx="25" formatCode="0.0%">
                  <c:v>-5.7424397838513608E-2</c:v>
                </c:pt>
                <c:pt idx="26" formatCode="0.0%">
                  <c:v>-5.5081737730311775E-2</c:v>
                </c:pt>
                <c:pt idx="27" formatCode="0.0%">
                  <c:v>-5.0963957379654867E-2</c:v>
                </c:pt>
                <c:pt idx="28" formatCode="0.0%">
                  <c:v>-5.454675096667283E-2</c:v>
                </c:pt>
                <c:pt idx="29" formatCode="0.0%">
                  <c:v>-4.989589510065795E-2</c:v>
                </c:pt>
                <c:pt idx="30" formatCode="0.0%">
                  <c:v>-6.1932330704391969E-2</c:v>
                </c:pt>
                <c:pt idx="31" formatCode="0.0%">
                  <c:v>-4.8419434291666841E-2</c:v>
                </c:pt>
                <c:pt idx="32" formatCode="0.0%">
                  <c:v>-5.1686509255079005E-2</c:v>
                </c:pt>
                <c:pt idx="33" formatCode="0.0%">
                  <c:v>-4.7593874156017679E-2</c:v>
                </c:pt>
                <c:pt idx="34" formatCode="0.0%">
                  <c:v>-3.5127836664418988E-2</c:v>
                </c:pt>
                <c:pt idx="35" formatCode="0.0%">
                  <c:v>-2.3434050588029831E-2</c:v>
                </c:pt>
                <c:pt idx="36" formatCode="0.0%">
                  <c:v>7.5032395050624867E-3</c:v>
                </c:pt>
                <c:pt idx="37" formatCode="0.0%">
                  <c:v>7.3832861236311498E-3</c:v>
                </c:pt>
                <c:pt idx="38" formatCode="0.0%">
                  <c:v>2.3157797435285232E-2</c:v>
                </c:pt>
                <c:pt idx="39" formatCode="0.0%">
                  <c:v>1.3910398025567927E-2</c:v>
                </c:pt>
                <c:pt idx="40" formatCode="0.0%">
                  <c:v>1.8447125125050201E-2</c:v>
                </c:pt>
                <c:pt idx="41" formatCode="0.0%">
                  <c:v>2.4857932546376249E-2</c:v>
                </c:pt>
                <c:pt idx="42" formatCode="0.0%">
                  <c:v>1.4365723247513174E-2</c:v>
                </c:pt>
                <c:pt idx="43" formatCode="0.0%">
                  <c:v>3.552893311112415E-2</c:v>
                </c:pt>
                <c:pt idx="44" formatCode="0.0%">
                  <c:v>3.4263367584431048E-2</c:v>
                </c:pt>
                <c:pt idx="45" formatCode="0.0%">
                  <c:v>4.4244477983476749E-2</c:v>
                </c:pt>
                <c:pt idx="46" formatCode="0.0%">
                  <c:v>5.1732943951162902E-2</c:v>
                </c:pt>
                <c:pt idx="47" formatCode="0.0%">
                  <c:v>5.3209920693576329E-2</c:v>
                </c:pt>
                <c:pt idx="48" formatCode="0.0%">
                  <c:v>7.8002500780112616E-2</c:v>
                </c:pt>
                <c:pt idx="49" formatCode="0.0%">
                  <c:v>8.1781896179874414E-2</c:v>
                </c:pt>
                <c:pt idx="50" formatCode="0.0%">
                  <c:v>0.12208559377663453</c:v>
                </c:pt>
                <c:pt idx="51" formatCode="0.0%">
                  <c:v>0.11726048894222307</c:v>
                </c:pt>
                <c:pt idx="52" formatCode="0.0%">
                  <c:v>9.4151618678274263E-2</c:v>
                </c:pt>
                <c:pt idx="53" formatCode="0.0%">
                  <c:v>9.037735637855504E-2</c:v>
                </c:pt>
                <c:pt idx="54" formatCode="0.0%">
                  <c:v>5.5255292047732052E-2</c:v>
                </c:pt>
                <c:pt idx="55" formatCode="0.0%">
                  <c:v>5.5694754639623811E-2</c:v>
                </c:pt>
                <c:pt idx="56" formatCode="0.0%">
                  <c:v>1.5480124640217419E-2</c:v>
                </c:pt>
                <c:pt idx="57" formatCode="0.0%">
                  <c:v>2.053127088373663E-2</c:v>
                </c:pt>
              </c:numCache>
            </c:numRef>
          </c:val>
          <c:smooth val="0"/>
          <c:extLst>
            <c:ext xmlns:c16="http://schemas.microsoft.com/office/drawing/2014/chart" uri="{C3380CC4-5D6E-409C-BE32-E72D297353CC}">
              <c16:uniqueId val="{00000001-7AF2-4E91-AB8E-835311CF7CCF}"/>
            </c:ext>
          </c:extLst>
        </c:ser>
        <c:ser>
          <c:idx val="1"/>
          <c:order val="1"/>
          <c:tx>
            <c:strRef>
              <c:f>'Laenud&amp;hoiused'!$D$5</c:f>
              <c:strCache>
                <c:ptCount val="1"/>
                <c:pt idx="0">
                  <c:v>Deposiidi kasvumäär</c:v>
                </c:pt>
              </c:strCache>
            </c:strRef>
          </c:tx>
          <c:marker>
            <c:symbol val="none"/>
          </c:marker>
          <c:dPt>
            <c:idx val="38"/>
            <c:bubble3D val="0"/>
            <c:extLst>
              <c:ext xmlns:c16="http://schemas.microsoft.com/office/drawing/2014/chart" uri="{C3380CC4-5D6E-409C-BE32-E72D297353CC}">
                <c16:uniqueId val="{00000002-7AF2-4E91-AB8E-835311CF7CCF}"/>
              </c:ext>
            </c:extLst>
          </c:dPt>
          <c:cat>
            <c:strRef>
              <c:f>'Laenud&amp;hoiused'!$A$12:$A$69</c:f>
              <c:strCache>
                <c:ptCount val="58"/>
                <c:pt idx="0">
                  <c:v>03 III</c:v>
                </c:pt>
                <c:pt idx="1">
                  <c:v>03 IV</c:v>
                </c:pt>
                <c:pt idx="2">
                  <c:v>04 I</c:v>
                </c:pt>
                <c:pt idx="3">
                  <c:v>04 II</c:v>
                </c:pt>
                <c:pt idx="4">
                  <c:v>04 III</c:v>
                </c:pt>
                <c:pt idx="5">
                  <c:v>04 IV</c:v>
                </c:pt>
                <c:pt idx="6">
                  <c:v>05 I</c:v>
                </c:pt>
                <c:pt idx="7">
                  <c:v>05 II</c:v>
                </c:pt>
                <c:pt idx="8">
                  <c:v>05 III</c:v>
                </c:pt>
                <c:pt idx="9">
                  <c:v>05 IV</c:v>
                </c:pt>
                <c:pt idx="10">
                  <c:v>06 I</c:v>
                </c:pt>
                <c:pt idx="11">
                  <c:v>06 II</c:v>
                </c:pt>
                <c:pt idx="12">
                  <c:v>06 III</c:v>
                </c:pt>
                <c:pt idx="13">
                  <c:v>06 IV</c:v>
                </c:pt>
                <c:pt idx="14">
                  <c:v>07 I</c:v>
                </c:pt>
                <c:pt idx="15">
                  <c:v>07 II</c:v>
                </c:pt>
                <c:pt idx="16">
                  <c:v>07 III</c:v>
                </c:pt>
                <c:pt idx="17">
                  <c:v>07 IV</c:v>
                </c:pt>
                <c:pt idx="18">
                  <c:v>08 I</c:v>
                </c:pt>
                <c:pt idx="19">
                  <c:v>08 II</c:v>
                </c:pt>
                <c:pt idx="20">
                  <c:v>08 III</c:v>
                </c:pt>
                <c:pt idx="21">
                  <c:v>08 IV</c:v>
                </c:pt>
                <c:pt idx="22">
                  <c:v>09 I</c:v>
                </c:pt>
                <c:pt idx="23">
                  <c:v>09 II</c:v>
                </c:pt>
                <c:pt idx="24">
                  <c:v>09 III</c:v>
                </c:pt>
                <c:pt idx="25">
                  <c:v>09 IV</c:v>
                </c:pt>
                <c:pt idx="26">
                  <c:v>10 I</c:v>
                </c:pt>
                <c:pt idx="27">
                  <c:v>10 II</c:v>
                </c:pt>
                <c:pt idx="28">
                  <c:v>10 III</c:v>
                </c:pt>
                <c:pt idx="29">
                  <c:v>10 IV</c:v>
                </c:pt>
                <c:pt idx="30">
                  <c:v>11 
I</c:v>
                </c:pt>
                <c:pt idx="31">
                  <c:v>11 II</c:v>
                </c:pt>
                <c:pt idx="32">
                  <c:v>11 III</c:v>
                </c:pt>
                <c:pt idx="33">
                  <c:v>11 IV</c:v>
                </c:pt>
                <c:pt idx="34">
                  <c:v>12 I</c:v>
                </c:pt>
                <c:pt idx="35">
                  <c:v>12 II</c:v>
                </c:pt>
                <c:pt idx="36">
                  <c:v>12 III</c:v>
                </c:pt>
                <c:pt idx="37">
                  <c:v>12 IV</c:v>
                </c:pt>
                <c:pt idx="38">
                  <c:v>13 I</c:v>
                </c:pt>
                <c:pt idx="39">
                  <c:v>13 II</c:v>
                </c:pt>
                <c:pt idx="40">
                  <c:v>13 III</c:v>
                </c:pt>
                <c:pt idx="41">
                  <c:v>13 IV</c:v>
                </c:pt>
                <c:pt idx="42">
                  <c:v>14 I</c:v>
                </c:pt>
                <c:pt idx="43">
                  <c:v>14 II</c:v>
                </c:pt>
                <c:pt idx="44">
                  <c:v>14 III</c:v>
                </c:pt>
                <c:pt idx="45">
                  <c:v>14 IV</c:v>
                </c:pt>
                <c:pt idx="46">
                  <c:v>15 I</c:v>
                </c:pt>
                <c:pt idx="47">
                  <c:v>15 II</c:v>
                </c:pt>
                <c:pt idx="48">
                  <c:v>15 III</c:v>
                </c:pt>
                <c:pt idx="49">
                  <c:v>15 IV</c:v>
                </c:pt>
                <c:pt idx="50">
                  <c:v>16 I</c:v>
                </c:pt>
                <c:pt idx="51">
                  <c:v>16 II</c:v>
                </c:pt>
                <c:pt idx="52">
                  <c:v>16 III</c:v>
                </c:pt>
                <c:pt idx="53">
                  <c:v>16 IV</c:v>
                </c:pt>
                <c:pt idx="54">
                  <c:v>17 
I</c:v>
                </c:pt>
                <c:pt idx="55">
                  <c:v>17 II</c:v>
                </c:pt>
                <c:pt idx="56">
                  <c:v>17 III</c:v>
                </c:pt>
                <c:pt idx="57">
                  <c:v>17 IV</c:v>
                </c:pt>
              </c:strCache>
            </c:strRef>
          </c:cat>
          <c:val>
            <c:numRef>
              <c:f>'Laenud&amp;hoiused'!$D$12:$D$69</c:f>
              <c:numCache>
                <c:formatCode>0.0%</c:formatCode>
                <c:ptCount val="58"/>
                <c:pt idx="0">
                  <c:v>9.1440852194351496E-2</c:v>
                </c:pt>
                <c:pt idx="1">
                  <c:v>9.6273466666533247E-2</c:v>
                </c:pt>
                <c:pt idx="2">
                  <c:v>8.1336767010886657E-2</c:v>
                </c:pt>
                <c:pt idx="3">
                  <c:v>0.12441180231619797</c:v>
                </c:pt>
                <c:pt idx="4">
                  <c:v>0.19375823382671076</c:v>
                </c:pt>
                <c:pt idx="5">
                  <c:v>0.21175650515474809</c:v>
                </c:pt>
                <c:pt idx="6">
                  <c:v>0.2608579700875564</c:v>
                </c:pt>
                <c:pt idx="7">
                  <c:v>0.34542160159284907</c:v>
                </c:pt>
                <c:pt idx="8">
                  <c:v>0.33837576007702475</c:v>
                </c:pt>
                <c:pt idx="9">
                  <c:v>0.46662093683586736</c:v>
                </c:pt>
                <c:pt idx="10">
                  <c:v>0.40004915106894789</c:v>
                </c:pt>
                <c:pt idx="11">
                  <c:v>0.34929238801653018</c:v>
                </c:pt>
                <c:pt idx="12">
                  <c:v>0.34605958252002789</c:v>
                </c:pt>
                <c:pt idx="13">
                  <c:v>0.29212741009757459</c:v>
                </c:pt>
                <c:pt idx="14">
                  <c:v>0.28880219868812551</c:v>
                </c:pt>
                <c:pt idx="15">
                  <c:v>0.25392906164625573</c:v>
                </c:pt>
                <c:pt idx="16">
                  <c:v>0.21870851775173761</c:v>
                </c:pt>
                <c:pt idx="17">
                  <c:v>0.1618342061325686</c:v>
                </c:pt>
                <c:pt idx="18">
                  <c:v>0.14344555782869595</c:v>
                </c:pt>
                <c:pt idx="19">
                  <c:v>9.2207144628339677E-2</c:v>
                </c:pt>
                <c:pt idx="20">
                  <c:v>0.10271863665458869</c:v>
                </c:pt>
                <c:pt idx="21">
                  <c:v>4.3872979478396745E-2</c:v>
                </c:pt>
                <c:pt idx="22">
                  <c:v>5.4763270305353551E-2</c:v>
                </c:pt>
                <c:pt idx="23">
                  <c:v>3.4394539992614437E-2</c:v>
                </c:pt>
                <c:pt idx="24">
                  <c:v>3.0978544498863059E-3</c:v>
                </c:pt>
                <c:pt idx="25">
                  <c:v>5.6566607745829334E-2</c:v>
                </c:pt>
                <c:pt idx="26">
                  <c:v>6.1140145021335579E-2</c:v>
                </c:pt>
                <c:pt idx="27">
                  <c:v>6.8274467910069969E-2</c:v>
                </c:pt>
                <c:pt idx="28">
                  <c:v>6.8472685614789031E-2</c:v>
                </c:pt>
                <c:pt idx="29">
                  <c:v>4.6984922832344234E-2</c:v>
                </c:pt>
                <c:pt idx="30">
                  <c:v>2.6209443743156369E-2</c:v>
                </c:pt>
                <c:pt idx="31">
                  <c:v>3.2666339625026852E-2</c:v>
                </c:pt>
                <c:pt idx="32">
                  <c:v>8.902716061885374E-2</c:v>
                </c:pt>
                <c:pt idx="33">
                  <c:v>0.10459040633021455</c:v>
                </c:pt>
                <c:pt idx="34">
                  <c:v>0.10913648111598073</c:v>
                </c:pt>
                <c:pt idx="35">
                  <c:v>0.11948095421913707</c:v>
                </c:pt>
                <c:pt idx="36">
                  <c:v>0.10878911778226463</c:v>
                </c:pt>
                <c:pt idx="37">
                  <c:v>8.8257368154856408E-2</c:v>
                </c:pt>
                <c:pt idx="38">
                  <c:v>7.9350898490482269E-2</c:v>
                </c:pt>
                <c:pt idx="39">
                  <c:v>7.6661230760425969E-2</c:v>
                </c:pt>
                <c:pt idx="40">
                  <c:v>5.921360229361583E-2</c:v>
                </c:pt>
                <c:pt idx="41">
                  <c:v>8.3184994891830177E-2</c:v>
                </c:pt>
                <c:pt idx="42">
                  <c:v>0.1081844348072305</c:v>
                </c:pt>
                <c:pt idx="43">
                  <c:v>9.4582204705914164E-2</c:v>
                </c:pt>
                <c:pt idx="44">
                  <c:v>9.1180601108814541E-2</c:v>
                </c:pt>
                <c:pt idx="45">
                  <c:v>9.2128419013319807E-2</c:v>
                </c:pt>
                <c:pt idx="46">
                  <c:v>9.5031303631122555E-2</c:v>
                </c:pt>
                <c:pt idx="47">
                  <c:v>0.11956840375664624</c:v>
                </c:pt>
                <c:pt idx="48">
                  <c:v>9.5002123713607389E-2</c:v>
                </c:pt>
                <c:pt idx="49">
                  <c:v>4.4913162968080345E-2</c:v>
                </c:pt>
                <c:pt idx="50">
                  <c:v>3.8083310345431887E-2</c:v>
                </c:pt>
                <c:pt idx="51">
                  <c:v>2.2463120349796251E-2</c:v>
                </c:pt>
                <c:pt idx="52">
                  <c:v>3.5726951907598448E-2</c:v>
                </c:pt>
                <c:pt idx="53">
                  <c:v>5.0390219568985151E-2</c:v>
                </c:pt>
                <c:pt idx="54">
                  <c:v>5.3510482877643817E-2</c:v>
                </c:pt>
                <c:pt idx="55">
                  <c:v>3.60730867282546E-2</c:v>
                </c:pt>
                <c:pt idx="56">
                  <c:v>5.4415815222421671E-2</c:v>
                </c:pt>
                <c:pt idx="57">
                  <c:v>4.5291612147051463E-2</c:v>
                </c:pt>
              </c:numCache>
            </c:numRef>
          </c:val>
          <c:smooth val="0"/>
          <c:extLst>
            <c:ext xmlns:c16="http://schemas.microsoft.com/office/drawing/2014/chart" uri="{C3380CC4-5D6E-409C-BE32-E72D297353CC}">
              <c16:uniqueId val="{00000003-7AF2-4E91-AB8E-835311CF7CCF}"/>
            </c:ext>
          </c:extLst>
        </c:ser>
        <c:dLbls>
          <c:showLegendKey val="0"/>
          <c:showVal val="0"/>
          <c:showCatName val="0"/>
          <c:showSerName val="0"/>
          <c:showPercent val="0"/>
          <c:showBubbleSize val="0"/>
        </c:dLbls>
        <c:marker val="1"/>
        <c:smooth val="0"/>
        <c:axId val="286500288"/>
        <c:axId val="408130792"/>
      </c:lineChart>
      <c:lineChart>
        <c:grouping val="standard"/>
        <c:varyColors val="0"/>
        <c:ser>
          <c:idx val="2"/>
          <c:order val="2"/>
          <c:tx>
            <c:strRef>
              <c:f>'Laenud&amp;hoiused'!$K$5</c:f>
              <c:strCache>
                <c:ptCount val="1"/>
                <c:pt idx="0">
                  <c:v>Laenu-hoiuse suhe (p.s.)</c:v>
                </c:pt>
              </c:strCache>
            </c:strRef>
          </c:tx>
          <c:marker>
            <c:symbol val="none"/>
          </c:marker>
          <c:dPt>
            <c:idx val="38"/>
            <c:bubble3D val="0"/>
            <c:extLst>
              <c:ext xmlns:c16="http://schemas.microsoft.com/office/drawing/2014/chart" uri="{C3380CC4-5D6E-409C-BE32-E72D297353CC}">
                <c16:uniqueId val="{00000004-7AF2-4E91-AB8E-835311CF7CCF}"/>
              </c:ext>
            </c:extLst>
          </c:dPt>
          <c:cat>
            <c:strRef>
              <c:f>'Laenud&amp;hoiused'!$A$12:$A$69</c:f>
              <c:strCache>
                <c:ptCount val="58"/>
                <c:pt idx="0">
                  <c:v>03 III</c:v>
                </c:pt>
                <c:pt idx="1">
                  <c:v>03 IV</c:v>
                </c:pt>
                <c:pt idx="2">
                  <c:v>04 I</c:v>
                </c:pt>
                <c:pt idx="3">
                  <c:v>04 II</c:v>
                </c:pt>
                <c:pt idx="4">
                  <c:v>04 III</c:v>
                </c:pt>
                <c:pt idx="5">
                  <c:v>04 IV</c:v>
                </c:pt>
                <c:pt idx="6">
                  <c:v>05 I</c:v>
                </c:pt>
                <c:pt idx="7">
                  <c:v>05 II</c:v>
                </c:pt>
                <c:pt idx="8">
                  <c:v>05 III</c:v>
                </c:pt>
                <c:pt idx="9">
                  <c:v>05 IV</c:v>
                </c:pt>
                <c:pt idx="10">
                  <c:v>06 I</c:v>
                </c:pt>
                <c:pt idx="11">
                  <c:v>06 II</c:v>
                </c:pt>
                <c:pt idx="12">
                  <c:v>06 III</c:v>
                </c:pt>
                <c:pt idx="13">
                  <c:v>06 IV</c:v>
                </c:pt>
                <c:pt idx="14">
                  <c:v>07 I</c:v>
                </c:pt>
                <c:pt idx="15">
                  <c:v>07 II</c:v>
                </c:pt>
                <c:pt idx="16">
                  <c:v>07 III</c:v>
                </c:pt>
                <c:pt idx="17">
                  <c:v>07 IV</c:v>
                </c:pt>
                <c:pt idx="18">
                  <c:v>08 I</c:v>
                </c:pt>
                <c:pt idx="19">
                  <c:v>08 II</c:v>
                </c:pt>
                <c:pt idx="20">
                  <c:v>08 III</c:v>
                </c:pt>
                <c:pt idx="21">
                  <c:v>08 IV</c:v>
                </c:pt>
                <c:pt idx="22">
                  <c:v>09 I</c:v>
                </c:pt>
                <c:pt idx="23">
                  <c:v>09 II</c:v>
                </c:pt>
                <c:pt idx="24">
                  <c:v>09 III</c:v>
                </c:pt>
                <c:pt idx="25">
                  <c:v>09 IV</c:v>
                </c:pt>
                <c:pt idx="26">
                  <c:v>10 I</c:v>
                </c:pt>
                <c:pt idx="27">
                  <c:v>10 II</c:v>
                </c:pt>
                <c:pt idx="28">
                  <c:v>10 III</c:v>
                </c:pt>
                <c:pt idx="29">
                  <c:v>10 IV</c:v>
                </c:pt>
                <c:pt idx="30">
                  <c:v>11 
I</c:v>
                </c:pt>
                <c:pt idx="31">
                  <c:v>11 II</c:v>
                </c:pt>
                <c:pt idx="32">
                  <c:v>11 III</c:v>
                </c:pt>
                <c:pt idx="33">
                  <c:v>11 IV</c:v>
                </c:pt>
                <c:pt idx="34">
                  <c:v>12 I</c:v>
                </c:pt>
                <c:pt idx="35">
                  <c:v>12 II</c:v>
                </c:pt>
                <c:pt idx="36">
                  <c:v>12 III</c:v>
                </c:pt>
                <c:pt idx="37">
                  <c:v>12 IV</c:v>
                </c:pt>
                <c:pt idx="38">
                  <c:v>13 I</c:v>
                </c:pt>
                <c:pt idx="39">
                  <c:v>13 II</c:v>
                </c:pt>
                <c:pt idx="40">
                  <c:v>13 III</c:v>
                </c:pt>
                <c:pt idx="41">
                  <c:v>13 IV</c:v>
                </c:pt>
                <c:pt idx="42">
                  <c:v>14 I</c:v>
                </c:pt>
                <c:pt idx="43">
                  <c:v>14 II</c:v>
                </c:pt>
                <c:pt idx="44">
                  <c:v>14 III</c:v>
                </c:pt>
                <c:pt idx="45">
                  <c:v>14 IV</c:v>
                </c:pt>
                <c:pt idx="46">
                  <c:v>15 I</c:v>
                </c:pt>
                <c:pt idx="47">
                  <c:v>15 II</c:v>
                </c:pt>
                <c:pt idx="48">
                  <c:v>15 III</c:v>
                </c:pt>
                <c:pt idx="49">
                  <c:v>15 IV</c:v>
                </c:pt>
                <c:pt idx="50">
                  <c:v>16 I</c:v>
                </c:pt>
                <c:pt idx="51">
                  <c:v>16 II</c:v>
                </c:pt>
                <c:pt idx="52">
                  <c:v>16 III</c:v>
                </c:pt>
                <c:pt idx="53">
                  <c:v>16 IV</c:v>
                </c:pt>
                <c:pt idx="54">
                  <c:v>17 
I</c:v>
                </c:pt>
                <c:pt idx="55">
                  <c:v>17 II</c:v>
                </c:pt>
                <c:pt idx="56">
                  <c:v>17 III</c:v>
                </c:pt>
                <c:pt idx="57">
                  <c:v>17 IV</c:v>
                </c:pt>
              </c:strCache>
            </c:strRef>
          </c:cat>
          <c:val>
            <c:numRef>
              <c:f>'Laenud&amp;hoiused'!$K$12:$K$69</c:f>
              <c:numCache>
                <c:formatCode>0%</c:formatCode>
                <c:ptCount val="58"/>
                <c:pt idx="0">
                  <c:v>1.1808119746238441</c:v>
                </c:pt>
                <c:pt idx="1">
                  <c:v>1.2945005491839556</c:v>
                </c:pt>
                <c:pt idx="2">
                  <c:v>1.3441576061789786</c:v>
                </c:pt>
                <c:pt idx="3">
                  <c:v>1.3492047002184762</c:v>
                </c:pt>
                <c:pt idx="4">
                  <c:v>1.3815818061023437</c:v>
                </c:pt>
                <c:pt idx="5">
                  <c:v>1.4294178067962449</c:v>
                </c:pt>
                <c:pt idx="6">
                  <c:v>1.4161692663598975</c:v>
                </c:pt>
                <c:pt idx="7">
                  <c:v>1.3436062649882292</c:v>
                </c:pt>
                <c:pt idx="8">
                  <c:v>1.4416858071139762</c:v>
                </c:pt>
                <c:pt idx="9">
                  <c:v>1.3212830214989078</c:v>
                </c:pt>
                <c:pt idx="10">
                  <c:v>1.4289641222039966</c:v>
                </c:pt>
                <c:pt idx="11">
                  <c:v>1.4334378447330995</c:v>
                </c:pt>
                <c:pt idx="12">
                  <c:v>1.4427440480259974</c:v>
                </c:pt>
                <c:pt idx="13">
                  <c:v>1.4480100504961968</c:v>
                </c:pt>
                <c:pt idx="14">
                  <c:v>1.5490907505888272</c:v>
                </c:pt>
                <c:pt idx="15">
                  <c:v>1.6000178526465112</c:v>
                </c:pt>
                <c:pt idx="16">
                  <c:v>1.6835288219017839</c:v>
                </c:pt>
                <c:pt idx="17">
                  <c:v>1.6778243470990932</c:v>
                </c:pt>
                <c:pt idx="18">
                  <c:v>1.7523675104007406</c:v>
                </c:pt>
                <c:pt idx="19">
                  <c:v>1.7574691359100436</c:v>
                </c:pt>
                <c:pt idx="20">
                  <c:v>1.7358599077437562</c:v>
                </c:pt>
                <c:pt idx="21">
                  <c:v>1.7467680373822914</c:v>
                </c:pt>
                <c:pt idx="22">
                  <c:v>1.7223774849955409</c:v>
                </c:pt>
                <c:pt idx="23">
                  <c:v>1.6625719375287225</c:v>
                </c:pt>
                <c:pt idx="24">
                  <c:v>1.6634088245779037</c:v>
                </c:pt>
                <c:pt idx="25">
                  <c:v>1.5583124836632434</c:v>
                </c:pt>
                <c:pt idx="26">
                  <c:v>1.5337332657994005</c:v>
                </c:pt>
                <c:pt idx="27">
                  <c:v>1.4769993476027972</c:v>
                </c:pt>
                <c:pt idx="28">
                  <c:v>1.471890951300252</c:v>
                </c:pt>
                <c:pt idx="29">
                  <c:v>1.414116913392669</c:v>
                </c:pt>
                <c:pt idx="30">
                  <c:v>1.4019999511227259</c:v>
                </c:pt>
                <c:pt idx="31">
                  <c:v>1.3610241961145515</c:v>
                </c:pt>
                <c:pt idx="32">
                  <c:v>1.2817072856385099</c:v>
                </c:pt>
                <c:pt idx="33">
                  <c:v>1.2192878041094772</c:v>
                </c:pt>
                <c:pt idx="34">
                  <c:v>1.2196431628279552</c:v>
                </c:pt>
                <c:pt idx="35">
                  <c:v>1.1872733352380866</c:v>
                </c:pt>
                <c:pt idx="36">
                  <c:v>1.1646256458224182</c:v>
                </c:pt>
                <c:pt idx="37">
                  <c:v>1.1286761668490615</c:v>
                </c:pt>
                <c:pt idx="38">
                  <c:v>1.156146174410267</c:v>
                </c:pt>
                <c:pt idx="39">
                  <c:v>1.1180757191806545</c:v>
                </c:pt>
                <c:pt idx="40">
                  <c:v>1.1198021232604556</c:v>
                </c:pt>
                <c:pt idx="41">
                  <c:v>1.0678995077722733</c:v>
                </c:pt>
                <c:pt idx="42">
                  <c:v>1.0582670298825463</c:v>
                </c:pt>
                <c:pt idx="43">
                  <c:v>1.0577549604249838</c:v>
                </c:pt>
                <c:pt idx="44">
                  <c:v>1.0613919582648996</c:v>
                </c:pt>
                <c:pt idx="45">
                  <c:v>1.0210778738272801</c:v>
                </c:pt>
                <c:pt idx="46">
                  <c:v>1.0164223571819999</c:v>
                </c:pt>
                <c:pt idx="47">
                  <c:v>0.99506025200813542</c:v>
                </c:pt>
                <c:pt idx="48">
                  <c:v>1.0449141244010212</c:v>
                </c:pt>
                <c:pt idx="49">
                  <c:v>1.0571056023053775</c:v>
                </c:pt>
                <c:pt idx="50">
                  <c:v>1.0986718241399089</c:v>
                </c:pt>
                <c:pt idx="51">
                  <c:v>1.0873169716920859</c:v>
                </c:pt>
                <c:pt idx="52">
                  <c:v>1.1038570334463664</c:v>
                </c:pt>
                <c:pt idx="53">
                  <c:v>1.0973483859433413</c:v>
                </c:pt>
                <c:pt idx="54">
                  <c:v>1.100491428885028</c:v>
                </c:pt>
                <c:pt idx="55">
                  <c:v>1.1079091218079722</c:v>
                </c:pt>
                <c:pt idx="56">
                  <c:v>1.0630956608637754</c:v>
                </c:pt>
                <c:pt idx="57">
                  <c:v>1.0713549500399422</c:v>
                </c:pt>
              </c:numCache>
            </c:numRef>
          </c:val>
          <c:smooth val="0"/>
          <c:extLst>
            <c:ext xmlns:c16="http://schemas.microsoft.com/office/drawing/2014/chart" uri="{C3380CC4-5D6E-409C-BE32-E72D297353CC}">
              <c16:uniqueId val="{00000005-7AF2-4E91-AB8E-835311CF7CCF}"/>
            </c:ext>
          </c:extLst>
        </c:ser>
        <c:dLbls>
          <c:showLegendKey val="0"/>
          <c:showVal val="0"/>
          <c:showCatName val="0"/>
          <c:showSerName val="0"/>
          <c:showPercent val="0"/>
          <c:showBubbleSize val="0"/>
        </c:dLbls>
        <c:marker val="1"/>
        <c:smooth val="0"/>
        <c:axId val="371138472"/>
        <c:axId val="341699352"/>
      </c:lineChart>
      <c:catAx>
        <c:axId val="286500288"/>
        <c:scaling>
          <c:orientation val="minMax"/>
        </c:scaling>
        <c:delete val="0"/>
        <c:axPos val="b"/>
        <c:numFmt formatCode="General" sourceLinked="0"/>
        <c:majorTickMark val="none"/>
        <c:minorTickMark val="none"/>
        <c:tickLblPos val="low"/>
        <c:spPr>
          <a:ln w="9525">
            <a:solidFill>
              <a:schemeClr val="bg1">
                <a:lumMod val="85000"/>
              </a:schemeClr>
            </a:solidFill>
          </a:ln>
        </c:spPr>
        <c:txPr>
          <a:bodyPr rot="0" vert="horz"/>
          <a:lstStyle/>
          <a:p>
            <a:pPr>
              <a:defRPr/>
            </a:pPr>
            <a:endParaRPr lang="et-EE"/>
          </a:p>
        </c:txPr>
        <c:crossAx val="408130792"/>
        <c:crosses val="autoZero"/>
        <c:auto val="0"/>
        <c:lblAlgn val="ctr"/>
        <c:lblOffset val="100"/>
        <c:tickMarkSkip val="2"/>
        <c:noMultiLvlLbl val="0"/>
      </c:catAx>
      <c:valAx>
        <c:axId val="408130792"/>
        <c:scaling>
          <c:orientation val="minMax"/>
        </c:scaling>
        <c:delete val="0"/>
        <c:axPos val="l"/>
        <c:majorGridlines>
          <c:spPr>
            <a:ln w="6350">
              <a:solidFill>
                <a:schemeClr val="bg1">
                  <a:lumMod val="85000"/>
                </a:schemeClr>
              </a:solidFill>
              <a:prstDash val="dash"/>
            </a:ln>
          </c:spPr>
        </c:majorGridlines>
        <c:numFmt formatCode="0%" sourceLinked="0"/>
        <c:majorTickMark val="none"/>
        <c:minorTickMark val="none"/>
        <c:tickLblPos val="nextTo"/>
        <c:spPr>
          <a:ln>
            <a:noFill/>
          </a:ln>
        </c:spPr>
        <c:crossAx val="286500288"/>
        <c:crosses val="autoZero"/>
        <c:crossBetween val="between"/>
      </c:valAx>
      <c:valAx>
        <c:axId val="341699352"/>
        <c:scaling>
          <c:orientation val="minMax"/>
        </c:scaling>
        <c:delete val="0"/>
        <c:axPos val="r"/>
        <c:numFmt formatCode="0%" sourceLinked="1"/>
        <c:majorTickMark val="out"/>
        <c:minorTickMark val="none"/>
        <c:tickLblPos val="nextTo"/>
        <c:spPr>
          <a:ln>
            <a:noFill/>
          </a:ln>
        </c:spPr>
        <c:crossAx val="371138472"/>
        <c:crosses val="max"/>
        <c:crossBetween val="between"/>
        <c:majorUnit val="1"/>
      </c:valAx>
      <c:catAx>
        <c:axId val="371138472"/>
        <c:scaling>
          <c:orientation val="minMax"/>
        </c:scaling>
        <c:delete val="1"/>
        <c:axPos val="b"/>
        <c:numFmt formatCode="General" sourceLinked="1"/>
        <c:majorTickMark val="out"/>
        <c:minorTickMark val="none"/>
        <c:tickLblPos val="nextTo"/>
        <c:crossAx val="341699352"/>
        <c:crosses val="autoZero"/>
        <c:auto val="0"/>
        <c:lblAlgn val="ctr"/>
        <c:lblOffset val="100"/>
        <c:noMultiLvlLbl val="0"/>
      </c:catAx>
    </c:plotArea>
    <c:legend>
      <c:legendPos val="b"/>
      <c:layout>
        <c:manualLayout>
          <c:xMode val="edge"/>
          <c:yMode val="edge"/>
          <c:x val="0.1231257717410478"/>
          <c:y val="0.86233738571564178"/>
          <c:w val="0.84187879500137097"/>
          <c:h val="0.13454542086973031"/>
        </c:manualLayout>
      </c:layout>
      <c:overlay val="0"/>
    </c:legend>
    <c:plotVisOnly val="1"/>
    <c:dispBlanksAs val="gap"/>
    <c:showDLblsOverMax val="0"/>
  </c:chart>
  <c:spPr>
    <a:ln>
      <a:noFill/>
    </a:ln>
  </c:spPr>
  <c:txPr>
    <a:bodyPr/>
    <a:lstStyle/>
    <a:p>
      <a:pPr>
        <a:defRPr sz="900">
          <a:solidFill>
            <a:schemeClr val="tx2"/>
          </a:solidFill>
          <a:latin typeface="+mn-lt"/>
        </a:defRPr>
      </a:pPr>
      <a:endParaRPr lang="et-E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t-EE" sz="1100"/>
              <a:t>Üle 90 päeva viiviste ja allahindluste osakaal laenuportfellis</a:t>
            </a:r>
          </a:p>
        </c:rich>
      </c:tx>
      <c:layout/>
      <c:overlay val="0"/>
    </c:title>
    <c:autoTitleDeleted val="0"/>
    <c:plotArea>
      <c:layout>
        <c:manualLayout>
          <c:layoutTarget val="inner"/>
          <c:xMode val="edge"/>
          <c:yMode val="edge"/>
          <c:x val="0.14521801814815483"/>
          <c:y val="0.20887140651082245"/>
          <c:w val="0.80469774141171135"/>
          <c:h val="0.51902335348334327"/>
        </c:manualLayout>
      </c:layout>
      <c:lineChart>
        <c:grouping val="standard"/>
        <c:varyColors val="0"/>
        <c:ser>
          <c:idx val="0"/>
          <c:order val="0"/>
          <c:tx>
            <c:strRef>
              <c:f>Krediidikvaliteet1!$BG$26</c:f>
              <c:strCache>
                <c:ptCount val="1"/>
                <c:pt idx="0">
                  <c:v>90+ päeva viivis</c:v>
                </c:pt>
              </c:strCache>
            </c:strRef>
          </c:tx>
          <c:spPr>
            <a:ln>
              <a:solidFill>
                <a:schemeClr val="accent1"/>
              </a:solidFill>
            </a:ln>
          </c:spPr>
          <c:marker>
            <c:symbol val="none"/>
          </c:marker>
          <c:cat>
            <c:strRef>
              <c:f>Krediidikvaliteet1!$F$4:$BN$4</c:f>
              <c:strCache>
                <c:ptCount val="61"/>
                <c:pt idx="0">
                  <c:v>02 IV</c:v>
                </c:pt>
                <c:pt idx="1">
                  <c:v>03 I   </c:v>
                </c:pt>
                <c:pt idx="2">
                  <c:v>03 II  </c:v>
                </c:pt>
                <c:pt idx="3">
                  <c:v>03 III</c:v>
                </c:pt>
                <c:pt idx="4">
                  <c:v>03 IV</c:v>
                </c:pt>
                <c:pt idx="5">
                  <c:v>04 I   </c:v>
                </c:pt>
                <c:pt idx="6">
                  <c:v>04 II  </c:v>
                </c:pt>
                <c:pt idx="7">
                  <c:v>04 III</c:v>
                </c:pt>
                <c:pt idx="8">
                  <c:v>04 IV</c:v>
                </c:pt>
                <c:pt idx="9">
                  <c:v>05 I   </c:v>
                </c:pt>
                <c:pt idx="10">
                  <c:v>05 II  </c:v>
                </c:pt>
                <c:pt idx="11">
                  <c:v>05 III</c:v>
                </c:pt>
                <c:pt idx="12">
                  <c:v>05 IV</c:v>
                </c:pt>
                <c:pt idx="13">
                  <c:v>06 I   </c:v>
                </c:pt>
                <c:pt idx="14">
                  <c:v>06 II  </c:v>
                </c:pt>
                <c:pt idx="15">
                  <c:v>06 III</c:v>
                </c:pt>
                <c:pt idx="16">
                  <c:v>06 IV</c:v>
                </c:pt>
                <c:pt idx="17">
                  <c:v>07 I   </c:v>
                </c:pt>
                <c:pt idx="18">
                  <c:v>07 II  </c:v>
                </c:pt>
                <c:pt idx="19">
                  <c:v>07 III</c:v>
                </c:pt>
                <c:pt idx="20">
                  <c:v>07 IV</c:v>
                </c:pt>
                <c:pt idx="21">
                  <c:v>08 I   </c:v>
                </c:pt>
                <c:pt idx="22">
                  <c:v>08 II  </c:v>
                </c:pt>
                <c:pt idx="23">
                  <c:v>08 III</c:v>
                </c:pt>
                <c:pt idx="24">
                  <c:v>08 IV</c:v>
                </c:pt>
                <c:pt idx="25">
                  <c:v>09 I   </c:v>
                </c:pt>
                <c:pt idx="26">
                  <c:v>09 II  </c:v>
                </c:pt>
                <c:pt idx="27">
                  <c:v>09 III</c:v>
                </c:pt>
                <c:pt idx="28">
                  <c:v>09 IV</c:v>
                </c:pt>
                <c:pt idx="29">
                  <c:v>10 I   </c:v>
                </c:pt>
                <c:pt idx="30">
                  <c:v>10 II  </c:v>
                </c:pt>
                <c:pt idx="31">
                  <c:v>10 III</c:v>
                </c:pt>
                <c:pt idx="32">
                  <c:v>10 IV</c:v>
                </c:pt>
                <c:pt idx="33">
                  <c:v>11 I   </c:v>
                </c:pt>
                <c:pt idx="34">
                  <c:v>11 II  </c:v>
                </c:pt>
                <c:pt idx="35">
                  <c:v>11 III</c:v>
                </c:pt>
                <c:pt idx="36">
                  <c:v>11 IV</c:v>
                </c:pt>
                <c:pt idx="37">
                  <c:v>12 I   </c:v>
                </c:pt>
                <c:pt idx="38">
                  <c:v>12 II  </c:v>
                </c:pt>
                <c:pt idx="39">
                  <c:v>12 III</c:v>
                </c:pt>
                <c:pt idx="40">
                  <c:v>12 IV</c:v>
                </c:pt>
                <c:pt idx="41">
                  <c:v>13 I   </c:v>
                </c:pt>
                <c:pt idx="42">
                  <c:v>13 II  </c:v>
                </c:pt>
                <c:pt idx="43">
                  <c:v>13 III</c:v>
                </c:pt>
                <c:pt idx="44">
                  <c:v>13 IV</c:v>
                </c:pt>
                <c:pt idx="45">
                  <c:v>14 I   </c:v>
                </c:pt>
                <c:pt idx="46">
                  <c:v>14 II  </c:v>
                </c:pt>
                <c:pt idx="47">
                  <c:v>14 III</c:v>
                </c:pt>
                <c:pt idx="48">
                  <c:v>14 IV</c:v>
                </c:pt>
                <c:pt idx="49">
                  <c:v>15 I</c:v>
                </c:pt>
                <c:pt idx="50">
                  <c:v>15 II</c:v>
                </c:pt>
                <c:pt idx="51">
                  <c:v>15 III</c:v>
                </c:pt>
                <c:pt idx="52">
                  <c:v>15 IV</c:v>
                </c:pt>
                <c:pt idx="53">
                  <c:v>16 I</c:v>
                </c:pt>
                <c:pt idx="54">
                  <c:v>16 II</c:v>
                </c:pt>
                <c:pt idx="55">
                  <c:v>16 III</c:v>
                </c:pt>
                <c:pt idx="56">
                  <c:v>16 IV</c:v>
                </c:pt>
                <c:pt idx="57">
                  <c:v>17 I</c:v>
                </c:pt>
                <c:pt idx="58">
                  <c:v>17 II</c:v>
                </c:pt>
                <c:pt idx="59">
                  <c:v>17 III</c:v>
                </c:pt>
                <c:pt idx="60">
                  <c:v>17 IV</c:v>
                </c:pt>
              </c:strCache>
            </c:strRef>
          </c:cat>
          <c:val>
            <c:numRef>
              <c:f>Krediidikvaliteet1!$F$5:$BN$5</c:f>
              <c:numCache>
                <c:formatCode>0.0%</c:formatCode>
                <c:ptCount val="61"/>
                <c:pt idx="0">
                  <c:v>8.1726030540287715E-3</c:v>
                </c:pt>
                <c:pt idx="1">
                  <c:v>1.0508903702301182E-2</c:v>
                </c:pt>
                <c:pt idx="2">
                  <c:v>8.8836894933293983E-3</c:v>
                </c:pt>
                <c:pt idx="3">
                  <c:v>6.2102540645235446E-3</c:v>
                </c:pt>
                <c:pt idx="4">
                  <c:v>4.5427373992021026E-3</c:v>
                </c:pt>
                <c:pt idx="5">
                  <c:v>4.4601955685907675E-3</c:v>
                </c:pt>
                <c:pt idx="6">
                  <c:v>3.6688818391909213E-3</c:v>
                </c:pt>
                <c:pt idx="7">
                  <c:v>3.8736928637302893E-3</c:v>
                </c:pt>
                <c:pt idx="8">
                  <c:v>3.3567726521674486E-3</c:v>
                </c:pt>
                <c:pt idx="9">
                  <c:v>2.2925909318012301E-3</c:v>
                </c:pt>
                <c:pt idx="10">
                  <c:v>2.2648843733455606E-3</c:v>
                </c:pt>
                <c:pt idx="11">
                  <c:v>2.2276198107177517E-3</c:v>
                </c:pt>
                <c:pt idx="12">
                  <c:v>1.8429512031061484E-3</c:v>
                </c:pt>
                <c:pt idx="13">
                  <c:v>1.76882913571268E-3</c:v>
                </c:pt>
                <c:pt idx="14">
                  <c:v>1.6687686180592001E-3</c:v>
                </c:pt>
                <c:pt idx="15">
                  <c:v>2.0720521522840582E-3</c:v>
                </c:pt>
                <c:pt idx="16">
                  <c:v>1.9825132194861025E-3</c:v>
                </c:pt>
                <c:pt idx="17">
                  <c:v>2.3030466468084818E-3</c:v>
                </c:pt>
                <c:pt idx="18">
                  <c:v>2.1895540487647208E-3</c:v>
                </c:pt>
                <c:pt idx="19">
                  <c:v>3.3906524835224119E-3</c:v>
                </c:pt>
                <c:pt idx="20">
                  <c:v>4.7039930629939096E-3</c:v>
                </c:pt>
                <c:pt idx="21">
                  <c:v>6.6762999391537358E-3</c:v>
                </c:pt>
                <c:pt idx="22">
                  <c:v>1.1439054423724128E-2</c:v>
                </c:pt>
                <c:pt idx="23">
                  <c:v>1.6916211850608699E-2</c:v>
                </c:pt>
                <c:pt idx="24">
                  <c:v>2.0966849402361619E-2</c:v>
                </c:pt>
                <c:pt idx="25">
                  <c:v>3.3824945970467736E-2</c:v>
                </c:pt>
                <c:pt idx="26">
                  <c:v>4.7243085882124933E-2</c:v>
                </c:pt>
                <c:pt idx="27">
                  <c:v>5.6302020346392291E-2</c:v>
                </c:pt>
                <c:pt idx="28">
                  <c:v>5.4932698986426227E-2</c:v>
                </c:pt>
                <c:pt idx="29">
                  <c:v>5.9271688508687942E-2</c:v>
                </c:pt>
                <c:pt idx="30">
                  <c:v>6.3773752428861227E-2</c:v>
                </c:pt>
                <c:pt idx="31">
                  <c:v>6.5509066331875296E-2</c:v>
                </c:pt>
                <c:pt idx="32">
                  <c:v>6.0653588215056523E-2</c:v>
                </c:pt>
                <c:pt idx="33">
                  <c:v>6.0073275305749581E-2</c:v>
                </c:pt>
                <c:pt idx="34">
                  <c:v>5.9576735015524442E-2</c:v>
                </c:pt>
                <c:pt idx="35">
                  <c:v>5.9517734907946769E-2</c:v>
                </c:pt>
                <c:pt idx="36">
                  <c:v>4.5775224680857235E-2</c:v>
                </c:pt>
                <c:pt idx="37">
                  <c:v>4.4217573850460205E-2</c:v>
                </c:pt>
                <c:pt idx="38">
                  <c:v>4.0905218831803404E-2</c:v>
                </c:pt>
                <c:pt idx="39">
                  <c:v>3.8061412442570379E-2</c:v>
                </c:pt>
                <c:pt idx="40">
                  <c:v>3.135042055888991E-2</c:v>
                </c:pt>
                <c:pt idx="41">
                  <c:v>3.07251002892227E-2</c:v>
                </c:pt>
                <c:pt idx="42">
                  <c:v>2.6704735987997101E-2</c:v>
                </c:pt>
                <c:pt idx="43">
                  <c:v>2.40439481011426E-2</c:v>
                </c:pt>
                <c:pt idx="44">
                  <c:v>2.0030482956570499E-2</c:v>
                </c:pt>
                <c:pt idx="45">
                  <c:v>2.0156055175431301E-2</c:v>
                </c:pt>
                <c:pt idx="46">
                  <c:v>1.8604519382348601E-2</c:v>
                </c:pt>
                <c:pt idx="47">
                  <c:v>1.9444592538423199E-2</c:v>
                </c:pt>
                <c:pt idx="48">
                  <c:v>1.8409875342354099E-2</c:v>
                </c:pt>
                <c:pt idx="49">
                  <c:v>1.59206775060255E-2</c:v>
                </c:pt>
                <c:pt idx="50" formatCode="0.00%">
                  <c:v>1.6716481412018799E-2</c:v>
                </c:pt>
                <c:pt idx="51" formatCode="0.00%">
                  <c:v>1.67E-2</c:v>
                </c:pt>
                <c:pt idx="52" formatCode="0.00%">
                  <c:v>1.32E-2</c:v>
                </c:pt>
                <c:pt idx="53" formatCode="0.00%">
                  <c:v>1.38E-2</c:v>
                </c:pt>
                <c:pt idx="54" formatCode="0.00%">
                  <c:v>1.2999999999999999E-2</c:v>
                </c:pt>
                <c:pt idx="55" formatCode="0.00%">
                  <c:v>1.28119680260168E-2</c:v>
                </c:pt>
                <c:pt idx="56" formatCode="0.00%">
                  <c:v>1.0999999999999999E-2</c:v>
                </c:pt>
                <c:pt idx="57" formatCode="0.00%">
                  <c:v>1.0200000000000001E-2</c:v>
                </c:pt>
                <c:pt idx="58" formatCode="0.00%">
                  <c:v>8.8999999999999999E-3</c:v>
                </c:pt>
                <c:pt idx="59" formatCode="0.00%">
                  <c:v>9.9000000000000008E-3</c:v>
                </c:pt>
                <c:pt idx="60" formatCode="0.00%">
                  <c:v>8.2000000000000007E-3</c:v>
                </c:pt>
              </c:numCache>
            </c:numRef>
          </c:val>
          <c:smooth val="0"/>
          <c:extLst>
            <c:ext xmlns:c16="http://schemas.microsoft.com/office/drawing/2014/chart" uri="{C3380CC4-5D6E-409C-BE32-E72D297353CC}">
              <c16:uniqueId val="{00000000-CC04-4273-8420-6469B73A79D8}"/>
            </c:ext>
          </c:extLst>
        </c:ser>
        <c:ser>
          <c:idx val="4"/>
          <c:order val="4"/>
          <c:tx>
            <c:strRef>
              <c:f>Krediidikvaliteet1!$A$22</c:f>
              <c:strCache>
                <c:ptCount val="1"/>
                <c:pt idx="0">
                  <c:v>Allahindlus</c:v>
                </c:pt>
              </c:strCache>
            </c:strRef>
          </c:tx>
          <c:spPr>
            <a:ln>
              <a:solidFill>
                <a:schemeClr val="accent2"/>
              </a:solidFill>
            </a:ln>
          </c:spPr>
          <c:marker>
            <c:symbol val="none"/>
          </c:marker>
          <c:cat>
            <c:strRef>
              <c:f>Krediidikvaliteet1!$F$4:$BN$4</c:f>
              <c:strCache>
                <c:ptCount val="61"/>
                <c:pt idx="0">
                  <c:v>02 IV</c:v>
                </c:pt>
                <c:pt idx="1">
                  <c:v>03 I   </c:v>
                </c:pt>
                <c:pt idx="2">
                  <c:v>03 II  </c:v>
                </c:pt>
                <c:pt idx="3">
                  <c:v>03 III</c:v>
                </c:pt>
                <c:pt idx="4">
                  <c:v>03 IV</c:v>
                </c:pt>
                <c:pt idx="5">
                  <c:v>04 I   </c:v>
                </c:pt>
                <c:pt idx="6">
                  <c:v>04 II  </c:v>
                </c:pt>
                <c:pt idx="7">
                  <c:v>04 III</c:v>
                </c:pt>
                <c:pt idx="8">
                  <c:v>04 IV</c:v>
                </c:pt>
                <c:pt idx="9">
                  <c:v>05 I   </c:v>
                </c:pt>
                <c:pt idx="10">
                  <c:v>05 II  </c:v>
                </c:pt>
                <c:pt idx="11">
                  <c:v>05 III</c:v>
                </c:pt>
                <c:pt idx="12">
                  <c:v>05 IV</c:v>
                </c:pt>
                <c:pt idx="13">
                  <c:v>06 I   </c:v>
                </c:pt>
                <c:pt idx="14">
                  <c:v>06 II  </c:v>
                </c:pt>
                <c:pt idx="15">
                  <c:v>06 III</c:v>
                </c:pt>
                <c:pt idx="16">
                  <c:v>06 IV</c:v>
                </c:pt>
                <c:pt idx="17">
                  <c:v>07 I   </c:v>
                </c:pt>
                <c:pt idx="18">
                  <c:v>07 II  </c:v>
                </c:pt>
                <c:pt idx="19">
                  <c:v>07 III</c:v>
                </c:pt>
                <c:pt idx="20">
                  <c:v>07 IV</c:v>
                </c:pt>
                <c:pt idx="21">
                  <c:v>08 I   </c:v>
                </c:pt>
                <c:pt idx="22">
                  <c:v>08 II  </c:v>
                </c:pt>
                <c:pt idx="23">
                  <c:v>08 III</c:v>
                </c:pt>
                <c:pt idx="24">
                  <c:v>08 IV</c:v>
                </c:pt>
                <c:pt idx="25">
                  <c:v>09 I   </c:v>
                </c:pt>
                <c:pt idx="26">
                  <c:v>09 II  </c:v>
                </c:pt>
                <c:pt idx="27">
                  <c:v>09 III</c:v>
                </c:pt>
                <c:pt idx="28">
                  <c:v>09 IV</c:v>
                </c:pt>
                <c:pt idx="29">
                  <c:v>10 I   </c:v>
                </c:pt>
                <c:pt idx="30">
                  <c:v>10 II  </c:v>
                </c:pt>
                <c:pt idx="31">
                  <c:v>10 III</c:v>
                </c:pt>
                <c:pt idx="32">
                  <c:v>10 IV</c:v>
                </c:pt>
                <c:pt idx="33">
                  <c:v>11 I   </c:v>
                </c:pt>
                <c:pt idx="34">
                  <c:v>11 II  </c:v>
                </c:pt>
                <c:pt idx="35">
                  <c:v>11 III</c:v>
                </c:pt>
                <c:pt idx="36">
                  <c:v>11 IV</c:v>
                </c:pt>
                <c:pt idx="37">
                  <c:v>12 I   </c:v>
                </c:pt>
                <c:pt idx="38">
                  <c:v>12 II  </c:v>
                </c:pt>
                <c:pt idx="39">
                  <c:v>12 III</c:v>
                </c:pt>
                <c:pt idx="40">
                  <c:v>12 IV</c:v>
                </c:pt>
                <c:pt idx="41">
                  <c:v>13 I   </c:v>
                </c:pt>
                <c:pt idx="42">
                  <c:v>13 II  </c:v>
                </c:pt>
                <c:pt idx="43">
                  <c:v>13 III</c:v>
                </c:pt>
                <c:pt idx="44">
                  <c:v>13 IV</c:v>
                </c:pt>
                <c:pt idx="45">
                  <c:v>14 I   </c:v>
                </c:pt>
                <c:pt idx="46">
                  <c:v>14 II  </c:v>
                </c:pt>
                <c:pt idx="47">
                  <c:v>14 III</c:v>
                </c:pt>
                <c:pt idx="48">
                  <c:v>14 IV</c:v>
                </c:pt>
                <c:pt idx="49">
                  <c:v>15 I</c:v>
                </c:pt>
                <c:pt idx="50">
                  <c:v>15 II</c:v>
                </c:pt>
                <c:pt idx="51">
                  <c:v>15 III</c:v>
                </c:pt>
                <c:pt idx="52">
                  <c:v>15 IV</c:v>
                </c:pt>
                <c:pt idx="53">
                  <c:v>16 I</c:v>
                </c:pt>
                <c:pt idx="54">
                  <c:v>16 II</c:v>
                </c:pt>
                <c:pt idx="55">
                  <c:v>16 III</c:v>
                </c:pt>
                <c:pt idx="56">
                  <c:v>16 IV</c:v>
                </c:pt>
                <c:pt idx="57">
                  <c:v>17 I</c:v>
                </c:pt>
                <c:pt idx="58">
                  <c:v>17 II</c:v>
                </c:pt>
                <c:pt idx="59">
                  <c:v>17 III</c:v>
                </c:pt>
                <c:pt idx="60">
                  <c:v>17 IV</c:v>
                </c:pt>
              </c:strCache>
            </c:strRef>
          </c:cat>
          <c:val>
            <c:numRef>
              <c:f>Krediidikvaliteet1!$F$9:$BN$9</c:f>
              <c:numCache>
                <c:formatCode>0.0%</c:formatCode>
                <c:ptCount val="61"/>
                <c:pt idx="0">
                  <c:v>1.044928509928281E-2</c:v>
                </c:pt>
                <c:pt idx="1">
                  <c:v>1.0606028095261556E-2</c:v>
                </c:pt>
                <c:pt idx="2">
                  <c:v>9.8399877437439602E-3</c:v>
                </c:pt>
                <c:pt idx="3">
                  <c:v>8.4435266517853928E-3</c:v>
                </c:pt>
                <c:pt idx="4">
                  <c:v>7.9838456800575153E-3</c:v>
                </c:pt>
                <c:pt idx="5">
                  <c:v>8.1128109204758551E-3</c:v>
                </c:pt>
                <c:pt idx="6">
                  <c:v>7.5889962848495265E-3</c:v>
                </c:pt>
                <c:pt idx="7">
                  <c:v>7.9254947827893749E-3</c:v>
                </c:pt>
                <c:pt idx="8">
                  <c:v>7.1997528283135222E-3</c:v>
                </c:pt>
                <c:pt idx="9">
                  <c:v>5.4396310686755621E-3</c:v>
                </c:pt>
                <c:pt idx="10">
                  <c:v>5.3512303808591986E-3</c:v>
                </c:pt>
                <c:pt idx="11">
                  <c:v>5.0625882955086399E-3</c:v>
                </c:pt>
                <c:pt idx="12">
                  <c:v>4.338417143988047E-3</c:v>
                </c:pt>
                <c:pt idx="13">
                  <c:v>4.1360018059652245E-3</c:v>
                </c:pt>
                <c:pt idx="14">
                  <c:v>4.1100167934315559E-3</c:v>
                </c:pt>
                <c:pt idx="15">
                  <c:v>4.304299559511734E-3</c:v>
                </c:pt>
                <c:pt idx="16">
                  <c:v>4.2348080769469276E-3</c:v>
                </c:pt>
                <c:pt idx="17">
                  <c:v>4.2456164763751162E-3</c:v>
                </c:pt>
                <c:pt idx="18">
                  <c:v>3.8645000055960183E-3</c:v>
                </c:pt>
                <c:pt idx="19">
                  <c:v>4.0784751709164414E-3</c:v>
                </c:pt>
                <c:pt idx="20">
                  <c:v>5.2195982838771984E-3</c:v>
                </c:pt>
                <c:pt idx="21">
                  <c:v>6.4269677583461658E-3</c:v>
                </c:pt>
                <c:pt idx="22">
                  <c:v>8.2200056655454112E-3</c:v>
                </c:pt>
                <c:pt idx="23">
                  <c:v>9.0192045878400243E-3</c:v>
                </c:pt>
                <c:pt idx="24">
                  <c:v>1.1919048153220296E-2</c:v>
                </c:pt>
                <c:pt idx="25">
                  <c:v>1.7909977083730197E-2</c:v>
                </c:pt>
                <c:pt idx="26">
                  <c:v>2.711449750802317E-2</c:v>
                </c:pt>
                <c:pt idx="27">
                  <c:v>3.7303747530371544E-2</c:v>
                </c:pt>
                <c:pt idx="28">
                  <c:v>4.5718947587880261E-2</c:v>
                </c:pt>
                <c:pt idx="29">
                  <c:v>4.9714497625654608E-2</c:v>
                </c:pt>
                <c:pt idx="30">
                  <c:v>5.3362738772647467E-2</c:v>
                </c:pt>
                <c:pt idx="31">
                  <c:v>5.3921135144029013E-2</c:v>
                </c:pt>
                <c:pt idx="32">
                  <c:v>5.1651004827500881E-2</c:v>
                </c:pt>
                <c:pt idx="33">
                  <c:v>5.0373822899321616E-2</c:v>
                </c:pt>
                <c:pt idx="34">
                  <c:v>4.7537049408167151E-2</c:v>
                </c:pt>
                <c:pt idx="35">
                  <c:v>4.6272559967461449E-2</c:v>
                </c:pt>
                <c:pt idx="36">
                  <c:v>3.9397340439277194E-2</c:v>
                </c:pt>
                <c:pt idx="37">
                  <c:v>3.707022313073384E-2</c:v>
                </c:pt>
                <c:pt idx="38">
                  <c:v>3.328312926381545E-2</c:v>
                </c:pt>
                <c:pt idx="39">
                  <c:v>3.1559733649522241E-2</c:v>
                </c:pt>
                <c:pt idx="40">
                  <c:v>2.5303651460910497E-2</c:v>
                </c:pt>
                <c:pt idx="41">
                  <c:v>2.4150404741061601E-2</c:v>
                </c:pt>
                <c:pt idx="42">
                  <c:v>2.10690622634882E-2</c:v>
                </c:pt>
                <c:pt idx="43">
                  <c:v>1.83130392007133E-2</c:v>
                </c:pt>
                <c:pt idx="44">
                  <c:v>1.6427236709214602E-2</c:v>
                </c:pt>
                <c:pt idx="45">
                  <c:v>1.6015002766931501E-2</c:v>
                </c:pt>
                <c:pt idx="46">
                  <c:v>1.5741838446714399E-2</c:v>
                </c:pt>
                <c:pt idx="47">
                  <c:v>1.5390359883856199E-2</c:v>
                </c:pt>
                <c:pt idx="48">
                  <c:v>1.3850931306375601E-2</c:v>
                </c:pt>
                <c:pt idx="49">
                  <c:v>1.3267762939389799E-2</c:v>
                </c:pt>
                <c:pt idx="50" formatCode="0.00%">
                  <c:v>1.26665268759776E-2</c:v>
                </c:pt>
                <c:pt idx="51" formatCode="0.00%">
                  <c:v>1.23E-2</c:v>
                </c:pt>
                <c:pt idx="52" formatCode="0.00%">
                  <c:v>1.15E-2</c:v>
                </c:pt>
                <c:pt idx="53" formatCode="0.00%">
                  <c:v>1.1299999999999999E-2</c:v>
                </c:pt>
                <c:pt idx="54" formatCode="0.00%">
                  <c:v>1.18E-2</c:v>
                </c:pt>
                <c:pt idx="55" formatCode="0.00%">
                  <c:v>1.17E-2</c:v>
                </c:pt>
                <c:pt idx="56" formatCode="0.00%">
                  <c:v>1.0800000000000001E-2</c:v>
                </c:pt>
                <c:pt idx="57" formatCode="0.00%">
                  <c:v>1.06E-2</c:v>
                </c:pt>
                <c:pt idx="58" formatCode="0.00%">
                  <c:v>9.7999999999999997E-3</c:v>
                </c:pt>
                <c:pt idx="59" formatCode="0.00%">
                  <c:v>0.01</c:v>
                </c:pt>
                <c:pt idx="60" formatCode="0.00%">
                  <c:v>8.0999999999999996E-3</c:v>
                </c:pt>
              </c:numCache>
            </c:numRef>
          </c:val>
          <c:smooth val="0"/>
          <c:extLst>
            <c:ext xmlns:c16="http://schemas.microsoft.com/office/drawing/2014/chart" uri="{C3380CC4-5D6E-409C-BE32-E72D297353CC}">
              <c16:uniqueId val="{00000001-CC04-4273-8420-6469B73A79D8}"/>
            </c:ext>
          </c:extLst>
        </c:ser>
        <c:dLbls>
          <c:showLegendKey val="0"/>
          <c:showVal val="0"/>
          <c:showCatName val="0"/>
          <c:showSerName val="0"/>
          <c:showPercent val="0"/>
          <c:showBubbleSize val="0"/>
        </c:dLbls>
        <c:smooth val="0"/>
        <c:axId val="371139256"/>
        <c:axId val="371139648"/>
        <c:extLst>
          <c:ext xmlns:c15="http://schemas.microsoft.com/office/drawing/2012/chart" uri="{02D57815-91ED-43cb-92C2-25804820EDAC}">
            <c15:filteredLineSeries>
              <c15:ser>
                <c:idx val="1"/>
                <c:order val="1"/>
                <c:tx>
                  <c:strRef>
                    <c:extLst>
                      <c:ext uri="{02D57815-91ED-43cb-92C2-25804820EDAC}">
                        <c15:formulaRef>
                          <c15:sqref>Krediidikvaliteet1!$A$19</c15:sqref>
                        </c15:formulaRef>
                      </c:ext>
                    </c:extLst>
                    <c:strCache>
                      <c:ptCount val="1"/>
                      <c:pt idx="0">
                        <c:v>60-90p </c:v>
                      </c:pt>
                    </c:strCache>
                  </c:strRef>
                </c:tx>
                <c:spPr>
                  <a:ln>
                    <a:solidFill>
                      <a:srgbClr val="979797"/>
                    </a:solidFill>
                  </a:ln>
                </c:spPr>
                <c:marker>
                  <c:symbol val="none"/>
                </c:marker>
                <c:cat>
                  <c:strRef>
                    <c:extLst>
                      <c:ext uri="{02D57815-91ED-43cb-92C2-25804820EDAC}">
                        <c15:formulaRef>
                          <c15:sqref>Krediidikvaliteet1!$F$4:$BN$4</c15:sqref>
                        </c15:formulaRef>
                      </c:ext>
                    </c:extLst>
                    <c:strCache>
                      <c:ptCount val="61"/>
                      <c:pt idx="0">
                        <c:v>02 IV</c:v>
                      </c:pt>
                      <c:pt idx="1">
                        <c:v>03 I   </c:v>
                      </c:pt>
                      <c:pt idx="2">
                        <c:v>03 II  </c:v>
                      </c:pt>
                      <c:pt idx="3">
                        <c:v>03 III</c:v>
                      </c:pt>
                      <c:pt idx="4">
                        <c:v>03 IV</c:v>
                      </c:pt>
                      <c:pt idx="5">
                        <c:v>04 I   </c:v>
                      </c:pt>
                      <c:pt idx="6">
                        <c:v>04 II  </c:v>
                      </c:pt>
                      <c:pt idx="7">
                        <c:v>04 III</c:v>
                      </c:pt>
                      <c:pt idx="8">
                        <c:v>04 IV</c:v>
                      </c:pt>
                      <c:pt idx="9">
                        <c:v>05 I   </c:v>
                      </c:pt>
                      <c:pt idx="10">
                        <c:v>05 II  </c:v>
                      </c:pt>
                      <c:pt idx="11">
                        <c:v>05 III</c:v>
                      </c:pt>
                      <c:pt idx="12">
                        <c:v>05 IV</c:v>
                      </c:pt>
                      <c:pt idx="13">
                        <c:v>06 I   </c:v>
                      </c:pt>
                      <c:pt idx="14">
                        <c:v>06 II  </c:v>
                      </c:pt>
                      <c:pt idx="15">
                        <c:v>06 III</c:v>
                      </c:pt>
                      <c:pt idx="16">
                        <c:v>06 IV</c:v>
                      </c:pt>
                      <c:pt idx="17">
                        <c:v>07 I   </c:v>
                      </c:pt>
                      <c:pt idx="18">
                        <c:v>07 II  </c:v>
                      </c:pt>
                      <c:pt idx="19">
                        <c:v>07 III</c:v>
                      </c:pt>
                      <c:pt idx="20">
                        <c:v>07 IV</c:v>
                      </c:pt>
                      <c:pt idx="21">
                        <c:v>08 I   </c:v>
                      </c:pt>
                      <c:pt idx="22">
                        <c:v>08 II  </c:v>
                      </c:pt>
                      <c:pt idx="23">
                        <c:v>08 III</c:v>
                      </c:pt>
                      <c:pt idx="24">
                        <c:v>08 IV</c:v>
                      </c:pt>
                      <c:pt idx="25">
                        <c:v>09 I   </c:v>
                      </c:pt>
                      <c:pt idx="26">
                        <c:v>09 II  </c:v>
                      </c:pt>
                      <c:pt idx="27">
                        <c:v>09 III</c:v>
                      </c:pt>
                      <c:pt idx="28">
                        <c:v>09 IV</c:v>
                      </c:pt>
                      <c:pt idx="29">
                        <c:v>10 I   </c:v>
                      </c:pt>
                      <c:pt idx="30">
                        <c:v>10 II  </c:v>
                      </c:pt>
                      <c:pt idx="31">
                        <c:v>10 III</c:v>
                      </c:pt>
                      <c:pt idx="32">
                        <c:v>10 IV</c:v>
                      </c:pt>
                      <c:pt idx="33">
                        <c:v>11 I   </c:v>
                      </c:pt>
                      <c:pt idx="34">
                        <c:v>11 II  </c:v>
                      </c:pt>
                      <c:pt idx="35">
                        <c:v>11 III</c:v>
                      </c:pt>
                      <c:pt idx="36">
                        <c:v>11 IV</c:v>
                      </c:pt>
                      <c:pt idx="37">
                        <c:v>12 I   </c:v>
                      </c:pt>
                      <c:pt idx="38">
                        <c:v>12 II  </c:v>
                      </c:pt>
                      <c:pt idx="39">
                        <c:v>12 III</c:v>
                      </c:pt>
                      <c:pt idx="40">
                        <c:v>12 IV</c:v>
                      </c:pt>
                      <c:pt idx="41">
                        <c:v>13 I   </c:v>
                      </c:pt>
                      <c:pt idx="42">
                        <c:v>13 II  </c:v>
                      </c:pt>
                      <c:pt idx="43">
                        <c:v>13 III</c:v>
                      </c:pt>
                      <c:pt idx="44">
                        <c:v>13 IV</c:v>
                      </c:pt>
                      <c:pt idx="45">
                        <c:v>14 I   </c:v>
                      </c:pt>
                      <c:pt idx="46">
                        <c:v>14 II  </c:v>
                      </c:pt>
                      <c:pt idx="47">
                        <c:v>14 III</c:v>
                      </c:pt>
                      <c:pt idx="48">
                        <c:v>14 IV</c:v>
                      </c:pt>
                      <c:pt idx="49">
                        <c:v>15 I</c:v>
                      </c:pt>
                      <c:pt idx="50">
                        <c:v>15 II</c:v>
                      </c:pt>
                      <c:pt idx="51">
                        <c:v>15 III</c:v>
                      </c:pt>
                      <c:pt idx="52">
                        <c:v>15 IV</c:v>
                      </c:pt>
                      <c:pt idx="53">
                        <c:v>16 I</c:v>
                      </c:pt>
                      <c:pt idx="54">
                        <c:v>16 II</c:v>
                      </c:pt>
                      <c:pt idx="55">
                        <c:v>16 III</c:v>
                      </c:pt>
                      <c:pt idx="56">
                        <c:v>16 IV</c:v>
                      </c:pt>
                      <c:pt idx="57">
                        <c:v>17 I</c:v>
                      </c:pt>
                      <c:pt idx="58">
                        <c:v>17 II</c:v>
                      </c:pt>
                      <c:pt idx="59">
                        <c:v>17 III</c:v>
                      </c:pt>
                      <c:pt idx="60">
                        <c:v>17 IV</c:v>
                      </c:pt>
                    </c:strCache>
                  </c:strRef>
                </c:cat>
                <c:val>
                  <c:numRef>
                    <c:extLst>
                      <c:ext uri="{02D57815-91ED-43cb-92C2-25804820EDAC}">
                        <c15:formulaRef>
                          <c15:sqref>Krediidikvaliteet1!$E$6:$BL$6</c15:sqref>
                        </c15:formulaRef>
                      </c:ext>
                    </c:extLst>
                    <c:numCache>
                      <c:formatCode>0.0%</c:formatCode>
                      <c:ptCount val="60"/>
                      <c:pt idx="0">
                        <c:v>2.1467909839379966E-3</c:v>
                      </c:pt>
                      <c:pt idx="1">
                        <c:v>3.2907527818031709E-3</c:v>
                      </c:pt>
                      <c:pt idx="2">
                        <c:v>4.0050252986348405E-3</c:v>
                      </c:pt>
                      <c:pt idx="3">
                        <c:v>1.4499340419696462E-3</c:v>
                      </c:pt>
                      <c:pt idx="4">
                        <c:v>1.239260061872613E-3</c:v>
                      </c:pt>
                      <c:pt idx="5">
                        <c:v>1.2186474933085396E-3</c:v>
                      </c:pt>
                      <c:pt idx="6">
                        <c:v>9.7020387920358959E-4</c:v>
                      </c:pt>
                      <c:pt idx="7">
                        <c:v>9.944428950133615E-4</c:v>
                      </c:pt>
                      <c:pt idx="8">
                        <c:v>8.2138911832065531E-4</c:v>
                      </c:pt>
                      <c:pt idx="9">
                        <c:v>8.4039667220560908E-4</c:v>
                      </c:pt>
                      <c:pt idx="10">
                        <c:v>6.0987709394711397E-4</c:v>
                      </c:pt>
                      <c:pt idx="11">
                        <c:v>8.474361856893308E-4</c:v>
                      </c:pt>
                      <c:pt idx="12">
                        <c:v>1.736683508578346E-3</c:v>
                      </c:pt>
                      <c:pt idx="13">
                        <c:v>6.3177620524268116E-4</c:v>
                      </c:pt>
                      <c:pt idx="14">
                        <c:v>6.4681443003457306E-4</c:v>
                      </c:pt>
                      <c:pt idx="15">
                        <c:v>1.702696783990964E-3</c:v>
                      </c:pt>
                      <c:pt idx="16">
                        <c:v>9.693677864214791E-4</c:v>
                      </c:pt>
                      <c:pt idx="17">
                        <c:v>7.9253536228464686E-4</c:v>
                      </c:pt>
                      <c:pt idx="18">
                        <c:v>1.0167094601606071E-3</c:v>
                      </c:pt>
                      <c:pt idx="19">
                        <c:v>9.2141887728467591E-4</c:v>
                      </c:pt>
                      <c:pt idx="20">
                        <c:v>1.2689510601436632E-3</c:v>
                      </c:pt>
                      <c:pt idx="21">
                        <c:v>2.0720074951920582E-3</c:v>
                      </c:pt>
                      <c:pt idx="22">
                        <c:v>2.4997691965596529E-3</c:v>
                      </c:pt>
                      <c:pt idx="23">
                        <c:v>4.9871574877680749E-3</c:v>
                      </c:pt>
                      <c:pt idx="24">
                        <c:v>3.8208418541387625E-3</c:v>
                      </c:pt>
                      <c:pt idx="25">
                        <c:v>6.2110930757178747E-3</c:v>
                      </c:pt>
                      <c:pt idx="26">
                        <c:v>9.0299861017006811E-3</c:v>
                      </c:pt>
                      <c:pt idx="27">
                        <c:v>8.8549502727167939E-3</c:v>
                      </c:pt>
                      <c:pt idx="28">
                        <c:v>5.8310052354755091E-3</c:v>
                      </c:pt>
                      <c:pt idx="29">
                        <c:v>7.4691188943439932E-3</c:v>
                      </c:pt>
                      <c:pt idx="30">
                        <c:v>5.4795456477208428E-3</c:v>
                      </c:pt>
                      <c:pt idx="31">
                        <c:v>6.0116902066437473E-3</c:v>
                      </c:pt>
                      <c:pt idx="32">
                        <c:v>3.5094893810733519E-3</c:v>
                      </c:pt>
                      <c:pt idx="33">
                        <c:v>5.7320476478501543E-3</c:v>
                      </c:pt>
                      <c:pt idx="34">
                        <c:v>3.9504636649067768E-3</c:v>
                      </c:pt>
                      <c:pt idx="35">
                        <c:v>3.6268023882626041E-3</c:v>
                      </c:pt>
                      <c:pt idx="36">
                        <c:v>3.1906377897227304E-3</c:v>
                      </c:pt>
                      <c:pt idx="37">
                        <c:v>3.0534709922723532E-3</c:v>
                      </c:pt>
                      <c:pt idx="38">
                        <c:v>4.4228034387769118E-3</c:v>
                      </c:pt>
                      <c:pt idx="39">
                        <c:v>3.2868404826680792E-3</c:v>
                      </c:pt>
                      <c:pt idx="40">
                        <c:v>3.6213250695302703E-3</c:v>
                      </c:pt>
                      <c:pt idx="41">
                        <c:v>2.7755630739909188E-3</c:v>
                      </c:pt>
                      <c:pt idx="42">
                        <c:v>2.1264188176071601E-3</c:v>
                      </c:pt>
                      <c:pt idx="43">
                        <c:v>3.0613478112579999E-3</c:v>
                      </c:pt>
                      <c:pt idx="44">
                        <c:v>2.1206124749403102E-3</c:v>
                      </c:pt>
                      <c:pt idx="45">
                        <c:v>2.1642280377528402E-3</c:v>
                      </c:pt>
                      <c:pt idx="46">
                        <c:v>2.2929016526004901E-3</c:v>
                      </c:pt>
                      <c:pt idx="47">
                        <c:v>2.0551729851204801E-3</c:v>
                      </c:pt>
                      <c:pt idx="48">
                        <c:v>2.9105864514079398E-3</c:v>
                      </c:pt>
                      <c:pt idx="49">
                        <c:v>1.4226734857858199E-3</c:v>
                      </c:pt>
                      <c:pt idx="50">
                        <c:v>1.85826443541412E-3</c:v>
                      </c:pt>
                      <c:pt idx="51" formatCode="0.00%">
                        <c:v>2.0021942026285798E-3</c:v>
                      </c:pt>
                      <c:pt idx="52" formatCode="0.00%">
                        <c:v>1.1999999999999999E-3</c:v>
                      </c:pt>
                      <c:pt idx="53" formatCode="0.00%">
                        <c:v>8.9999999999999998E-4</c:v>
                      </c:pt>
                      <c:pt idx="54" formatCode="0.00%">
                        <c:v>1.4E-3</c:v>
                      </c:pt>
                      <c:pt idx="55" formatCode="0.00%">
                        <c:v>1.2999999999999999E-3</c:v>
                      </c:pt>
                      <c:pt idx="56" formatCode="0.00%">
                        <c:v>1.1145241026665701E-3</c:v>
                      </c:pt>
                      <c:pt idx="57" formatCode="0.00%">
                        <c:v>1.2999999999999999E-3</c:v>
                      </c:pt>
                      <c:pt idx="58" formatCode="0.00%">
                        <c:v>1.2999999999999999E-3</c:v>
                      </c:pt>
                      <c:pt idx="59" formatCode="0.00%">
                        <c:v>1.4E-3</c:v>
                      </c:pt>
                    </c:numCache>
                  </c:numRef>
                </c:val>
                <c:smooth val="0"/>
                <c:extLst>
                  <c:ext xmlns:c16="http://schemas.microsoft.com/office/drawing/2014/chart" uri="{C3380CC4-5D6E-409C-BE32-E72D297353CC}">
                    <c16:uniqueId val="{00000002-CC04-4273-8420-6469B73A79D8}"/>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Krediidikvaliteet1!$A$20</c15:sqref>
                        </c15:formulaRef>
                      </c:ext>
                    </c:extLst>
                    <c:strCache>
                      <c:ptCount val="1"/>
                      <c:pt idx="0">
                        <c:v>30-60p</c:v>
                      </c:pt>
                    </c:strCache>
                  </c:strRef>
                </c:tx>
                <c:spPr>
                  <a:ln>
                    <a:solidFill>
                      <a:srgbClr val="979797"/>
                    </a:solidFill>
                  </a:ln>
                </c:spPr>
                <c:marker>
                  <c:symbol val="none"/>
                </c:marker>
                <c:cat>
                  <c:strRef>
                    <c:extLst xmlns:c15="http://schemas.microsoft.com/office/drawing/2012/chart">
                      <c:ext xmlns:c15="http://schemas.microsoft.com/office/drawing/2012/chart" uri="{02D57815-91ED-43cb-92C2-25804820EDAC}">
                        <c15:formulaRef>
                          <c15:sqref>Krediidikvaliteet1!$F$4:$BN$4</c15:sqref>
                        </c15:formulaRef>
                      </c:ext>
                    </c:extLst>
                    <c:strCache>
                      <c:ptCount val="61"/>
                      <c:pt idx="0">
                        <c:v>02 IV</c:v>
                      </c:pt>
                      <c:pt idx="1">
                        <c:v>03 I   </c:v>
                      </c:pt>
                      <c:pt idx="2">
                        <c:v>03 II  </c:v>
                      </c:pt>
                      <c:pt idx="3">
                        <c:v>03 III</c:v>
                      </c:pt>
                      <c:pt idx="4">
                        <c:v>03 IV</c:v>
                      </c:pt>
                      <c:pt idx="5">
                        <c:v>04 I   </c:v>
                      </c:pt>
                      <c:pt idx="6">
                        <c:v>04 II  </c:v>
                      </c:pt>
                      <c:pt idx="7">
                        <c:v>04 III</c:v>
                      </c:pt>
                      <c:pt idx="8">
                        <c:v>04 IV</c:v>
                      </c:pt>
                      <c:pt idx="9">
                        <c:v>05 I   </c:v>
                      </c:pt>
                      <c:pt idx="10">
                        <c:v>05 II  </c:v>
                      </c:pt>
                      <c:pt idx="11">
                        <c:v>05 III</c:v>
                      </c:pt>
                      <c:pt idx="12">
                        <c:v>05 IV</c:v>
                      </c:pt>
                      <c:pt idx="13">
                        <c:v>06 I   </c:v>
                      </c:pt>
                      <c:pt idx="14">
                        <c:v>06 II  </c:v>
                      </c:pt>
                      <c:pt idx="15">
                        <c:v>06 III</c:v>
                      </c:pt>
                      <c:pt idx="16">
                        <c:v>06 IV</c:v>
                      </c:pt>
                      <c:pt idx="17">
                        <c:v>07 I   </c:v>
                      </c:pt>
                      <c:pt idx="18">
                        <c:v>07 II  </c:v>
                      </c:pt>
                      <c:pt idx="19">
                        <c:v>07 III</c:v>
                      </c:pt>
                      <c:pt idx="20">
                        <c:v>07 IV</c:v>
                      </c:pt>
                      <c:pt idx="21">
                        <c:v>08 I   </c:v>
                      </c:pt>
                      <c:pt idx="22">
                        <c:v>08 II  </c:v>
                      </c:pt>
                      <c:pt idx="23">
                        <c:v>08 III</c:v>
                      </c:pt>
                      <c:pt idx="24">
                        <c:v>08 IV</c:v>
                      </c:pt>
                      <c:pt idx="25">
                        <c:v>09 I   </c:v>
                      </c:pt>
                      <c:pt idx="26">
                        <c:v>09 II  </c:v>
                      </c:pt>
                      <c:pt idx="27">
                        <c:v>09 III</c:v>
                      </c:pt>
                      <c:pt idx="28">
                        <c:v>09 IV</c:v>
                      </c:pt>
                      <c:pt idx="29">
                        <c:v>10 I   </c:v>
                      </c:pt>
                      <c:pt idx="30">
                        <c:v>10 II  </c:v>
                      </c:pt>
                      <c:pt idx="31">
                        <c:v>10 III</c:v>
                      </c:pt>
                      <c:pt idx="32">
                        <c:v>10 IV</c:v>
                      </c:pt>
                      <c:pt idx="33">
                        <c:v>11 I   </c:v>
                      </c:pt>
                      <c:pt idx="34">
                        <c:v>11 II  </c:v>
                      </c:pt>
                      <c:pt idx="35">
                        <c:v>11 III</c:v>
                      </c:pt>
                      <c:pt idx="36">
                        <c:v>11 IV</c:v>
                      </c:pt>
                      <c:pt idx="37">
                        <c:v>12 I   </c:v>
                      </c:pt>
                      <c:pt idx="38">
                        <c:v>12 II  </c:v>
                      </c:pt>
                      <c:pt idx="39">
                        <c:v>12 III</c:v>
                      </c:pt>
                      <c:pt idx="40">
                        <c:v>12 IV</c:v>
                      </c:pt>
                      <c:pt idx="41">
                        <c:v>13 I   </c:v>
                      </c:pt>
                      <c:pt idx="42">
                        <c:v>13 II  </c:v>
                      </c:pt>
                      <c:pt idx="43">
                        <c:v>13 III</c:v>
                      </c:pt>
                      <c:pt idx="44">
                        <c:v>13 IV</c:v>
                      </c:pt>
                      <c:pt idx="45">
                        <c:v>14 I   </c:v>
                      </c:pt>
                      <c:pt idx="46">
                        <c:v>14 II  </c:v>
                      </c:pt>
                      <c:pt idx="47">
                        <c:v>14 III</c:v>
                      </c:pt>
                      <c:pt idx="48">
                        <c:v>14 IV</c:v>
                      </c:pt>
                      <c:pt idx="49">
                        <c:v>15 I</c:v>
                      </c:pt>
                      <c:pt idx="50">
                        <c:v>15 II</c:v>
                      </c:pt>
                      <c:pt idx="51">
                        <c:v>15 III</c:v>
                      </c:pt>
                      <c:pt idx="52">
                        <c:v>15 IV</c:v>
                      </c:pt>
                      <c:pt idx="53">
                        <c:v>16 I</c:v>
                      </c:pt>
                      <c:pt idx="54">
                        <c:v>16 II</c:v>
                      </c:pt>
                      <c:pt idx="55">
                        <c:v>16 III</c:v>
                      </c:pt>
                      <c:pt idx="56">
                        <c:v>16 IV</c:v>
                      </c:pt>
                      <c:pt idx="57">
                        <c:v>17 I</c:v>
                      </c:pt>
                      <c:pt idx="58">
                        <c:v>17 II</c:v>
                      </c:pt>
                      <c:pt idx="59">
                        <c:v>17 III</c:v>
                      </c:pt>
                      <c:pt idx="60">
                        <c:v>17 IV</c:v>
                      </c:pt>
                    </c:strCache>
                  </c:strRef>
                </c:cat>
                <c:val>
                  <c:numRef>
                    <c:extLst xmlns:c15="http://schemas.microsoft.com/office/drawing/2012/chart">
                      <c:ext xmlns:c15="http://schemas.microsoft.com/office/drawing/2012/chart" uri="{02D57815-91ED-43cb-92C2-25804820EDAC}">
                        <c15:formulaRef>
                          <c15:sqref>Krediidikvaliteet1!$E$7:$BL$7</c15:sqref>
                        </c15:formulaRef>
                      </c:ext>
                    </c:extLst>
                    <c:numCache>
                      <c:formatCode>0.0%</c:formatCode>
                      <c:ptCount val="60"/>
                      <c:pt idx="0">
                        <c:v>5.831407815573752E-3</c:v>
                      </c:pt>
                      <c:pt idx="1">
                        <c:v>3.5725826566682848E-3</c:v>
                      </c:pt>
                      <c:pt idx="2">
                        <c:v>4.3451377104935986E-3</c:v>
                      </c:pt>
                      <c:pt idx="3">
                        <c:v>2.8233659957544047E-3</c:v>
                      </c:pt>
                      <c:pt idx="4">
                        <c:v>2.1362583182912391E-3</c:v>
                      </c:pt>
                      <c:pt idx="5">
                        <c:v>2.2590575401360601E-3</c:v>
                      </c:pt>
                      <c:pt idx="6">
                        <c:v>2.0155032399847175E-3</c:v>
                      </c:pt>
                      <c:pt idx="7">
                        <c:v>2.5067469288409562E-3</c:v>
                      </c:pt>
                      <c:pt idx="8">
                        <c:v>1.7537170586693638E-3</c:v>
                      </c:pt>
                      <c:pt idx="9">
                        <c:v>1.492099202609434E-3</c:v>
                      </c:pt>
                      <c:pt idx="10">
                        <c:v>2.0058261730439642E-3</c:v>
                      </c:pt>
                      <c:pt idx="11">
                        <c:v>1.6975383440694651E-3</c:v>
                      </c:pt>
                      <c:pt idx="12">
                        <c:v>1.4401670347819931E-3</c:v>
                      </c:pt>
                      <c:pt idx="13">
                        <c:v>1.8321249364563973E-3</c:v>
                      </c:pt>
                      <c:pt idx="14">
                        <c:v>2.3231261120601932E-3</c:v>
                      </c:pt>
                      <c:pt idx="15">
                        <c:v>2.8247907847317008E-3</c:v>
                      </c:pt>
                      <c:pt idx="16">
                        <c:v>1.7224261445767637E-3</c:v>
                      </c:pt>
                      <c:pt idx="17">
                        <c:v>2.0722369712062932E-3</c:v>
                      </c:pt>
                      <c:pt idx="18">
                        <c:v>3.0430246665139569E-3</c:v>
                      </c:pt>
                      <c:pt idx="19">
                        <c:v>4.6767063815582365E-3</c:v>
                      </c:pt>
                      <c:pt idx="20">
                        <c:v>4.3304779450964283E-3</c:v>
                      </c:pt>
                      <c:pt idx="21">
                        <c:v>4.9164816328955601E-3</c:v>
                      </c:pt>
                      <c:pt idx="22">
                        <c:v>8.0702360198018856E-3</c:v>
                      </c:pt>
                      <c:pt idx="23">
                        <c:v>8.8237669338486306E-3</c:v>
                      </c:pt>
                      <c:pt idx="24">
                        <c:v>7.9940212989790451E-3</c:v>
                      </c:pt>
                      <c:pt idx="25">
                        <c:v>1.1753824008382653E-2</c:v>
                      </c:pt>
                      <c:pt idx="26">
                        <c:v>1.536560954415743E-2</c:v>
                      </c:pt>
                      <c:pt idx="27">
                        <c:v>1.3212881913680044E-2</c:v>
                      </c:pt>
                      <c:pt idx="28">
                        <c:v>9.8364471353581222E-3</c:v>
                      </c:pt>
                      <c:pt idx="29">
                        <c:v>9.0096390146146826E-3</c:v>
                      </c:pt>
                      <c:pt idx="30">
                        <c:v>1.2260016627550408E-2</c:v>
                      </c:pt>
                      <c:pt idx="31">
                        <c:v>9.5159343891696481E-3</c:v>
                      </c:pt>
                      <c:pt idx="32">
                        <c:v>8.1320521933929014E-3</c:v>
                      </c:pt>
                      <c:pt idx="33">
                        <c:v>7.5555645465268245E-3</c:v>
                      </c:pt>
                      <c:pt idx="34">
                        <c:v>9.9297023339524459E-3</c:v>
                      </c:pt>
                      <c:pt idx="35">
                        <c:v>9.6398498733110023E-3</c:v>
                      </c:pt>
                      <c:pt idx="36">
                        <c:v>6.6568278506151535E-3</c:v>
                      </c:pt>
                      <c:pt idx="37">
                        <c:v>6.5987019996738856E-3</c:v>
                      </c:pt>
                      <c:pt idx="38">
                        <c:v>7.9645049552052663E-3</c:v>
                      </c:pt>
                      <c:pt idx="39">
                        <c:v>8.6333245003136442E-3</c:v>
                      </c:pt>
                      <c:pt idx="40">
                        <c:v>6.1388458165764041E-3</c:v>
                      </c:pt>
                      <c:pt idx="41">
                        <c:v>6.4720446598205243E-3</c:v>
                      </c:pt>
                      <c:pt idx="42">
                        <c:v>6.7922595976304999E-3</c:v>
                      </c:pt>
                      <c:pt idx="43">
                        <c:v>5.4295217968265402E-3</c:v>
                      </c:pt>
                      <c:pt idx="44">
                        <c:v>4.9300358632773196E-3</c:v>
                      </c:pt>
                      <c:pt idx="45">
                        <c:v>5.0206483146965604E-3</c:v>
                      </c:pt>
                      <c:pt idx="46">
                        <c:v>5.05344844061675E-3</c:v>
                      </c:pt>
                      <c:pt idx="47">
                        <c:v>5.5225874871353397E-3</c:v>
                      </c:pt>
                      <c:pt idx="48">
                        <c:v>3.8046710382362201E-3</c:v>
                      </c:pt>
                      <c:pt idx="49">
                        <c:v>3.9218876347279904E-3</c:v>
                      </c:pt>
                      <c:pt idx="50">
                        <c:v>4.0702446904624301E-3</c:v>
                      </c:pt>
                      <c:pt idx="51" formatCode="0.00%">
                        <c:v>5.3280938957562998E-3</c:v>
                      </c:pt>
                      <c:pt idx="52" formatCode="0.00%">
                        <c:v>3.7000000000000002E-3</c:v>
                      </c:pt>
                      <c:pt idx="53" formatCode="0.00%">
                        <c:v>3.5000000000000001E-3</c:v>
                      </c:pt>
                      <c:pt idx="54" formatCode="0.00%">
                        <c:v>3.3E-3</c:v>
                      </c:pt>
                      <c:pt idx="55" formatCode="0.00%">
                        <c:v>3.0999999999999999E-3</c:v>
                      </c:pt>
                      <c:pt idx="56" formatCode="0.00%">
                        <c:v>2.8523753289285102E-3</c:v>
                      </c:pt>
                      <c:pt idx="57" formatCode="0.00%">
                        <c:v>3.0000000000000001E-3</c:v>
                      </c:pt>
                      <c:pt idx="58" formatCode="0.00%">
                        <c:v>3.0999999999999999E-3</c:v>
                      </c:pt>
                      <c:pt idx="59" formatCode="0.00%">
                        <c:v>2.5999999999999999E-3</c:v>
                      </c:pt>
                    </c:numCache>
                  </c:numRef>
                </c:val>
                <c:smooth val="0"/>
                <c:extLst xmlns:c15="http://schemas.microsoft.com/office/drawing/2012/chart">
                  <c:ext xmlns:c16="http://schemas.microsoft.com/office/drawing/2014/chart" uri="{C3380CC4-5D6E-409C-BE32-E72D297353CC}">
                    <c16:uniqueId val="{00000003-CC04-4273-8420-6469B73A79D8}"/>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Krediidikvaliteet1!$A$21</c15:sqref>
                        </c15:formulaRef>
                      </c:ext>
                    </c:extLst>
                    <c:strCache>
                      <c:ptCount val="1"/>
                      <c:pt idx="0">
                        <c:v>10-30p</c:v>
                      </c:pt>
                    </c:strCache>
                  </c:strRef>
                </c:tx>
                <c:spPr>
                  <a:ln>
                    <a:solidFill>
                      <a:srgbClr val="979797"/>
                    </a:solidFill>
                  </a:ln>
                </c:spPr>
                <c:marker>
                  <c:symbol val="none"/>
                </c:marker>
                <c:cat>
                  <c:strRef>
                    <c:extLst xmlns:c15="http://schemas.microsoft.com/office/drawing/2012/chart">
                      <c:ext xmlns:c15="http://schemas.microsoft.com/office/drawing/2012/chart" uri="{02D57815-91ED-43cb-92C2-25804820EDAC}">
                        <c15:formulaRef>
                          <c15:sqref>Krediidikvaliteet1!$F$4:$BN$4</c15:sqref>
                        </c15:formulaRef>
                      </c:ext>
                    </c:extLst>
                    <c:strCache>
                      <c:ptCount val="61"/>
                      <c:pt idx="0">
                        <c:v>02 IV</c:v>
                      </c:pt>
                      <c:pt idx="1">
                        <c:v>03 I   </c:v>
                      </c:pt>
                      <c:pt idx="2">
                        <c:v>03 II  </c:v>
                      </c:pt>
                      <c:pt idx="3">
                        <c:v>03 III</c:v>
                      </c:pt>
                      <c:pt idx="4">
                        <c:v>03 IV</c:v>
                      </c:pt>
                      <c:pt idx="5">
                        <c:v>04 I   </c:v>
                      </c:pt>
                      <c:pt idx="6">
                        <c:v>04 II  </c:v>
                      </c:pt>
                      <c:pt idx="7">
                        <c:v>04 III</c:v>
                      </c:pt>
                      <c:pt idx="8">
                        <c:v>04 IV</c:v>
                      </c:pt>
                      <c:pt idx="9">
                        <c:v>05 I   </c:v>
                      </c:pt>
                      <c:pt idx="10">
                        <c:v>05 II  </c:v>
                      </c:pt>
                      <c:pt idx="11">
                        <c:v>05 III</c:v>
                      </c:pt>
                      <c:pt idx="12">
                        <c:v>05 IV</c:v>
                      </c:pt>
                      <c:pt idx="13">
                        <c:v>06 I   </c:v>
                      </c:pt>
                      <c:pt idx="14">
                        <c:v>06 II  </c:v>
                      </c:pt>
                      <c:pt idx="15">
                        <c:v>06 III</c:v>
                      </c:pt>
                      <c:pt idx="16">
                        <c:v>06 IV</c:v>
                      </c:pt>
                      <c:pt idx="17">
                        <c:v>07 I   </c:v>
                      </c:pt>
                      <c:pt idx="18">
                        <c:v>07 II  </c:v>
                      </c:pt>
                      <c:pt idx="19">
                        <c:v>07 III</c:v>
                      </c:pt>
                      <c:pt idx="20">
                        <c:v>07 IV</c:v>
                      </c:pt>
                      <c:pt idx="21">
                        <c:v>08 I   </c:v>
                      </c:pt>
                      <c:pt idx="22">
                        <c:v>08 II  </c:v>
                      </c:pt>
                      <c:pt idx="23">
                        <c:v>08 III</c:v>
                      </c:pt>
                      <c:pt idx="24">
                        <c:v>08 IV</c:v>
                      </c:pt>
                      <c:pt idx="25">
                        <c:v>09 I   </c:v>
                      </c:pt>
                      <c:pt idx="26">
                        <c:v>09 II  </c:v>
                      </c:pt>
                      <c:pt idx="27">
                        <c:v>09 III</c:v>
                      </c:pt>
                      <c:pt idx="28">
                        <c:v>09 IV</c:v>
                      </c:pt>
                      <c:pt idx="29">
                        <c:v>10 I   </c:v>
                      </c:pt>
                      <c:pt idx="30">
                        <c:v>10 II  </c:v>
                      </c:pt>
                      <c:pt idx="31">
                        <c:v>10 III</c:v>
                      </c:pt>
                      <c:pt idx="32">
                        <c:v>10 IV</c:v>
                      </c:pt>
                      <c:pt idx="33">
                        <c:v>11 I   </c:v>
                      </c:pt>
                      <c:pt idx="34">
                        <c:v>11 II  </c:v>
                      </c:pt>
                      <c:pt idx="35">
                        <c:v>11 III</c:v>
                      </c:pt>
                      <c:pt idx="36">
                        <c:v>11 IV</c:v>
                      </c:pt>
                      <c:pt idx="37">
                        <c:v>12 I   </c:v>
                      </c:pt>
                      <c:pt idx="38">
                        <c:v>12 II  </c:v>
                      </c:pt>
                      <c:pt idx="39">
                        <c:v>12 III</c:v>
                      </c:pt>
                      <c:pt idx="40">
                        <c:v>12 IV</c:v>
                      </c:pt>
                      <c:pt idx="41">
                        <c:v>13 I   </c:v>
                      </c:pt>
                      <c:pt idx="42">
                        <c:v>13 II  </c:v>
                      </c:pt>
                      <c:pt idx="43">
                        <c:v>13 III</c:v>
                      </c:pt>
                      <c:pt idx="44">
                        <c:v>13 IV</c:v>
                      </c:pt>
                      <c:pt idx="45">
                        <c:v>14 I   </c:v>
                      </c:pt>
                      <c:pt idx="46">
                        <c:v>14 II  </c:v>
                      </c:pt>
                      <c:pt idx="47">
                        <c:v>14 III</c:v>
                      </c:pt>
                      <c:pt idx="48">
                        <c:v>14 IV</c:v>
                      </c:pt>
                      <c:pt idx="49">
                        <c:v>15 I</c:v>
                      </c:pt>
                      <c:pt idx="50">
                        <c:v>15 II</c:v>
                      </c:pt>
                      <c:pt idx="51">
                        <c:v>15 III</c:v>
                      </c:pt>
                      <c:pt idx="52">
                        <c:v>15 IV</c:v>
                      </c:pt>
                      <c:pt idx="53">
                        <c:v>16 I</c:v>
                      </c:pt>
                      <c:pt idx="54">
                        <c:v>16 II</c:v>
                      </c:pt>
                      <c:pt idx="55">
                        <c:v>16 III</c:v>
                      </c:pt>
                      <c:pt idx="56">
                        <c:v>16 IV</c:v>
                      </c:pt>
                      <c:pt idx="57">
                        <c:v>17 I</c:v>
                      </c:pt>
                      <c:pt idx="58">
                        <c:v>17 II</c:v>
                      </c:pt>
                      <c:pt idx="59">
                        <c:v>17 III</c:v>
                      </c:pt>
                      <c:pt idx="60">
                        <c:v>17 IV</c:v>
                      </c:pt>
                    </c:strCache>
                  </c:strRef>
                </c:cat>
                <c:val>
                  <c:numRef>
                    <c:extLst xmlns:c15="http://schemas.microsoft.com/office/drawing/2012/chart">
                      <c:ext xmlns:c15="http://schemas.microsoft.com/office/drawing/2012/chart" uri="{02D57815-91ED-43cb-92C2-25804820EDAC}">
                        <c15:formulaRef>
                          <c15:sqref>Krediidikvaliteet1!$E$8:$BL$8</c15:sqref>
                        </c15:formulaRef>
                      </c:ext>
                    </c:extLst>
                    <c:numCache>
                      <c:formatCode>0.0%</c:formatCode>
                      <c:ptCount val="60"/>
                      <c:pt idx="0">
                        <c:v>7.4954895632425205E-3</c:v>
                      </c:pt>
                      <c:pt idx="1">
                        <c:v>6.7288626109369039E-3</c:v>
                      </c:pt>
                      <c:pt idx="2">
                        <c:v>9.5050653334176078E-3</c:v>
                      </c:pt>
                      <c:pt idx="3">
                        <c:v>7.5148364475620738E-3</c:v>
                      </c:pt>
                      <c:pt idx="4">
                        <c:v>6.9952575398459791E-3</c:v>
                      </c:pt>
                      <c:pt idx="5">
                        <c:v>5.3345356372733093E-3</c:v>
                      </c:pt>
                      <c:pt idx="6">
                        <c:v>5.1112544461207002E-3</c:v>
                      </c:pt>
                      <c:pt idx="7">
                        <c:v>5.6611364020349901E-3</c:v>
                      </c:pt>
                      <c:pt idx="8">
                        <c:v>5.771529053739597E-3</c:v>
                      </c:pt>
                      <c:pt idx="9">
                        <c:v>4.4185068016786167E-3</c:v>
                      </c:pt>
                      <c:pt idx="10">
                        <c:v>5.1760012093535175E-3</c:v>
                      </c:pt>
                      <c:pt idx="11">
                        <c:v>6.6272452711290302E-3</c:v>
                      </c:pt>
                      <c:pt idx="12">
                        <c:v>7.4872916682641897E-3</c:v>
                      </c:pt>
                      <c:pt idx="13">
                        <c:v>6.6844755203176428E-3</c:v>
                      </c:pt>
                      <c:pt idx="14">
                        <c:v>6.3698592085790831E-3</c:v>
                      </c:pt>
                      <c:pt idx="15">
                        <c:v>8.4303298108205898E-3</c:v>
                      </c:pt>
                      <c:pt idx="16">
                        <c:v>8.3937951975982684E-3</c:v>
                      </c:pt>
                      <c:pt idx="17">
                        <c:v>7.6279525290692532E-3</c:v>
                      </c:pt>
                      <c:pt idx="18">
                        <c:v>8.6821856139110924E-3</c:v>
                      </c:pt>
                      <c:pt idx="19">
                        <c:v>1.0030387631703734E-2</c:v>
                      </c:pt>
                      <c:pt idx="20">
                        <c:v>1.2468520845170965E-2</c:v>
                      </c:pt>
                      <c:pt idx="21">
                        <c:v>1.5797192334260694E-2</c:v>
                      </c:pt>
                      <c:pt idx="22">
                        <c:v>1.4673691128843654E-2</c:v>
                      </c:pt>
                      <c:pt idx="23">
                        <c:v>1.7022962828006093E-2</c:v>
                      </c:pt>
                      <c:pt idx="24">
                        <c:v>1.8762598045558528E-2</c:v>
                      </c:pt>
                      <c:pt idx="25">
                        <c:v>1.9876089473751489E-2</c:v>
                      </c:pt>
                      <c:pt idx="26">
                        <c:v>2.1900689933072183E-2</c:v>
                      </c:pt>
                      <c:pt idx="27">
                        <c:v>2.0870773496682784E-2</c:v>
                      </c:pt>
                      <c:pt idx="28">
                        <c:v>2.0164848687701641E-2</c:v>
                      </c:pt>
                      <c:pt idx="29">
                        <c:v>1.9270244563933604E-2</c:v>
                      </c:pt>
                      <c:pt idx="30">
                        <c:v>1.8820855705036207E-2</c:v>
                      </c:pt>
                      <c:pt idx="31">
                        <c:v>2.145604491919845E-2</c:v>
                      </c:pt>
                      <c:pt idx="32">
                        <c:v>2.1196850194939085E-2</c:v>
                      </c:pt>
                      <c:pt idx="33">
                        <c:v>1.7141815494687906E-2</c:v>
                      </c:pt>
                      <c:pt idx="34">
                        <c:v>1.9174531104290588E-2</c:v>
                      </c:pt>
                      <c:pt idx="35">
                        <c:v>1.8960198294089278E-2</c:v>
                      </c:pt>
                      <c:pt idx="36">
                        <c:v>1.735089503796362E-2</c:v>
                      </c:pt>
                      <c:pt idx="37">
                        <c:v>1.6733095273075742E-2</c:v>
                      </c:pt>
                      <c:pt idx="38">
                        <c:v>1.8464862958938445E-2</c:v>
                      </c:pt>
                      <c:pt idx="39">
                        <c:v>1.7457583430284303E-2</c:v>
                      </c:pt>
                      <c:pt idx="40">
                        <c:v>1.7598734478355492E-2</c:v>
                      </c:pt>
                      <c:pt idx="41">
                        <c:v>1.5217373203596302E-2</c:v>
                      </c:pt>
                      <c:pt idx="42">
                        <c:v>1.5345421935881299E-2</c:v>
                      </c:pt>
                      <c:pt idx="43">
                        <c:v>1.45618585466283E-2</c:v>
                      </c:pt>
                      <c:pt idx="44">
                        <c:v>1.4587327902845299E-2</c:v>
                      </c:pt>
                      <c:pt idx="45">
                        <c:v>1.37704329380956E-2</c:v>
                      </c:pt>
                      <c:pt idx="46">
                        <c:v>1.3837565527105199E-2</c:v>
                      </c:pt>
                      <c:pt idx="47">
                        <c:v>1.35316688389881E-2</c:v>
                      </c:pt>
                      <c:pt idx="48">
                        <c:v>1.20982870994459E-2</c:v>
                      </c:pt>
                      <c:pt idx="49">
                        <c:v>1.1367523144445E-2</c:v>
                      </c:pt>
                      <c:pt idx="50">
                        <c:v>1.27679727887396E-2</c:v>
                      </c:pt>
                      <c:pt idx="51" formatCode="0.00%">
                        <c:v>1.18209795652989E-2</c:v>
                      </c:pt>
                      <c:pt idx="52" formatCode="0.00%">
                        <c:v>1.06E-2</c:v>
                      </c:pt>
                      <c:pt idx="53" formatCode="0.00%">
                        <c:v>9.1000000000000004E-3</c:v>
                      </c:pt>
                      <c:pt idx="54" formatCode="0.00%">
                        <c:v>9.4999999999999998E-3</c:v>
                      </c:pt>
                      <c:pt idx="55" formatCode="0.00%">
                        <c:v>9.4999999999999998E-3</c:v>
                      </c:pt>
                      <c:pt idx="56" formatCode="0.00%">
                        <c:v>9.2917890743731291E-3</c:v>
                      </c:pt>
                      <c:pt idx="57" formatCode="0.00%">
                        <c:v>8.8999999999999999E-3</c:v>
                      </c:pt>
                      <c:pt idx="58" formatCode="0.00%">
                        <c:v>8.8999999999999999E-3</c:v>
                      </c:pt>
                      <c:pt idx="59" formatCode="0.00%">
                        <c:v>9.2999999999999992E-3</c:v>
                      </c:pt>
                    </c:numCache>
                  </c:numRef>
                </c:val>
                <c:smooth val="0"/>
                <c:extLst xmlns:c15="http://schemas.microsoft.com/office/drawing/2012/chart">
                  <c:ext xmlns:c16="http://schemas.microsoft.com/office/drawing/2014/chart" uri="{C3380CC4-5D6E-409C-BE32-E72D297353CC}">
                    <c16:uniqueId val="{00000004-CC04-4273-8420-6469B73A79D8}"/>
                  </c:ext>
                </c:extLst>
              </c15:ser>
            </c15:filteredLineSeries>
          </c:ext>
        </c:extLst>
      </c:lineChart>
      <c:catAx>
        <c:axId val="371139256"/>
        <c:scaling>
          <c:orientation val="minMax"/>
        </c:scaling>
        <c:delete val="0"/>
        <c:axPos val="b"/>
        <c:numFmt formatCode="General" sourceLinked="0"/>
        <c:majorTickMark val="none"/>
        <c:minorTickMark val="none"/>
        <c:tickLblPos val="nextTo"/>
        <c:spPr>
          <a:ln>
            <a:noFill/>
          </a:ln>
        </c:spPr>
        <c:txPr>
          <a:bodyPr rot="5400000"/>
          <a:lstStyle/>
          <a:p>
            <a:pPr>
              <a:defRPr/>
            </a:pPr>
            <a:endParaRPr lang="et-EE"/>
          </a:p>
        </c:txPr>
        <c:crossAx val="371139648"/>
        <c:crosses val="autoZero"/>
        <c:auto val="1"/>
        <c:lblAlgn val="ctr"/>
        <c:lblOffset val="100"/>
        <c:noMultiLvlLbl val="0"/>
      </c:catAx>
      <c:valAx>
        <c:axId val="371139648"/>
        <c:scaling>
          <c:orientation val="minMax"/>
        </c:scaling>
        <c:delete val="0"/>
        <c:axPos val="l"/>
        <c:majorGridlines>
          <c:spPr>
            <a:ln>
              <a:solidFill>
                <a:schemeClr val="bg1">
                  <a:lumMod val="85000"/>
                </a:schemeClr>
              </a:solidFill>
              <a:prstDash val="dash"/>
            </a:ln>
          </c:spPr>
        </c:majorGridlines>
        <c:title>
          <c:tx>
            <c:rich>
              <a:bodyPr/>
              <a:lstStyle/>
              <a:p>
                <a:pPr>
                  <a:defRPr b="0"/>
                </a:pPr>
                <a:r>
                  <a:rPr lang="et-EE" b="0"/>
                  <a:t>% laenuportfellist</a:t>
                </a:r>
              </a:p>
            </c:rich>
          </c:tx>
          <c:layout/>
          <c:overlay val="0"/>
        </c:title>
        <c:numFmt formatCode="0.0%" sourceLinked="1"/>
        <c:majorTickMark val="none"/>
        <c:minorTickMark val="none"/>
        <c:tickLblPos val="nextTo"/>
        <c:spPr>
          <a:ln>
            <a:noFill/>
          </a:ln>
        </c:spPr>
        <c:crossAx val="371139256"/>
        <c:crosses val="autoZero"/>
        <c:crossBetween val="between"/>
      </c:valAx>
      <c:spPr>
        <a:ln>
          <a:noFill/>
        </a:ln>
      </c:spPr>
    </c:plotArea>
    <c:legend>
      <c:legendPos val="b"/>
      <c:layout>
        <c:manualLayout>
          <c:xMode val="edge"/>
          <c:yMode val="edge"/>
          <c:x val="0.23975601962798129"/>
          <c:y val="0.88990405244987525"/>
          <c:w val="0.52048796074403747"/>
          <c:h val="9.3498437176680715E-2"/>
        </c:manualLayout>
      </c:layout>
      <c:overlay val="0"/>
    </c:legend>
    <c:plotVisOnly val="1"/>
    <c:dispBlanksAs val="zero"/>
    <c:showDLblsOverMax val="0"/>
  </c:chart>
  <c:spPr>
    <a:ln>
      <a:noFill/>
    </a:ln>
  </c:spPr>
  <c:txPr>
    <a:bodyPr/>
    <a:lstStyle/>
    <a:p>
      <a:pPr>
        <a:defRPr sz="900">
          <a:solidFill>
            <a:schemeClr val="tx2"/>
          </a:solidFill>
          <a:latin typeface="Calibri Light" panose="020F0302020204030204" pitchFamily="34" charset="0"/>
          <a:cs typeface="Calibri" panose="020F0502020204030204" pitchFamily="34" charset="0"/>
        </a:defRPr>
      </a:pPr>
      <a:endParaRPr lang="et-EE"/>
    </a:p>
  </c:txPr>
  <c:externalData r:id="rId1">
    <c:autoUpdate val="0"/>
  </c:externalData>
</c:chartSpace>
</file>

<file path=word/theme/theme1.xml><?xml version="1.0" encoding="utf-8"?>
<a:theme xmlns:a="http://schemas.openxmlformats.org/drawingml/2006/main" name="Office Theme">
  <a:themeElements>
    <a:clrScheme name="Custom 1">
      <a:dk1>
        <a:srgbClr val="500778"/>
      </a:dk1>
      <a:lt1>
        <a:sysClr val="window" lastClr="FFFFFF"/>
      </a:lt1>
      <a:dk2>
        <a:srgbClr val="500778"/>
      </a:dk2>
      <a:lt2>
        <a:srgbClr val="FFFFFF"/>
      </a:lt2>
      <a:accent1>
        <a:srgbClr val="500778"/>
      </a:accent1>
      <a:accent2>
        <a:srgbClr val="00BB4A"/>
      </a:accent2>
      <a:accent3>
        <a:srgbClr val="FA5C1D"/>
      </a:accent3>
      <a:accent4>
        <a:srgbClr val="0037F5"/>
      </a:accent4>
      <a:accent5>
        <a:srgbClr val="C66EF6"/>
      </a:accent5>
      <a:accent6>
        <a:srgbClr val="500778"/>
      </a:accent6>
      <a:hlink>
        <a:srgbClr val="500778"/>
      </a:hlink>
      <a:folHlink>
        <a:srgbClr val="500778"/>
      </a:folHlink>
    </a:clrScheme>
    <a:fontScheme name="FI_Georgia+CalibriLight">
      <a:majorFont>
        <a:latin typeface="Georgia"/>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B6083-4107-4745-825E-AD9FCB7B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Raport_Long</Template>
  <TotalTime>31</TotalTime>
  <Pages>3</Pages>
  <Words>759</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Ilja Hlebov</dc:creator>
  <cp:keywords/>
  <dc:description/>
  <cp:lastModifiedBy>Piret Lakson</cp:lastModifiedBy>
  <cp:revision>9</cp:revision>
  <cp:lastPrinted>2018-04-26T08:54:00Z</cp:lastPrinted>
  <dcterms:created xsi:type="dcterms:W3CDTF">2018-04-26T07:42:00Z</dcterms:created>
  <dcterms:modified xsi:type="dcterms:W3CDTF">2018-05-14T14:39:00Z</dcterms:modified>
</cp:coreProperties>
</file>