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27" w:rsidRDefault="00114227">
      <w:pPr>
        <w:jc w:val="center"/>
        <w:rPr>
          <w:rFonts w:ascii="Verdana" w:hAnsi="Verdana"/>
          <w:b/>
          <w:lang w:val="et-EE"/>
        </w:rPr>
      </w:pPr>
    </w:p>
    <w:p w:rsidR="001D38CF" w:rsidRDefault="001D38CF">
      <w:pPr>
        <w:jc w:val="center"/>
        <w:rPr>
          <w:rFonts w:ascii="Verdana" w:hAnsi="Verdana"/>
          <w:b/>
          <w:lang w:val="et-EE"/>
        </w:rPr>
      </w:pPr>
    </w:p>
    <w:p w:rsidR="00114227" w:rsidRDefault="00114227">
      <w:pPr>
        <w:jc w:val="center"/>
        <w:rPr>
          <w:rFonts w:ascii="Verdana" w:hAnsi="Verdana"/>
          <w:b/>
          <w:lang w:val="et-EE"/>
        </w:rPr>
      </w:pPr>
    </w:p>
    <w:p w:rsidR="00114227" w:rsidRDefault="00C82A6B">
      <w:pPr>
        <w:jc w:val="center"/>
        <w:rPr>
          <w:rFonts w:ascii="Verdana" w:hAnsi="Verdana"/>
          <w:b/>
          <w:lang w:val="et-EE"/>
        </w:rPr>
      </w:pPr>
      <w:r>
        <w:rPr>
          <w:rFonts w:ascii="Verdana" w:hAnsi="Verdana"/>
          <w:b/>
          <w:lang w:val="et-EE"/>
        </w:rPr>
        <w:t xml:space="preserve">TÄIENDAV </w:t>
      </w:r>
      <w:r w:rsidR="00114227">
        <w:rPr>
          <w:rFonts w:ascii="Verdana" w:hAnsi="Verdana"/>
          <w:b/>
          <w:lang w:val="et-EE"/>
        </w:rPr>
        <w:t xml:space="preserve">SELETUSKIRI </w:t>
      </w:r>
    </w:p>
    <w:p w:rsidR="00114227" w:rsidRDefault="00114227">
      <w:pPr>
        <w:jc w:val="center"/>
        <w:rPr>
          <w:rFonts w:ascii="Verdana" w:hAnsi="Verdana"/>
          <w:b/>
          <w:lang w:val="et-EE"/>
        </w:rPr>
      </w:pPr>
      <w:r>
        <w:rPr>
          <w:rFonts w:ascii="Verdana" w:hAnsi="Verdana"/>
          <w:b/>
          <w:lang w:val="et-EE"/>
        </w:rPr>
        <w:t>TALLINNA BÖRSI REGLEMENDI MUUDATUSTE KOHTA</w:t>
      </w:r>
    </w:p>
    <w:p w:rsidR="00114227" w:rsidRDefault="00114227" w:rsidP="00065B8F">
      <w:pPr>
        <w:pStyle w:val="BodyText"/>
        <w:jc w:val="both"/>
      </w:pPr>
    </w:p>
    <w:p w:rsidR="00CD7CB9" w:rsidRPr="005167DA" w:rsidRDefault="00CD7CB9" w:rsidP="00CD7CB9">
      <w:pPr>
        <w:jc w:val="both"/>
        <w:rPr>
          <w:rFonts w:ascii="Verdana" w:hAnsi="Verdana"/>
          <w:lang w:val="et-EE"/>
        </w:rPr>
      </w:pPr>
    </w:p>
    <w:p w:rsidR="00C82A6B" w:rsidRDefault="00C82A6B" w:rsidP="00321C55">
      <w:pPr>
        <w:jc w:val="both"/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Käesolev dokument</w:t>
      </w:r>
      <w:r w:rsidR="00A1251C" w:rsidRPr="00321C55">
        <w:rPr>
          <w:rFonts w:ascii="Verdana" w:hAnsi="Verdana"/>
          <w:lang w:val="et-EE"/>
        </w:rPr>
        <w:t xml:space="preserve"> </w:t>
      </w:r>
      <w:r>
        <w:rPr>
          <w:rFonts w:ascii="Verdana" w:hAnsi="Verdana"/>
          <w:lang w:val="et-EE"/>
        </w:rPr>
        <w:t>on esitatud kirjeldamas</w:t>
      </w:r>
      <w:r w:rsidR="00A1251C" w:rsidRPr="00321C55">
        <w:rPr>
          <w:rFonts w:ascii="Verdana" w:hAnsi="Verdana"/>
          <w:lang w:val="et-EE"/>
        </w:rPr>
        <w:t xml:space="preserve"> </w:t>
      </w:r>
      <w:r>
        <w:rPr>
          <w:rFonts w:ascii="Verdana" w:hAnsi="Verdana"/>
          <w:lang w:val="et-EE"/>
        </w:rPr>
        <w:t>täiendavalt</w:t>
      </w:r>
      <w:r w:rsidRPr="00321C55">
        <w:rPr>
          <w:rFonts w:ascii="Verdana" w:hAnsi="Verdana"/>
          <w:lang w:val="et-EE"/>
        </w:rPr>
        <w:t xml:space="preserve"> </w:t>
      </w:r>
      <w:r w:rsidR="00A1251C" w:rsidRPr="00321C55">
        <w:rPr>
          <w:rFonts w:ascii="Verdana" w:hAnsi="Verdana"/>
          <w:lang w:val="et-EE"/>
        </w:rPr>
        <w:t>m</w:t>
      </w:r>
      <w:r>
        <w:rPr>
          <w:rFonts w:ascii="Verdana" w:hAnsi="Verdana"/>
          <w:lang w:val="et-EE"/>
        </w:rPr>
        <w:t>uudatusi, mis tehakse Reglemendis seoses garantiifondi regulatsiooni muudatustega, mille esitasime Teile kooskõlastamiseks 31. mail 2013.a.</w:t>
      </w:r>
      <w:r w:rsidR="00CD7CB9" w:rsidRPr="00321C55">
        <w:rPr>
          <w:rFonts w:ascii="Verdana" w:hAnsi="Verdana"/>
          <w:lang w:val="et-EE"/>
        </w:rPr>
        <w:t xml:space="preserve"> </w:t>
      </w:r>
    </w:p>
    <w:p w:rsidR="00C82A6B" w:rsidRDefault="00C82A6B" w:rsidP="00321C55">
      <w:pPr>
        <w:jc w:val="both"/>
        <w:rPr>
          <w:rFonts w:ascii="Verdana" w:hAnsi="Verdana"/>
          <w:lang w:val="et-EE"/>
        </w:rPr>
      </w:pPr>
    </w:p>
    <w:p w:rsidR="00360C34" w:rsidRPr="00360C34" w:rsidRDefault="00C82A6B" w:rsidP="00CD7CB9">
      <w:pPr>
        <w:jc w:val="both"/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Nagu oma esialgses seletuskirjas märkisime, ei ole kehtiv</w:t>
      </w:r>
      <w:r w:rsidR="00321C55">
        <w:rPr>
          <w:rFonts w:ascii="Verdana" w:hAnsi="Verdana"/>
          <w:lang w:val="et-EE"/>
        </w:rPr>
        <w:t xml:space="preserve"> </w:t>
      </w:r>
      <w:r>
        <w:rPr>
          <w:rFonts w:ascii="Verdana" w:hAnsi="Verdana"/>
          <w:lang w:val="et-EE"/>
        </w:rPr>
        <w:t xml:space="preserve">regulatsiooni vorm </w:t>
      </w:r>
      <w:r w:rsidR="00321C55">
        <w:rPr>
          <w:rFonts w:ascii="Verdana" w:hAnsi="Verdana"/>
          <w:lang w:val="et-EE"/>
        </w:rPr>
        <w:t>Börsi liikmete jaoks kergesti hallatav</w:t>
      </w:r>
      <w:r>
        <w:rPr>
          <w:rFonts w:ascii="Verdana" w:hAnsi="Verdana"/>
          <w:lang w:val="et-EE"/>
        </w:rPr>
        <w:t xml:space="preserve"> ning see tingis vajaduse </w:t>
      </w:r>
      <w:r w:rsidRPr="002B667E">
        <w:rPr>
          <w:rFonts w:ascii="Verdana" w:hAnsi="Verdana"/>
          <w:lang w:val="et-EE"/>
        </w:rPr>
        <w:t xml:space="preserve">regulatsiooni kaasajastamise </w:t>
      </w:r>
      <w:r>
        <w:rPr>
          <w:rFonts w:ascii="Verdana" w:hAnsi="Verdana"/>
          <w:lang w:val="et-EE"/>
        </w:rPr>
        <w:t>järele. Uue h</w:t>
      </w:r>
      <w:r w:rsidR="0076622A" w:rsidRPr="002B667E">
        <w:rPr>
          <w:rFonts w:ascii="Verdana" w:hAnsi="Verdana"/>
          <w:lang w:val="et-EE"/>
        </w:rPr>
        <w:t xml:space="preserve">armoneeritud reeglistiku väljatöötamise raames ühtlustatakse garantiifondi regulatsioon </w:t>
      </w:r>
      <w:r w:rsidR="001057B3" w:rsidRPr="002B667E">
        <w:rPr>
          <w:rFonts w:ascii="Verdana" w:hAnsi="Verdana"/>
          <w:lang w:val="et-EE"/>
        </w:rPr>
        <w:t>kõigil Balti börsidel sellisel viisil, et</w:t>
      </w:r>
      <w:r w:rsidR="00360C34">
        <w:rPr>
          <w:rFonts w:ascii="Verdana" w:hAnsi="Verdana"/>
          <w:lang w:val="et-EE"/>
        </w:rPr>
        <w:t xml:space="preserve"> praegune</w:t>
      </w:r>
      <w:r w:rsidR="002B667E" w:rsidRPr="002B667E">
        <w:rPr>
          <w:rFonts w:ascii="Verdana" w:hAnsi="Verdana"/>
          <w:lang w:val="et-EE"/>
        </w:rPr>
        <w:t xml:space="preserve"> Kord kaotab kehtivuse ning kogu garantiifondi reeglistik sätestatakse Reglemendis ühetaolisena teiste Balti börsidega. Selguse huvides moodustab garantiifondi regulatsioon edaspidi Reglemendi eraldi osa “Garantiifondi moodustamise ja </w:t>
      </w:r>
      <w:r w:rsidR="002B667E">
        <w:rPr>
          <w:rFonts w:ascii="Verdana" w:hAnsi="Verdana"/>
          <w:lang w:val="et-EE"/>
        </w:rPr>
        <w:t xml:space="preserve">kasutamise reeglid”, mitte peatüki Arveldusreeglitest. </w:t>
      </w:r>
      <w:proofErr w:type="spellStart"/>
      <w:r w:rsidR="001F0632">
        <w:rPr>
          <w:rFonts w:ascii="Verdana" w:hAnsi="Verdana"/>
        </w:rPr>
        <w:t>Ka</w:t>
      </w:r>
      <w:proofErr w:type="spellEnd"/>
      <w:r w:rsidR="001F0632">
        <w:rPr>
          <w:rFonts w:ascii="Verdana" w:hAnsi="Verdana"/>
        </w:rPr>
        <w:t xml:space="preserve"> </w:t>
      </w:r>
      <w:proofErr w:type="spellStart"/>
      <w:r w:rsidR="001F0632">
        <w:rPr>
          <w:rFonts w:ascii="Verdana" w:hAnsi="Verdana"/>
        </w:rPr>
        <w:t>selgitasime</w:t>
      </w:r>
      <w:proofErr w:type="spellEnd"/>
      <w:r w:rsidR="001F0632">
        <w:rPr>
          <w:rFonts w:ascii="Verdana" w:hAnsi="Verdana"/>
        </w:rPr>
        <w:t xml:space="preserve"> </w:t>
      </w:r>
      <w:proofErr w:type="spellStart"/>
      <w:r w:rsidR="001F0632">
        <w:rPr>
          <w:rFonts w:ascii="Verdana" w:hAnsi="Verdana"/>
        </w:rPr>
        <w:t>oma</w:t>
      </w:r>
      <w:proofErr w:type="spellEnd"/>
      <w:r w:rsidR="001F0632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esiagses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seletuskirjas</w:t>
      </w:r>
      <w:proofErr w:type="spellEnd"/>
      <w:r>
        <w:rPr>
          <w:rFonts w:ascii="Verdana" w:hAnsi="Verdana"/>
        </w:rPr>
        <w:t xml:space="preserve">, </w:t>
      </w:r>
      <w:proofErr w:type="gramStart"/>
      <w:r w:rsidR="001F0632">
        <w:rPr>
          <w:rFonts w:ascii="Verdana" w:hAnsi="Verdana"/>
        </w:rPr>
        <w:t>et</w:t>
      </w:r>
      <w:proofErr w:type="gramEnd"/>
      <w:r w:rsidR="001F0632">
        <w:rPr>
          <w:rFonts w:ascii="Verdana" w:hAnsi="Verdana"/>
        </w:rPr>
        <w:t xml:space="preserve"> </w:t>
      </w:r>
      <w:proofErr w:type="spellStart"/>
      <w:r w:rsidR="000F48FB">
        <w:rPr>
          <w:rFonts w:ascii="Verdana" w:hAnsi="Verdana"/>
        </w:rPr>
        <w:t>garantiifondi</w:t>
      </w:r>
      <w:proofErr w:type="spellEnd"/>
      <w:r w:rsidR="000F48FB">
        <w:rPr>
          <w:rFonts w:ascii="Verdana" w:hAnsi="Verdana"/>
        </w:rPr>
        <w:t xml:space="preserve"> </w:t>
      </w:r>
      <w:proofErr w:type="spellStart"/>
      <w:r w:rsidR="000F48FB">
        <w:rPr>
          <w:rFonts w:ascii="Verdana" w:hAnsi="Verdana"/>
        </w:rPr>
        <w:t>regulatsioon</w:t>
      </w:r>
      <w:r w:rsidR="00360C34">
        <w:rPr>
          <w:rFonts w:ascii="Verdana" w:hAnsi="Verdana"/>
        </w:rPr>
        <w:t>i</w:t>
      </w:r>
      <w:proofErr w:type="spellEnd"/>
      <w:r w:rsidR="000F48FB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</w:t>
      </w:r>
      <w:r w:rsidR="00360C34">
        <w:rPr>
          <w:rFonts w:ascii="Verdana" w:hAnsi="Verdana"/>
        </w:rPr>
        <w:t>isu</w:t>
      </w:r>
      <w:proofErr w:type="spellEnd"/>
      <w:r>
        <w:rPr>
          <w:rFonts w:ascii="Verdana" w:hAnsi="Verdana"/>
        </w:rPr>
        <w:t xml:space="preserve"> </w:t>
      </w:r>
      <w:proofErr w:type="spellStart"/>
      <w:r w:rsidR="000F48FB">
        <w:rPr>
          <w:rFonts w:ascii="Verdana" w:hAnsi="Verdana"/>
        </w:rPr>
        <w:t>oluliselt</w:t>
      </w:r>
      <w:proofErr w:type="spellEnd"/>
      <w:r w:rsidR="000F48FB">
        <w:rPr>
          <w:rFonts w:ascii="Verdana" w:hAnsi="Verdana"/>
        </w:rPr>
        <w:t xml:space="preserve"> </w:t>
      </w:r>
      <w:proofErr w:type="spellStart"/>
      <w:r w:rsidR="000F48FB">
        <w:rPr>
          <w:rFonts w:ascii="Verdana" w:hAnsi="Verdana"/>
        </w:rPr>
        <w:t>ei</w:t>
      </w:r>
      <w:proofErr w:type="spellEnd"/>
      <w:r w:rsidR="000F48FB">
        <w:rPr>
          <w:rFonts w:ascii="Verdana" w:hAnsi="Verdana"/>
        </w:rPr>
        <w:t xml:space="preserve"> </w:t>
      </w:r>
      <w:proofErr w:type="spellStart"/>
      <w:r w:rsidR="000F48FB">
        <w:rPr>
          <w:rFonts w:ascii="Verdana" w:hAnsi="Verdana"/>
        </w:rPr>
        <w:t>muutu</w:t>
      </w:r>
      <w:proofErr w:type="spellEnd"/>
      <w:r w:rsidR="000F48FB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ning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valdavalt</w:t>
      </w:r>
      <w:proofErr w:type="spellEnd"/>
      <w:r w:rsidR="002B667E">
        <w:rPr>
          <w:rFonts w:ascii="Verdana" w:hAnsi="Verdana"/>
        </w:rPr>
        <w:t xml:space="preserve"> on </w:t>
      </w:r>
      <w:proofErr w:type="spellStart"/>
      <w:r w:rsidR="002B667E">
        <w:rPr>
          <w:rFonts w:ascii="Verdana" w:hAnsi="Verdana"/>
        </w:rPr>
        <w:t>tegemist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kõigi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Balti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börside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reeglistikku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ühtlustava</w:t>
      </w:r>
      <w:proofErr w:type="spellEnd"/>
      <w:r w:rsidR="002B667E">
        <w:rPr>
          <w:rFonts w:ascii="Verdana" w:hAnsi="Verdana"/>
        </w:rPr>
        <w:t xml:space="preserve"> </w:t>
      </w:r>
      <w:proofErr w:type="spellStart"/>
      <w:r w:rsidR="002B667E">
        <w:rPr>
          <w:rFonts w:ascii="Verdana" w:hAnsi="Verdana"/>
        </w:rPr>
        <w:t>redaktsiooniga</w:t>
      </w:r>
      <w:proofErr w:type="spellEnd"/>
      <w:r w:rsidR="00360C34">
        <w:rPr>
          <w:rFonts w:ascii="Verdana" w:hAnsi="Verdana"/>
        </w:rPr>
        <w:t xml:space="preserve">, </w:t>
      </w:r>
      <w:proofErr w:type="spellStart"/>
      <w:r w:rsidR="00360C34">
        <w:rPr>
          <w:rFonts w:ascii="Verdana" w:hAnsi="Verdana"/>
        </w:rPr>
        <w:t>milles</w:t>
      </w:r>
      <w:proofErr w:type="spellEnd"/>
      <w:r w:rsidR="00360C34">
        <w:rPr>
          <w:rFonts w:ascii="Verdana" w:hAnsi="Verdana"/>
        </w:rPr>
        <w:t xml:space="preserve"> on </w:t>
      </w:r>
      <w:proofErr w:type="spellStart"/>
      <w:r w:rsidR="00360C34">
        <w:rPr>
          <w:rFonts w:ascii="Verdana" w:hAnsi="Verdana"/>
        </w:rPr>
        <w:t>lisaks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Korra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regulatsiooni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integreerimisle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tehtud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sätete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ümberpaigutusi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ja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sõnastuse</w:t>
      </w:r>
      <w:proofErr w:type="spellEnd"/>
      <w:r w:rsidR="00360C34">
        <w:rPr>
          <w:rFonts w:ascii="Verdana" w:hAnsi="Verdana"/>
        </w:rPr>
        <w:t xml:space="preserve"> </w:t>
      </w:r>
      <w:proofErr w:type="spellStart"/>
      <w:r w:rsidR="00360C34">
        <w:rPr>
          <w:rFonts w:ascii="Verdana" w:hAnsi="Verdana"/>
        </w:rPr>
        <w:t>korrektiive</w:t>
      </w:r>
      <w:proofErr w:type="spellEnd"/>
    </w:p>
    <w:p w:rsidR="00360C34" w:rsidRDefault="00360C34" w:rsidP="00CD7CB9">
      <w:pPr>
        <w:jc w:val="both"/>
        <w:rPr>
          <w:rFonts w:ascii="Verdana" w:hAnsi="Verdana"/>
        </w:rPr>
      </w:pPr>
    </w:p>
    <w:p w:rsidR="00360C34" w:rsidRDefault="001F0632" w:rsidP="00CD7CB9">
      <w:pPr>
        <w:jc w:val="both"/>
        <w:rPr>
          <w:rFonts w:ascii="Verdana" w:hAnsi="Verdana"/>
          <w:lang w:val="et-EE"/>
        </w:rPr>
      </w:pPr>
      <w:proofErr w:type="spellStart"/>
      <w:r>
        <w:rPr>
          <w:rFonts w:ascii="Verdana" w:hAnsi="Verdana"/>
        </w:rPr>
        <w:t>Lisaks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eelnevalt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esitatud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inglisekeelsele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uuele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regulatsioonile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</w:t>
      </w:r>
      <w:r w:rsidR="00C82A6B">
        <w:rPr>
          <w:rFonts w:ascii="Verdana" w:hAnsi="Verdana"/>
        </w:rPr>
        <w:t>sitame</w:t>
      </w:r>
      <w:proofErr w:type="spellEnd"/>
      <w:r w:rsidR="00C82A6B">
        <w:rPr>
          <w:rFonts w:ascii="Verdana" w:hAnsi="Verdana"/>
        </w:rPr>
        <w:t xml:space="preserve"> </w:t>
      </w:r>
      <w:proofErr w:type="spellStart"/>
      <w:r w:rsidR="00C82A6B">
        <w:rPr>
          <w:rFonts w:ascii="Verdana" w:hAnsi="Verdana"/>
        </w:rPr>
        <w:t>Teile</w:t>
      </w:r>
      <w:proofErr w:type="spellEnd"/>
      <w:r w:rsidR="00C82A6B">
        <w:rPr>
          <w:rFonts w:ascii="Verdana" w:hAnsi="Verdana"/>
        </w:rPr>
        <w:t xml:space="preserve"> </w:t>
      </w:r>
      <w:proofErr w:type="spellStart"/>
      <w:r w:rsidR="00C82A6B">
        <w:rPr>
          <w:rFonts w:ascii="Verdana" w:hAnsi="Verdana"/>
        </w:rPr>
        <w:t>m</w:t>
      </w:r>
      <w:r w:rsidR="000F48FB">
        <w:rPr>
          <w:rFonts w:ascii="Verdana" w:hAnsi="Verdana"/>
        </w:rPr>
        <w:t>uudatused</w:t>
      </w:r>
      <w:proofErr w:type="spellEnd"/>
      <w:r w:rsidR="000F48FB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eesti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keeles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sealhulgas</w:t>
      </w:r>
      <w:proofErr w:type="spellEnd"/>
      <w:r>
        <w:rPr>
          <w:rFonts w:ascii="Verdana" w:hAnsi="Verdana"/>
        </w:rPr>
        <w:t xml:space="preserve"> </w:t>
      </w:r>
      <w:proofErr w:type="spellStart"/>
      <w:r w:rsidR="000F48FB" w:rsidRPr="000F48FB">
        <w:rPr>
          <w:rFonts w:ascii="Verdana" w:hAnsi="Verdana"/>
          <w:i/>
          <w:lang w:val="et-EE"/>
        </w:rPr>
        <w:t>track</w:t>
      </w:r>
      <w:r w:rsidR="000F48FB">
        <w:rPr>
          <w:rFonts w:ascii="Verdana" w:hAnsi="Verdana"/>
          <w:i/>
          <w:lang w:val="et-EE"/>
        </w:rPr>
        <w:t>ed</w:t>
      </w:r>
      <w:proofErr w:type="spellEnd"/>
      <w:r w:rsidR="000F48FB" w:rsidRPr="000F48FB">
        <w:rPr>
          <w:rFonts w:ascii="Verdana" w:hAnsi="Verdana"/>
          <w:i/>
          <w:lang w:val="et-EE"/>
        </w:rPr>
        <w:t xml:space="preserve"> </w:t>
      </w:r>
      <w:proofErr w:type="spellStart"/>
      <w:r w:rsidR="000F48FB" w:rsidRPr="000F48FB">
        <w:rPr>
          <w:rFonts w:ascii="Verdana" w:hAnsi="Verdana"/>
          <w:i/>
          <w:lang w:val="et-EE"/>
        </w:rPr>
        <w:t>changes</w:t>
      </w:r>
      <w:proofErr w:type="spellEnd"/>
      <w:r w:rsidR="000F48FB" w:rsidRPr="0076622A">
        <w:rPr>
          <w:rFonts w:ascii="Verdana" w:hAnsi="Verdana"/>
          <w:lang w:val="et-EE"/>
        </w:rPr>
        <w:t xml:space="preserve"> formaadis nähtavate muudatustega</w:t>
      </w:r>
      <w:r w:rsidR="005226E5">
        <w:rPr>
          <w:rFonts w:ascii="Verdana" w:hAnsi="Verdana"/>
          <w:lang w:val="et-EE"/>
        </w:rPr>
        <w:t xml:space="preserve"> </w:t>
      </w:r>
      <w:proofErr w:type="gramStart"/>
      <w:r w:rsidR="005226E5">
        <w:rPr>
          <w:rFonts w:ascii="Verdana" w:hAnsi="Verdana"/>
          <w:lang w:val="et-EE"/>
        </w:rPr>
        <w:t>koos</w:t>
      </w:r>
      <w:proofErr w:type="gramEnd"/>
      <w:r w:rsidR="005226E5">
        <w:rPr>
          <w:rFonts w:ascii="Verdana" w:hAnsi="Verdana"/>
          <w:lang w:val="et-EE"/>
        </w:rPr>
        <w:t xml:space="preserve"> teabega turuosaliste teavitamise ja nende hinnangu kohta.</w:t>
      </w:r>
    </w:p>
    <w:p w:rsidR="00360C34" w:rsidRDefault="00360C34" w:rsidP="00CD7CB9">
      <w:pPr>
        <w:jc w:val="both"/>
        <w:rPr>
          <w:rFonts w:ascii="Verdana" w:hAnsi="Verdana"/>
          <w:lang w:val="et-EE"/>
        </w:rPr>
      </w:pPr>
    </w:p>
    <w:p w:rsidR="00360C34" w:rsidRDefault="00360C34" w:rsidP="00CD7CB9">
      <w:pPr>
        <w:jc w:val="both"/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 xml:space="preserve">Asjassepuutuvaid turuosalisi (Börsi liikmeid) teavitati muudatustest detsembris 2012.a. </w:t>
      </w:r>
      <w:r w:rsidR="00574E3E">
        <w:rPr>
          <w:rFonts w:ascii="Verdana" w:hAnsi="Verdana"/>
          <w:lang w:val="et-EE"/>
        </w:rPr>
        <w:t xml:space="preserve">Lisatud on liikmete teavitamiseks kasutatud presentatsioon, millest enamik selgitab küll garantiifondi olemust ja kasutamist üldiselt, hõlmates kehtivat süsteemi, </w:t>
      </w:r>
      <w:r w:rsidR="00606370">
        <w:rPr>
          <w:rFonts w:ascii="Verdana" w:hAnsi="Verdana"/>
          <w:lang w:val="et-EE"/>
        </w:rPr>
        <w:t xml:space="preserve">mis kehtima jääb, </w:t>
      </w:r>
      <w:r w:rsidR="00574E3E">
        <w:rPr>
          <w:rFonts w:ascii="Verdana" w:hAnsi="Verdana"/>
          <w:lang w:val="et-EE"/>
        </w:rPr>
        <w:t xml:space="preserve">kuid eraldi on välja toodud ka muudatused (slaid 12). Liikmetelt saadud tagasiside oli kas neutraalne või positiivne. Lisaks toimusid veebruaris-märtsis 2013.a. kohtumised suuremate Börsi liikmetega </w:t>
      </w:r>
      <w:r w:rsidR="000C05A0">
        <w:rPr>
          <w:rFonts w:ascii="Verdana" w:hAnsi="Verdana"/>
          <w:lang w:val="et-EE"/>
        </w:rPr>
        <w:t>seoses</w:t>
      </w:r>
      <w:r w:rsidR="000C05A0">
        <w:rPr>
          <w:rFonts w:ascii="Verdana" w:hAnsi="Verdana"/>
          <w:lang w:val="et-EE"/>
        </w:rPr>
        <w:t xml:space="preserve"> </w:t>
      </w:r>
      <w:r w:rsidR="00574E3E">
        <w:rPr>
          <w:rFonts w:ascii="Verdana" w:hAnsi="Verdana"/>
          <w:lang w:val="et-EE"/>
        </w:rPr>
        <w:t>turutegemise muudatustega (kuupäevad on eraldi välja toodud turutegemisega seoses tehtud</w:t>
      </w:r>
      <w:r w:rsidR="000C05A0">
        <w:rPr>
          <w:rFonts w:ascii="Verdana" w:hAnsi="Verdana"/>
          <w:lang w:val="et-EE"/>
        </w:rPr>
        <w:t xml:space="preserve"> turuosaliste teavitamist kajastavas kokkuvõttes</w:t>
      </w:r>
      <w:r w:rsidR="00EE675D">
        <w:rPr>
          <w:rFonts w:ascii="Verdana" w:hAnsi="Verdana"/>
          <w:lang w:val="et-EE"/>
        </w:rPr>
        <w:t xml:space="preserve"> allpool</w:t>
      </w:r>
      <w:r w:rsidR="000C05A0">
        <w:rPr>
          <w:rFonts w:ascii="Verdana" w:hAnsi="Verdana"/>
          <w:lang w:val="et-EE"/>
        </w:rPr>
        <w:t>)</w:t>
      </w:r>
      <w:r w:rsidR="00574E3E">
        <w:rPr>
          <w:rFonts w:ascii="Verdana" w:hAnsi="Verdana"/>
          <w:lang w:val="et-EE"/>
        </w:rPr>
        <w:t>, kus ka garantiifondiga seotud muudatusi veelkord kajastati</w:t>
      </w:r>
      <w:r w:rsidR="000C05A0">
        <w:rPr>
          <w:rFonts w:ascii="Verdana" w:hAnsi="Verdana"/>
          <w:lang w:val="et-EE"/>
        </w:rPr>
        <w:t xml:space="preserve">. Liikmed kommentaare ei esitanud. Garantiifondi uus regulatsioon saadeti liikmetele  tutvumiseks 31. mail ning paluti neil oma küsimused ja kommentaarid esitada 7. </w:t>
      </w:r>
      <w:r w:rsidR="00606370">
        <w:rPr>
          <w:rFonts w:ascii="Verdana" w:hAnsi="Verdana"/>
          <w:lang w:val="et-EE"/>
        </w:rPr>
        <w:t>j</w:t>
      </w:r>
      <w:r w:rsidR="000C05A0">
        <w:rPr>
          <w:rFonts w:ascii="Verdana" w:hAnsi="Verdana"/>
          <w:lang w:val="et-EE"/>
        </w:rPr>
        <w:t>uunini, tagasisidet ei</w:t>
      </w:r>
      <w:r w:rsidR="00606370">
        <w:rPr>
          <w:rFonts w:ascii="Verdana" w:hAnsi="Verdana"/>
          <w:lang w:val="et-EE"/>
        </w:rPr>
        <w:t xml:space="preserve"> </w:t>
      </w:r>
      <w:r w:rsidR="00606370">
        <w:rPr>
          <w:rFonts w:ascii="Verdana" w:hAnsi="Verdana"/>
          <w:lang w:val="et-EE"/>
        </w:rPr>
        <w:t>laekunud</w:t>
      </w:r>
      <w:r w:rsidR="000C05A0">
        <w:rPr>
          <w:rFonts w:ascii="Verdana" w:hAnsi="Verdana"/>
          <w:lang w:val="et-EE"/>
        </w:rPr>
        <w:t>.</w:t>
      </w:r>
    </w:p>
    <w:p w:rsidR="00360C34" w:rsidRDefault="00360C34" w:rsidP="00CD7CB9">
      <w:pPr>
        <w:jc w:val="both"/>
        <w:rPr>
          <w:rFonts w:ascii="Verdana" w:hAnsi="Verdana"/>
          <w:lang w:val="et-EE"/>
        </w:rPr>
      </w:pPr>
    </w:p>
    <w:p w:rsidR="00360C34" w:rsidRDefault="00360C34" w:rsidP="00CD7CB9">
      <w:pPr>
        <w:jc w:val="both"/>
        <w:rPr>
          <w:rFonts w:ascii="Verdana" w:hAnsi="Verdana"/>
          <w:lang w:val="et-EE"/>
        </w:rPr>
      </w:pPr>
      <w:proofErr w:type="spellStart"/>
      <w:r w:rsidRPr="00574E3E">
        <w:rPr>
          <w:rFonts w:ascii="Verdana" w:hAnsi="Verdana"/>
          <w:i/>
          <w:lang w:val="et-EE"/>
        </w:rPr>
        <w:t>Tracked</w:t>
      </w:r>
      <w:proofErr w:type="spellEnd"/>
      <w:r w:rsidRPr="00574E3E">
        <w:rPr>
          <w:rFonts w:ascii="Verdana" w:hAnsi="Verdana"/>
          <w:i/>
          <w:lang w:val="et-EE"/>
        </w:rPr>
        <w:t xml:space="preserve"> </w:t>
      </w:r>
      <w:proofErr w:type="spellStart"/>
      <w:r w:rsidRPr="00574E3E">
        <w:rPr>
          <w:rFonts w:ascii="Verdana" w:hAnsi="Verdana"/>
          <w:i/>
          <w:lang w:val="et-EE"/>
        </w:rPr>
        <w:t>changes</w:t>
      </w:r>
      <w:proofErr w:type="spellEnd"/>
      <w:r>
        <w:rPr>
          <w:rFonts w:ascii="Verdana" w:hAnsi="Verdana"/>
          <w:lang w:val="et-EE"/>
        </w:rPr>
        <w:t xml:space="preserve"> versioonis oleme selguse huvides eraldi ära märkinud uues redaktsioonis esitatud sätete eelneva asukoha kas Reglemendi osas Arv</w:t>
      </w:r>
      <w:r w:rsidR="00574E3E">
        <w:rPr>
          <w:rFonts w:ascii="Verdana" w:hAnsi="Verdana"/>
          <w:lang w:val="et-EE"/>
        </w:rPr>
        <w:t>e</w:t>
      </w:r>
      <w:r>
        <w:rPr>
          <w:rFonts w:ascii="Verdana" w:hAnsi="Verdana"/>
          <w:lang w:val="et-EE"/>
        </w:rPr>
        <w:t>ldusreeglid või Korras</w:t>
      </w:r>
      <w:r w:rsidR="00606370">
        <w:rPr>
          <w:rFonts w:ascii="Verdana" w:hAnsi="Verdana"/>
          <w:lang w:val="et-EE"/>
        </w:rPr>
        <w:t xml:space="preserve">, samuti mõne lühiselgituse muudatuse kohta. </w:t>
      </w:r>
    </w:p>
    <w:p w:rsidR="00360C34" w:rsidRDefault="00360C34" w:rsidP="00CD7CB9">
      <w:pPr>
        <w:jc w:val="both"/>
        <w:rPr>
          <w:rFonts w:ascii="Verdana" w:hAnsi="Verdana"/>
          <w:lang w:val="et-EE"/>
        </w:rPr>
      </w:pPr>
    </w:p>
    <w:p w:rsidR="00CD7CB9" w:rsidRPr="005167DA" w:rsidRDefault="00CD7CB9" w:rsidP="00CD7CB9">
      <w:pPr>
        <w:jc w:val="both"/>
        <w:rPr>
          <w:rFonts w:ascii="Verdana" w:hAnsi="Verdana"/>
          <w:lang w:val="et-EE"/>
        </w:rPr>
      </w:pPr>
      <w:r w:rsidRPr="005167DA">
        <w:rPr>
          <w:rFonts w:ascii="Verdana" w:hAnsi="Verdana"/>
          <w:lang w:val="et-EE"/>
        </w:rPr>
        <w:t xml:space="preserve">Alljärgnevalt esitame lühidalt </w:t>
      </w:r>
      <w:r w:rsidR="001F0632">
        <w:rPr>
          <w:rFonts w:ascii="Verdana" w:hAnsi="Verdana"/>
          <w:lang w:val="et-EE"/>
        </w:rPr>
        <w:t xml:space="preserve">ka </w:t>
      </w:r>
      <w:r w:rsidRPr="005167DA">
        <w:rPr>
          <w:rFonts w:ascii="Verdana" w:hAnsi="Verdana"/>
          <w:lang w:val="et-EE"/>
        </w:rPr>
        <w:t>olulisemate muudatuste selgitused</w:t>
      </w:r>
      <w:r w:rsidR="001F0632">
        <w:rPr>
          <w:rFonts w:ascii="Verdana" w:hAnsi="Verdana"/>
          <w:lang w:val="et-EE"/>
        </w:rPr>
        <w:t>.</w:t>
      </w:r>
    </w:p>
    <w:p w:rsidR="00EA1CF9" w:rsidRDefault="00EA1CF9" w:rsidP="00606370">
      <w:pPr>
        <w:tabs>
          <w:tab w:val="left" w:pos="2124"/>
        </w:tabs>
        <w:jc w:val="both"/>
        <w:rPr>
          <w:rFonts w:ascii="Verdana" w:hAnsi="Verdana"/>
        </w:rPr>
      </w:pPr>
    </w:p>
    <w:p w:rsidR="00606370" w:rsidRPr="00606370" w:rsidRDefault="00606370" w:rsidP="00606370">
      <w:pPr>
        <w:tabs>
          <w:tab w:val="left" w:pos="2124"/>
        </w:tabs>
        <w:jc w:val="both"/>
        <w:rPr>
          <w:rFonts w:ascii="Verdana" w:hAnsi="Verdana"/>
        </w:rPr>
      </w:pPr>
    </w:p>
    <w:p w:rsidR="00EA1CF9" w:rsidRDefault="00EA1CF9" w:rsidP="00EA1CF9">
      <w:pPr>
        <w:pStyle w:val="ListParagraph"/>
        <w:tabs>
          <w:tab w:val="left" w:pos="2124"/>
        </w:tabs>
        <w:ind w:left="0"/>
        <w:jc w:val="both"/>
        <w:rPr>
          <w:rFonts w:ascii="Verdana" w:hAnsi="Verdana"/>
        </w:rPr>
      </w:pPr>
      <w:r w:rsidRPr="00EA1CF9">
        <w:rPr>
          <w:rFonts w:ascii="Verdana" w:hAnsi="Verdana"/>
          <w:b/>
        </w:rPr>
        <w:t>Garantiifondi moodustamise ja kasutamise reeglid</w:t>
      </w:r>
      <w:r>
        <w:rPr>
          <w:rFonts w:ascii="Verdana" w:hAnsi="Verdana"/>
          <w:b/>
        </w:rPr>
        <w:t xml:space="preserve"> (GR)</w:t>
      </w:r>
    </w:p>
    <w:p w:rsidR="00EC747F" w:rsidRDefault="00EC747F" w:rsidP="009E5641">
      <w:pPr>
        <w:pStyle w:val="BodyText"/>
        <w:jc w:val="both"/>
        <w:rPr>
          <w:i w:val="0"/>
        </w:rPr>
      </w:pPr>
    </w:p>
    <w:p w:rsidR="001B06AE" w:rsidRDefault="00FC4FD9" w:rsidP="001D2FE1">
      <w:pPr>
        <w:pStyle w:val="BodyTextIndent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 Lisatud on GR punkti 2.1.1 teine lõik alljärgnevas sõnastuses:</w:t>
      </w:r>
    </w:p>
    <w:p w:rsidR="00FC4FD9" w:rsidRPr="001D38CF" w:rsidRDefault="00FC4FD9" w:rsidP="00FC4FD9">
      <w:pPr>
        <w:pStyle w:val="BodyTextIndent"/>
        <w:jc w:val="both"/>
        <w:rPr>
          <w:u w:val="single"/>
        </w:rPr>
      </w:pPr>
    </w:p>
    <w:p w:rsidR="00FC4FD9" w:rsidRPr="00FC4FD9" w:rsidRDefault="00FC4FD9" w:rsidP="00FC4FD9">
      <w:pPr>
        <w:tabs>
          <w:tab w:val="num" w:pos="1080"/>
        </w:tabs>
        <w:ind w:left="1843"/>
        <w:jc w:val="both"/>
        <w:rPr>
          <w:rFonts w:ascii="Verdana" w:hAnsi="Verdana"/>
          <w:lang w:val="et-EE" w:eastAsia="et-EE"/>
        </w:rPr>
      </w:pPr>
      <w:r w:rsidRPr="00FC4FD9">
        <w:rPr>
          <w:rFonts w:ascii="Verdana" w:hAnsi="Verdana"/>
          <w:lang w:val="et-EE" w:eastAsia="et-EE"/>
        </w:rPr>
        <w:t>Esmase osamakse suurus sõltub sellest, mitme Balti börsil liikmestaatus omandatakse. Esmase osamakse miinimumsumma kogumis on 5000 eurot (miinimumosamakse)</w:t>
      </w:r>
      <w:r>
        <w:rPr>
          <w:rFonts w:ascii="Verdana" w:hAnsi="Verdana"/>
          <w:lang w:val="et-EE" w:eastAsia="et-EE"/>
        </w:rPr>
        <w:t xml:space="preserve">. </w:t>
      </w:r>
      <w:r w:rsidRPr="00FC4FD9">
        <w:rPr>
          <w:rFonts w:ascii="Verdana" w:hAnsi="Verdana"/>
          <w:lang w:val="et-EE" w:eastAsia="et-EE"/>
        </w:rPr>
        <w:t xml:space="preserve">Liikmestaatuse </w:t>
      </w:r>
      <w:r w:rsidRPr="00FC4FD9">
        <w:rPr>
          <w:rFonts w:ascii="Verdana" w:hAnsi="Verdana"/>
          <w:lang w:val="et-EE" w:eastAsia="et-EE"/>
        </w:rPr>
        <w:lastRenderedPageBreak/>
        <w:t xml:space="preserve">omandamisel jagatakse see proportsionaalselt sõltuvalt sellest, mitmel Balti börsil liikmestaatus omandatakse; seega juhul, kui liige omab või taotleb liikmelisust ainult Börsil (ühel Balti börsil), on esmase osamakse suuruseks Garantiifondi 5000 eurot; juhul, kui liige omab või taotleb liikmelisust kahel (2) Balti börsil, jagatakse </w:t>
      </w:r>
      <w:r>
        <w:rPr>
          <w:rFonts w:ascii="Verdana" w:hAnsi="Verdana"/>
          <w:lang w:val="et-EE" w:eastAsia="et-EE"/>
        </w:rPr>
        <w:t>miin</w:t>
      </w:r>
      <w:r w:rsidRPr="00FC4FD9">
        <w:rPr>
          <w:rFonts w:ascii="Verdana" w:hAnsi="Verdana"/>
          <w:lang w:val="et-EE" w:eastAsia="et-EE"/>
        </w:rPr>
        <w:t xml:space="preserve">imumosamakse kaheks ning esmase osamakse suuruseks Garantiifondi on 2500 eurot; ning juhul, kui liige omab või taotleb liikmelisust kõigil kolmel (3) </w:t>
      </w:r>
      <w:proofErr w:type="spellStart"/>
      <w:r w:rsidRPr="00FC4FD9">
        <w:rPr>
          <w:rFonts w:ascii="Verdana" w:hAnsi="Verdana"/>
          <w:lang w:val="et-EE" w:eastAsia="et-EE"/>
        </w:rPr>
        <w:t>Bati</w:t>
      </w:r>
      <w:proofErr w:type="spellEnd"/>
      <w:r w:rsidRPr="00FC4FD9">
        <w:rPr>
          <w:rFonts w:ascii="Verdana" w:hAnsi="Verdana"/>
          <w:lang w:val="et-EE" w:eastAsia="et-EE"/>
        </w:rPr>
        <w:t xml:space="preserve"> börsil, jagatakse miinimumosamakse kolmeks ning esmase osamakse suuruseks on 1668 eurot Kodubörsi garantiifondi ja 1666 eurot teiste Balti börside garantiifondidesse.</w:t>
      </w:r>
    </w:p>
    <w:p w:rsidR="00207BE1" w:rsidRPr="0082347F" w:rsidRDefault="00207BE1" w:rsidP="0082347F">
      <w:pPr>
        <w:tabs>
          <w:tab w:val="num" w:pos="709"/>
          <w:tab w:val="left" w:pos="2124"/>
        </w:tabs>
        <w:jc w:val="both"/>
        <w:rPr>
          <w:rFonts w:ascii="Verdana" w:hAnsi="Verdana"/>
          <w:bCs/>
        </w:rPr>
      </w:pPr>
    </w:p>
    <w:p w:rsidR="001D2FE1" w:rsidRDefault="002A5A4D" w:rsidP="001D2FE1">
      <w:pPr>
        <w:pStyle w:val="ListParagraph"/>
        <w:tabs>
          <w:tab w:val="num" w:pos="709"/>
          <w:tab w:val="left" w:pos="2124"/>
        </w:tabs>
        <w:ind w:left="709"/>
        <w:jc w:val="both"/>
        <w:rPr>
          <w:rFonts w:ascii="Verdana" w:hAnsi="Verdana"/>
          <w:bCs/>
        </w:rPr>
      </w:pPr>
      <w:r w:rsidRPr="002A5A4D">
        <w:rPr>
          <w:rFonts w:ascii="Verdana" w:hAnsi="Verdana"/>
          <w:bCs/>
        </w:rPr>
        <w:t xml:space="preserve">Selgitus: </w:t>
      </w:r>
      <w:r w:rsidRPr="002A5A4D">
        <w:rPr>
          <w:rFonts w:ascii="Verdana" w:hAnsi="Verdana"/>
          <w:bCs/>
        </w:rPr>
        <w:tab/>
      </w:r>
      <w:r w:rsidR="001D2FE1">
        <w:rPr>
          <w:rFonts w:ascii="Verdana" w:hAnsi="Verdana"/>
          <w:bCs/>
        </w:rPr>
        <w:t>Muudatuse</w:t>
      </w:r>
      <w:r w:rsidR="00D24C61">
        <w:rPr>
          <w:rFonts w:ascii="Verdana" w:hAnsi="Verdana"/>
          <w:bCs/>
        </w:rPr>
        <w:t xml:space="preserve"> eesmärk on </w:t>
      </w:r>
      <w:r w:rsidR="00FC4FD9">
        <w:rPr>
          <w:rFonts w:ascii="Verdana" w:hAnsi="Verdana"/>
          <w:bCs/>
        </w:rPr>
        <w:t>kajastada Reglemendis selgelt praegukehtiv süsteem, mis on hetkel põhistatud nii Reglemendis, Korras, Koostöölepingus kui ka nende alusel tuletatavas arvutusmetoodikas</w:t>
      </w:r>
      <w:r w:rsidR="009435AA">
        <w:rPr>
          <w:rFonts w:ascii="Verdana" w:hAnsi="Verdana"/>
          <w:bCs/>
        </w:rPr>
        <w:t xml:space="preserve"> kokku</w:t>
      </w:r>
      <w:r w:rsidR="00FC4FD9">
        <w:rPr>
          <w:rFonts w:ascii="Verdana" w:hAnsi="Verdana"/>
          <w:bCs/>
        </w:rPr>
        <w:t xml:space="preserve">. Börs on veendunud, et sissemaksete suurus peab olema mitte tuletatav erinevatest dokumentidest ja metoodikatest, vaid olema selgelt kajastatud turu reglemendi tasandil. </w:t>
      </w:r>
    </w:p>
    <w:p w:rsidR="00FC4FD9" w:rsidRDefault="00FC4FD9" w:rsidP="001D2FE1">
      <w:pPr>
        <w:pStyle w:val="ListParagraph"/>
        <w:tabs>
          <w:tab w:val="num" w:pos="709"/>
          <w:tab w:val="left" w:pos="2124"/>
        </w:tabs>
        <w:ind w:left="709"/>
        <w:jc w:val="both"/>
        <w:rPr>
          <w:rFonts w:ascii="Verdana" w:hAnsi="Verdana"/>
          <w:bCs/>
        </w:rPr>
      </w:pPr>
    </w:p>
    <w:p w:rsidR="00FC4FD9" w:rsidRDefault="00FC4FD9" w:rsidP="00FC4FD9">
      <w:pPr>
        <w:pStyle w:val="BodyText"/>
        <w:jc w:val="both"/>
        <w:rPr>
          <w:i w:val="0"/>
        </w:rPr>
      </w:pPr>
    </w:p>
    <w:p w:rsidR="00FC4FD9" w:rsidRDefault="00FC4FD9" w:rsidP="00FC4FD9">
      <w:pPr>
        <w:pStyle w:val="BodyTextIndent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Lisatud on </w:t>
      </w:r>
      <w:r>
        <w:rPr>
          <w:u w:val="single"/>
        </w:rPr>
        <w:t>GR punkti</w:t>
      </w:r>
      <w:r>
        <w:rPr>
          <w:u w:val="single"/>
        </w:rPr>
        <w:t xml:space="preserve"> 2.8 alljärgnevas sõnastuses</w:t>
      </w:r>
      <w:r>
        <w:rPr>
          <w:u w:val="single"/>
        </w:rPr>
        <w:t>:</w:t>
      </w:r>
    </w:p>
    <w:p w:rsidR="00FC4FD9" w:rsidRPr="001D38CF" w:rsidRDefault="00FC4FD9" w:rsidP="00FC4FD9">
      <w:pPr>
        <w:pStyle w:val="BodyTextIndent"/>
        <w:jc w:val="both"/>
        <w:rPr>
          <w:u w:val="single"/>
        </w:rPr>
      </w:pPr>
    </w:p>
    <w:p w:rsidR="00FC4FD9" w:rsidRPr="00FC4FD9" w:rsidRDefault="00FC4FD9" w:rsidP="00FC4FD9">
      <w:pPr>
        <w:ind w:left="1843" w:hanging="992"/>
        <w:jc w:val="both"/>
        <w:rPr>
          <w:rFonts w:ascii="Verdana" w:hAnsi="Verdana"/>
          <w:lang w:val="et-EE" w:eastAsia="et-EE"/>
        </w:rPr>
      </w:pPr>
      <w:r w:rsidRPr="00FC4FD9">
        <w:rPr>
          <w:rFonts w:ascii="Verdana" w:hAnsi="Verdana"/>
          <w:lang w:val="et-EE" w:eastAsia="et-EE"/>
        </w:rPr>
        <w:t xml:space="preserve">2.8. </w:t>
      </w:r>
      <w:r w:rsidRPr="00FC4FD9">
        <w:rPr>
          <w:rFonts w:ascii="Verdana" w:hAnsi="Verdana"/>
          <w:lang w:val="et-EE" w:eastAsia="et-EE"/>
        </w:rPr>
        <w:tab/>
        <w:t>Juhul, kui Börsi liige ei ole teinud Börsi poolt kehtestatud erakorralist lisaosamakset (2.1.3.) Garantiifondi või Börsi poolt õigea</w:t>
      </w:r>
      <w:r>
        <w:rPr>
          <w:rFonts w:ascii="Verdana" w:hAnsi="Verdana"/>
          <w:lang w:val="et-EE" w:eastAsia="et-EE"/>
        </w:rPr>
        <w:t>e</w:t>
      </w:r>
      <w:r w:rsidRPr="00FC4FD9">
        <w:rPr>
          <w:rFonts w:ascii="Verdana" w:hAnsi="Verdana"/>
          <w:lang w:val="et-EE" w:eastAsia="et-EE"/>
        </w:rPr>
        <w:t>gselt arvestatud perioodilist osamakset (2.1.2), on Börsi juhatusel õigus võtta tarvitusele järgmised abinõud:</w:t>
      </w:r>
    </w:p>
    <w:p w:rsidR="00FC4FD9" w:rsidRPr="00FC4FD9" w:rsidRDefault="00FC4FD9" w:rsidP="00FC4FD9">
      <w:pPr>
        <w:ind w:left="2552" w:hanging="709"/>
        <w:jc w:val="both"/>
        <w:rPr>
          <w:rFonts w:ascii="Verdana" w:hAnsi="Verdana"/>
          <w:lang w:val="et-EE" w:eastAsia="et-EE"/>
        </w:rPr>
      </w:pPr>
    </w:p>
    <w:p w:rsidR="00FC4FD9" w:rsidRPr="00FC4FD9" w:rsidRDefault="00FC4FD9" w:rsidP="00FC4FD9">
      <w:pPr>
        <w:ind w:left="2552" w:hanging="709"/>
        <w:jc w:val="both"/>
        <w:rPr>
          <w:rFonts w:ascii="Verdana" w:hAnsi="Verdana"/>
          <w:lang w:val="et-EE" w:eastAsia="et-EE"/>
        </w:rPr>
      </w:pPr>
      <w:r w:rsidRPr="00FC4FD9">
        <w:rPr>
          <w:rFonts w:ascii="Verdana" w:hAnsi="Verdana"/>
          <w:lang w:val="et-EE" w:eastAsia="et-EE"/>
        </w:rPr>
        <w:t>2.8.1. nõuda Börsi liikmelt viivitamatu perioodilise või erakorralise osamakse tegemist Garantiifondi;</w:t>
      </w:r>
    </w:p>
    <w:p w:rsidR="00FC4FD9" w:rsidRPr="00FC4FD9" w:rsidRDefault="00FC4FD9" w:rsidP="00FC4FD9">
      <w:pPr>
        <w:ind w:left="2552" w:hanging="709"/>
        <w:jc w:val="both"/>
        <w:rPr>
          <w:rFonts w:ascii="Verdana" w:hAnsi="Verdana"/>
          <w:lang w:val="et-EE" w:eastAsia="et-EE"/>
        </w:rPr>
      </w:pPr>
      <w:r w:rsidRPr="00FC4FD9">
        <w:rPr>
          <w:rFonts w:ascii="Verdana" w:hAnsi="Verdana"/>
          <w:lang w:val="et-EE" w:eastAsia="et-EE"/>
        </w:rPr>
        <w:t>2.8.2. peatada täielikult või osaliselt Börsi liikme kauplemine kuni ülalnimetatud osamakse tasumiseni Garantiifondi;</w:t>
      </w:r>
    </w:p>
    <w:p w:rsidR="00FC4FD9" w:rsidRPr="00FC4FD9" w:rsidRDefault="00FC4FD9" w:rsidP="00FC4FD9">
      <w:pPr>
        <w:ind w:left="2552" w:hanging="709"/>
        <w:jc w:val="both"/>
        <w:rPr>
          <w:rFonts w:ascii="Verdana" w:hAnsi="Verdana"/>
          <w:lang w:val="et-EE" w:eastAsia="et-EE"/>
        </w:rPr>
      </w:pPr>
      <w:r w:rsidRPr="00FC4FD9">
        <w:rPr>
          <w:rFonts w:ascii="Verdana" w:hAnsi="Verdana"/>
          <w:lang w:val="et-EE" w:eastAsia="et-EE"/>
        </w:rPr>
        <w:t xml:space="preserve">2.8.3. võtta tarvitusele muud meetmed (näiteks nõuda deposiiti krediidiasutuses või muu tagatise seadmist). </w:t>
      </w:r>
    </w:p>
    <w:p w:rsidR="00FC4FD9" w:rsidRPr="0082347F" w:rsidRDefault="00FC4FD9" w:rsidP="00FC4FD9">
      <w:pPr>
        <w:tabs>
          <w:tab w:val="num" w:pos="709"/>
          <w:tab w:val="left" w:pos="2124"/>
        </w:tabs>
        <w:jc w:val="both"/>
        <w:rPr>
          <w:rFonts w:ascii="Verdana" w:hAnsi="Verdana"/>
          <w:bCs/>
        </w:rPr>
      </w:pPr>
    </w:p>
    <w:p w:rsidR="00FC4FD9" w:rsidRDefault="00FC4FD9" w:rsidP="00FC4FD9">
      <w:pPr>
        <w:pStyle w:val="ListParagraph"/>
        <w:tabs>
          <w:tab w:val="num" w:pos="709"/>
          <w:tab w:val="left" w:pos="2124"/>
        </w:tabs>
        <w:ind w:left="709"/>
        <w:jc w:val="both"/>
        <w:rPr>
          <w:rFonts w:ascii="Verdana" w:hAnsi="Verdana"/>
          <w:bCs/>
        </w:rPr>
      </w:pPr>
      <w:r w:rsidRPr="002A5A4D">
        <w:rPr>
          <w:rFonts w:ascii="Verdana" w:hAnsi="Verdana"/>
          <w:bCs/>
        </w:rPr>
        <w:t xml:space="preserve">Selgitus: </w:t>
      </w:r>
      <w:r w:rsidRPr="002A5A4D">
        <w:rPr>
          <w:rFonts w:ascii="Verdana" w:hAnsi="Verdana"/>
          <w:bCs/>
        </w:rPr>
        <w:tab/>
      </w:r>
      <w:r>
        <w:rPr>
          <w:rFonts w:ascii="Verdana" w:hAnsi="Verdana"/>
          <w:bCs/>
        </w:rPr>
        <w:t>Muudatuse eesmärk on kajastada Reglemendis selgelt</w:t>
      </w:r>
      <w:r>
        <w:rPr>
          <w:rFonts w:ascii="Verdana" w:hAnsi="Verdana"/>
          <w:bCs/>
        </w:rPr>
        <w:t xml:space="preserve"> Börsi õigused juhul, kui Börsi liige oma kohustusi ei täida. Nimetatud õigused on Börsil küll ka praegu (2.8.2. üldine õigus</w:t>
      </w:r>
      <w:r w:rsidR="00044BB5">
        <w:rPr>
          <w:rFonts w:ascii="Verdana" w:hAnsi="Verdana"/>
          <w:bCs/>
        </w:rPr>
        <w:t>, mis on sätestatud Reglemendi osas</w:t>
      </w:r>
      <w:r>
        <w:rPr>
          <w:rFonts w:ascii="Verdana" w:hAnsi="Verdana"/>
          <w:bCs/>
        </w:rPr>
        <w:t xml:space="preserve"> Järelevalve</w:t>
      </w:r>
      <w:r w:rsidR="00044BB5">
        <w:rPr>
          <w:rFonts w:ascii="Verdana" w:hAnsi="Verdana"/>
          <w:bCs/>
        </w:rPr>
        <w:t xml:space="preserve"> ning 2.8.3. õigus, mis on sätestatud osas Arveldusreeglid), kuid selguse huvides on nad eraldi üheselt välja toodud ka käesolevas osas</w:t>
      </w:r>
      <w:r>
        <w:rPr>
          <w:rFonts w:ascii="Verdana" w:hAnsi="Verdana"/>
          <w:bCs/>
        </w:rPr>
        <w:t xml:space="preserve">. </w:t>
      </w:r>
      <w:r w:rsidR="00044BB5">
        <w:rPr>
          <w:rFonts w:ascii="Verdana" w:hAnsi="Verdana"/>
          <w:bCs/>
        </w:rPr>
        <w:t xml:space="preserve">Ka ei olnud nimetatud õigusi senini ühetaolisena teistel Balti börsidel. </w:t>
      </w:r>
    </w:p>
    <w:p w:rsidR="002A5A4D" w:rsidRPr="002A5A4D" w:rsidRDefault="002A5A4D" w:rsidP="001B06AE">
      <w:pPr>
        <w:pStyle w:val="ListParagraph"/>
        <w:ind w:left="2138"/>
        <w:jc w:val="both"/>
        <w:rPr>
          <w:rFonts w:ascii="Verdana" w:hAnsi="Verdana"/>
        </w:rPr>
      </w:pPr>
    </w:p>
    <w:p w:rsidR="002A5A4D" w:rsidRPr="002A5A4D" w:rsidRDefault="002A5A4D" w:rsidP="001B06AE">
      <w:pPr>
        <w:pStyle w:val="ListParagraph"/>
        <w:ind w:left="2138"/>
        <w:jc w:val="both"/>
        <w:rPr>
          <w:rFonts w:ascii="Verdana" w:hAnsi="Verdana"/>
        </w:rPr>
      </w:pPr>
    </w:p>
    <w:p w:rsidR="00044BB5" w:rsidRDefault="00044BB5" w:rsidP="00044BB5">
      <w:pPr>
        <w:pStyle w:val="BodyText"/>
        <w:jc w:val="both"/>
        <w:rPr>
          <w:i w:val="0"/>
        </w:rPr>
      </w:pPr>
    </w:p>
    <w:p w:rsidR="00044BB5" w:rsidRDefault="00044BB5" w:rsidP="00044BB5">
      <w:pPr>
        <w:pStyle w:val="BodyTextIndent"/>
        <w:ind w:left="360" w:firstLine="0"/>
        <w:jc w:val="both"/>
        <w:rPr>
          <w:u w:val="single"/>
        </w:rPr>
      </w:pPr>
      <w:r>
        <w:rPr>
          <w:u w:val="single"/>
        </w:rPr>
        <w:t>3.</w:t>
      </w:r>
      <w:r>
        <w:rPr>
          <w:u w:val="single"/>
        </w:rPr>
        <w:t xml:space="preserve"> </w:t>
      </w:r>
      <w:r>
        <w:rPr>
          <w:u w:val="single"/>
        </w:rPr>
        <w:t>Muudetud</w:t>
      </w:r>
      <w:r>
        <w:rPr>
          <w:u w:val="single"/>
        </w:rPr>
        <w:t xml:space="preserve"> on GR punkti</w:t>
      </w:r>
      <w:r>
        <w:rPr>
          <w:u w:val="single"/>
        </w:rPr>
        <w:t xml:space="preserve"> 4.4</w:t>
      </w:r>
      <w:r>
        <w:rPr>
          <w:u w:val="single"/>
        </w:rPr>
        <w:t xml:space="preserve"> </w:t>
      </w:r>
      <w:r>
        <w:rPr>
          <w:u w:val="single"/>
        </w:rPr>
        <w:t>(endine AR 5.4.3) sõnastust alljärgnevalt</w:t>
      </w:r>
      <w:r>
        <w:rPr>
          <w:u w:val="single"/>
        </w:rPr>
        <w:t>:</w:t>
      </w:r>
    </w:p>
    <w:p w:rsidR="00044BB5" w:rsidRPr="001D38CF" w:rsidRDefault="00044BB5" w:rsidP="00044BB5">
      <w:pPr>
        <w:pStyle w:val="BodyTextIndent"/>
        <w:jc w:val="both"/>
        <w:rPr>
          <w:u w:val="single"/>
        </w:rPr>
      </w:pPr>
    </w:p>
    <w:p w:rsidR="00044BB5" w:rsidRPr="00044BB5" w:rsidRDefault="00044BB5" w:rsidP="00044BB5">
      <w:pPr>
        <w:tabs>
          <w:tab w:val="num" w:pos="1080"/>
        </w:tabs>
        <w:ind w:left="1843"/>
        <w:jc w:val="both"/>
        <w:rPr>
          <w:rFonts w:ascii="Verdana" w:hAnsi="Verdana"/>
          <w:iCs/>
          <w:lang w:eastAsia="et-EE"/>
        </w:rPr>
      </w:pPr>
      <w:r>
        <w:rPr>
          <w:rFonts w:ascii="Verdana" w:hAnsi="Verdana"/>
          <w:iCs/>
          <w:lang w:eastAsia="et-EE"/>
        </w:rPr>
        <w:t>4.4</w:t>
      </w:r>
      <w:r w:rsidRPr="00044BB5">
        <w:rPr>
          <w:rFonts w:ascii="Verdana" w:hAnsi="Verdana"/>
          <w:iCs/>
          <w:lang w:eastAsia="et-EE"/>
        </w:rPr>
        <w:t>.</w:t>
      </w:r>
      <w:r w:rsidRPr="00044BB5">
        <w:rPr>
          <w:rFonts w:ascii="Verdana" w:hAnsi="Verdana"/>
          <w:iCs/>
          <w:lang w:eastAsia="et-EE"/>
        </w:rPr>
        <w:tab/>
      </w:r>
      <w:proofErr w:type="spellStart"/>
      <w:r w:rsidRPr="00044BB5">
        <w:rPr>
          <w:rFonts w:ascii="Verdana" w:hAnsi="Verdana"/>
          <w:iCs/>
          <w:strike/>
          <w:lang w:eastAsia="et-EE"/>
        </w:rPr>
        <w:t>Punktides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5.4.1 </w:t>
      </w:r>
      <w:proofErr w:type="spellStart"/>
      <w:proofErr w:type="gramStart"/>
      <w:r w:rsidRPr="00044BB5">
        <w:rPr>
          <w:rFonts w:ascii="Verdana" w:hAnsi="Verdana"/>
          <w:iCs/>
          <w:strike/>
          <w:lang w:eastAsia="et-EE"/>
        </w:rPr>
        <w:t>ja</w:t>
      </w:r>
      <w:proofErr w:type="spellEnd"/>
      <w:proofErr w:type="gramEnd"/>
      <w:r w:rsidRPr="00044BB5">
        <w:rPr>
          <w:rFonts w:ascii="Verdana" w:hAnsi="Verdana"/>
          <w:iCs/>
          <w:strike/>
          <w:lang w:eastAsia="et-EE"/>
        </w:rPr>
        <w:t xml:space="preserve"> 5.4.2 </w:t>
      </w:r>
      <w:proofErr w:type="spellStart"/>
      <w:r w:rsidRPr="00044BB5">
        <w:rPr>
          <w:rFonts w:ascii="Verdana" w:hAnsi="Verdana"/>
          <w:iCs/>
          <w:strike/>
          <w:lang w:eastAsia="et-EE"/>
        </w:rPr>
        <w:t>nimetatud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juhtudel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kasutab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Börs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kasutab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G</w:t>
      </w:r>
      <w:r w:rsidRPr="00044BB5">
        <w:rPr>
          <w:rFonts w:ascii="Verdana" w:hAnsi="Verdana"/>
          <w:iCs/>
          <w:strike/>
          <w:lang w:eastAsia="et-EE"/>
        </w:rPr>
        <w:t>g</w:t>
      </w:r>
      <w:r w:rsidRPr="00044BB5">
        <w:rPr>
          <w:rFonts w:ascii="Verdana" w:hAnsi="Verdana"/>
          <w:iCs/>
          <w:lang w:eastAsia="et-EE"/>
        </w:rPr>
        <w:t>arantiifondi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vahendeid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Reglemendi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käesolevas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osas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sätestatud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korra</w:t>
      </w:r>
      <w:r>
        <w:rPr>
          <w:rFonts w:ascii="Verdana" w:hAnsi="Verdana"/>
          <w:iCs/>
          <w:lang w:eastAsia="et-EE"/>
        </w:rPr>
        <w:t>s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, et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tagada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tehingute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täitmine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.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Börs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otsustab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Garantiifondi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vahendite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kasutamise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niipea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kui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võimalik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kahe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(2)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nädala</w:t>
      </w:r>
      <w:proofErr w:type="spellEnd"/>
      <w:r w:rsidRPr="00044BB5">
        <w:rPr>
          <w:rFonts w:ascii="Verdana" w:hAnsi="Verdana"/>
          <w:iCs/>
          <w:color w:val="FF0000"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color w:val="FF0000"/>
          <w:lang w:eastAsia="et-EE"/>
        </w:rPr>
        <w:t>jooksul</w:t>
      </w:r>
      <w:r w:rsidRPr="00044BB5">
        <w:rPr>
          <w:rFonts w:ascii="Verdana" w:hAnsi="Verdana"/>
          <w:iCs/>
          <w:strike/>
          <w:lang w:eastAsia="et-EE"/>
        </w:rPr>
        <w:t>s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selliselt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, </w:t>
      </w:r>
      <w:proofErr w:type="gramStart"/>
      <w:r w:rsidRPr="00044BB5">
        <w:rPr>
          <w:rFonts w:ascii="Verdana" w:hAnsi="Verdana"/>
          <w:iCs/>
          <w:strike/>
          <w:lang w:eastAsia="et-EE"/>
        </w:rPr>
        <w:t>et</w:t>
      </w:r>
      <w:proofErr w:type="gram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tagada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tehingu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realiseerimine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hiljemalt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kolme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pangapäeva</w:t>
      </w:r>
      <w:proofErr w:type="spellEnd"/>
      <w:r w:rsidRPr="00044BB5">
        <w:rPr>
          <w:rFonts w:ascii="Verdana" w:hAnsi="Verdana"/>
          <w:iCs/>
          <w:strike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strike/>
          <w:lang w:eastAsia="et-EE"/>
        </w:rPr>
        <w:t>jooksul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arvates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tehingule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algselt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määratud</w:t>
      </w:r>
      <w:proofErr w:type="spellEnd"/>
      <w:r w:rsidRPr="00044BB5">
        <w:rPr>
          <w:rFonts w:ascii="Verdana" w:hAnsi="Verdana"/>
          <w:iCs/>
          <w:lang w:eastAsia="et-EE"/>
        </w:rPr>
        <w:t xml:space="preserve"> </w:t>
      </w:r>
      <w:proofErr w:type="spellStart"/>
      <w:r w:rsidRPr="00044BB5">
        <w:rPr>
          <w:rFonts w:ascii="Verdana" w:hAnsi="Verdana"/>
          <w:iCs/>
          <w:lang w:eastAsia="et-EE"/>
        </w:rPr>
        <w:t>väärtuspäevast</w:t>
      </w:r>
      <w:proofErr w:type="spellEnd"/>
      <w:r w:rsidRPr="00044BB5">
        <w:rPr>
          <w:rFonts w:ascii="Verdana" w:hAnsi="Verdana"/>
          <w:iCs/>
          <w:lang w:eastAsia="et-EE"/>
        </w:rPr>
        <w:t>.</w:t>
      </w:r>
    </w:p>
    <w:p w:rsidR="00044BB5" w:rsidRPr="00FC4FD9" w:rsidRDefault="00044BB5" w:rsidP="00044BB5">
      <w:pPr>
        <w:tabs>
          <w:tab w:val="num" w:pos="1080"/>
        </w:tabs>
        <w:ind w:left="1843"/>
        <w:jc w:val="both"/>
        <w:rPr>
          <w:rFonts w:ascii="Verdana" w:hAnsi="Verdana"/>
          <w:lang w:val="et-EE" w:eastAsia="et-EE"/>
        </w:rPr>
      </w:pPr>
    </w:p>
    <w:p w:rsidR="00044BB5" w:rsidRPr="0082347F" w:rsidRDefault="00044BB5" w:rsidP="00044BB5">
      <w:pPr>
        <w:tabs>
          <w:tab w:val="num" w:pos="709"/>
          <w:tab w:val="left" w:pos="2124"/>
        </w:tabs>
        <w:jc w:val="both"/>
        <w:rPr>
          <w:rFonts w:ascii="Verdana" w:hAnsi="Verdana"/>
          <w:bCs/>
        </w:rPr>
      </w:pPr>
    </w:p>
    <w:p w:rsidR="00044BB5" w:rsidRDefault="00044BB5" w:rsidP="00044BB5">
      <w:pPr>
        <w:pStyle w:val="ListParagraph"/>
        <w:tabs>
          <w:tab w:val="num" w:pos="709"/>
          <w:tab w:val="left" w:pos="2124"/>
        </w:tabs>
        <w:ind w:left="709"/>
        <w:jc w:val="both"/>
        <w:rPr>
          <w:rFonts w:ascii="Verdana" w:hAnsi="Verdana"/>
          <w:bCs/>
        </w:rPr>
      </w:pPr>
      <w:r w:rsidRPr="002A5A4D">
        <w:rPr>
          <w:rFonts w:ascii="Verdana" w:hAnsi="Verdana"/>
          <w:bCs/>
        </w:rPr>
        <w:t xml:space="preserve">Selgitus: </w:t>
      </w:r>
      <w:r w:rsidRPr="002A5A4D">
        <w:rPr>
          <w:rFonts w:ascii="Verdana" w:hAnsi="Verdana"/>
          <w:bCs/>
        </w:rPr>
        <w:tab/>
      </w:r>
      <w:r w:rsidR="00E37EBC">
        <w:rPr>
          <w:rFonts w:ascii="Verdana" w:hAnsi="Verdana"/>
          <w:bCs/>
        </w:rPr>
        <w:t xml:space="preserve">Suurim sisuline muudatus garantiifondi regulatsioonis, mille </w:t>
      </w:r>
      <w:r>
        <w:rPr>
          <w:rFonts w:ascii="Verdana" w:hAnsi="Verdana"/>
          <w:bCs/>
        </w:rPr>
        <w:t xml:space="preserve">eesmärk on </w:t>
      </w:r>
      <w:r w:rsidR="00E37EBC">
        <w:rPr>
          <w:rFonts w:ascii="Verdana" w:hAnsi="Verdana"/>
          <w:bCs/>
        </w:rPr>
        <w:t xml:space="preserve">anda Börsile vajadusel pikem tähtaeg garantiifondi vahendite kasutamiseks. Senine kolmepäevane tähtaeg on asendatud kahenädalasega. Muudatuse tingis praktiline vajadus, mille on esile toonud eelnevad garantiifondi kasutamise juhud, sealhulgas eriti AB </w:t>
      </w:r>
      <w:proofErr w:type="spellStart"/>
      <w:r w:rsidR="00E37EBC">
        <w:rPr>
          <w:rFonts w:ascii="Verdana" w:hAnsi="Verdana"/>
          <w:bCs/>
        </w:rPr>
        <w:t>Ukio</w:t>
      </w:r>
      <w:proofErr w:type="spellEnd"/>
      <w:r w:rsidR="00E37EBC">
        <w:rPr>
          <w:rFonts w:ascii="Verdana" w:hAnsi="Verdana"/>
          <w:bCs/>
        </w:rPr>
        <w:t xml:space="preserve"> </w:t>
      </w:r>
      <w:proofErr w:type="spellStart"/>
      <w:r w:rsidR="00E37EBC">
        <w:rPr>
          <w:rFonts w:ascii="Verdana" w:hAnsi="Verdana"/>
          <w:bCs/>
        </w:rPr>
        <w:t>bankas</w:t>
      </w:r>
      <w:proofErr w:type="spellEnd"/>
      <w:r w:rsidR="00E37EBC">
        <w:rPr>
          <w:rFonts w:ascii="Verdana" w:hAnsi="Verdana"/>
          <w:bCs/>
        </w:rPr>
        <w:t xml:space="preserve"> juhtum</w:t>
      </w:r>
      <w:r w:rsidR="00452F8C">
        <w:rPr>
          <w:rFonts w:ascii="Verdana" w:hAnsi="Verdana"/>
          <w:bCs/>
        </w:rPr>
        <w:t xml:space="preserve"> 12</w:t>
      </w:r>
      <w:r w:rsidR="00452F8C">
        <w:rPr>
          <w:rFonts w:ascii="Verdana" w:hAnsi="Verdana"/>
          <w:bCs/>
        </w:rPr>
        <w:t xml:space="preserve">. veebruaril </w:t>
      </w:r>
      <w:r w:rsidR="00452F8C">
        <w:rPr>
          <w:rFonts w:ascii="Verdana" w:hAnsi="Verdana"/>
          <w:bCs/>
        </w:rPr>
        <w:t>2013.a</w:t>
      </w:r>
      <w:r w:rsidR="00E37EBC">
        <w:rPr>
          <w:rFonts w:ascii="Verdana" w:hAnsi="Verdana"/>
          <w:bCs/>
        </w:rPr>
        <w:t xml:space="preserve">. Nimetatud juhtumis seati Börsi liikmele Leedu keskpanga poolt ajutised piirangud ning mitme päeva jooksul ei olnud teada, kas </w:t>
      </w:r>
      <w:r w:rsidR="00452F8C">
        <w:rPr>
          <w:rFonts w:ascii="Verdana" w:hAnsi="Verdana"/>
          <w:bCs/>
        </w:rPr>
        <w:t xml:space="preserve">ja millal </w:t>
      </w:r>
      <w:r w:rsidR="00E37EBC">
        <w:rPr>
          <w:rFonts w:ascii="Verdana" w:hAnsi="Verdana"/>
          <w:bCs/>
        </w:rPr>
        <w:t xml:space="preserve">liikmel lubatakse oma väärtpaberitehingutest tekkinud kohustused täita või tekib vajadus garantiifondi vahendite kasutamiseks. Börs </w:t>
      </w:r>
      <w:r w:rsidR="00452F8C">
        <w:rPr>
          <w:rFonts w:ascii="Verdana" w:hAnsi="Verdana"/>
          <w:bCs/>
        </w:rPr>
        <w:t>kavatseb küll ka uue regulatsiooni tingimustes</w:t>
      </w:r>
      <w:r w:rsidR="00E37EBC">
        <w:rPr>
          <w:rFonts w:ascii="Verdana" w:hAnsi="Verdana"/>
          <w:bCs/>
        </w:rPr>
        <w:t xml:space="preserve"> kasutada garantiifondi ja teha sellekohased otsused</w:t>
      </w:r>
      <w:r w:rsidR="00452F8C">
        <w:rPr>
          <w:rFonts w:ascii="Verdana" w:hAnsi="Verdana"/>
          <w:bCs/>
        </w:rPr>
        <w:t xml:space="preserve"> niipea kui võimalik</w:t>
      </w:r>
      <w:r w:rsidR="00E37EBC">
        <w:rPr>
          <w:rFonts w:ascii="Verdana" w:hAnsi="Verdana"/>
          <w:bCs/>
        </w:rPr>
        <w:t xml:space="preserve">, kuid mõningatel juhtudel ei ole kolme päeva jooksul võimalik teada saada problemaatilise liikmega seonduvaid asjaolusid, mis on vajalikud garantiifondi vahendite kasutamise otsustamiseks.   </w:t>
      </w:r>
    </w:p>
    <w:p w:rsidR="001B06AE" w:rsidRDefault="001B06AE" w:rsidP="00207BE1">
      <w:pPr>
        <w:pStyle w:val="BodyText"/>
        <w:jc w:val="both"/>
        <w:rPr>
          <w:i w:val="0"/>
        </w:rPr>
      </w:pPr>
    </w:p>
    <w:p w:rsidR="001B06AE" w:rsidRDefault="001B06AE" w:rsidP="001B06AE">
      <w:pPr>
        <w:pStyle w:val="ListParagraph"/>
        <w:ind w:left="2160"/>
        <w:jc w:val="both"/>
        <w:rPr>
          <w:rFonts w:ascii="Verdana" w:hAnsi="Verdana"/>
        </w:rPr>
      </w:pPr>
    </w:p>
    <w:p w:rsidR="00044BB5" w:rsidRDefault="00044BB5" w:rsidP="00065B8F">
      <w:pPr>
        <w:tabs>
          <w:tab w:val="left" w:pos="709"/>
          <w:tab w:val="left" w:pos="2160"/>
        </w:tabs>
        <w:jc w:val="both"/>
        <w:rPr>
          <w:rFonts w:ascii="Verdana" w:hAnsi="Verdana"/>
          <w:iCs/>
        </w:rPr>
      </w:pPr>
    </w:p>
    <w:p w:rsidR="00044BB5" w:rsidRDefault="00044BB5" w:rsidP="00065B8F">
      <w:pPr>
        <w:tabs>
          <w:tab w:val="left" w:pos="709"/>
          <w:tab w:val="left" w:pos="2160"/>
        </w:tabs>
        <w:jc w:val="both"/>
        <w:rPr>
          <w:rFonts w:ascii="Verdana" w:hAnsi="Verdana"/>
          <w:iCs/>
        </w:rPr>
      </w:pPr>
      <w:bookmarkStart w:id="0" w:name="_GoBack"/>
      <w:bookmarkEnd w:id="0"/>
    </w:p>
    <w:p w:rsidR="00044BB5" w:rsidRDefault="00044BB5" w:rsidP="00065B8F">
      <w:pPr>
        <w:tabs>
          <w:tab w:val="left" w:pos="709"/>
          <w:tab w:val="left" w:pos="2160"/>
        </w:tabs>
        <w:jc w:val="both"/>
        <w:rPr>
          <w:rFonts w:ascii="Verdana" w:hAnsi="Verdana"/>
          <w:iCs/>
        </w:rPr>
      </w:pPr>
    </w:p>
    <w:sectPr w:rsidR="00044BB5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E2" w:rsidRDefault="001949E2" w:rsidP="00114227">
      <w:r>
        <w:separator/>
      </w:r>
    </w:p>
  </w:endnote>
  <w:endnote w:type="continuationSeparator" w:id="0">
    <w:p w:rsidR="001949E2" w:rsidRDefault="001949E2" w:rsidP="0011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27" w:rsidRDefault="00114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227" w:rsidRDefault="00114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27" w:rsidRDefault="00114227">
    <w:pPr>
      <w:pStyle w:val="Footer"/>
      <w:framePr w:wrap="around" w:vAnchor="text" w:hAnchor="margin" w:xAlign="center" w:y="1"/>
      <w:rPr>
        <w:rStyle w:val="PageNumber"/>
        <w:rFonts w:ascii="Verdana" w:hAnsi="Verdana"/>
        <w:sz w:val="18"/>
      </w:rPr>
    </w:pPr>
    <w:r>
      <w:rPr>
        <w:rStyle w:val="PageNumber"/>
        <w:rFonts w:ascii="Verdana" w:hAnsi="Verdana"/>
        <w:sz w:val="18"/>
      </w:rPr>
      <w:fldChar w:fldCharType="begin"/>
    </w:r>
    <w:r>
      <w:rPr>
        <w:rStyle w:val="PageNumber"/>
        <w:rFonts w:ascii="Verdana" w:hAnsi="Verdana"/>
        <w:sz w:val="18"/>
      </w:rPr>
      <w:instrText xml:space="preserve">PAGE  </w:instrText>
    </w:r>
    <w:r>
      <w:rPr>
        <w:rStyle w:val="PageNumber"/>
        <w:rFonts w:ascii="Verdana" w:hAnsi="Verdana"/>
        <w:sz w:val="18"/>
      </w:rPr>
      <w:fldChar w:fldCharType="separate"/>
    </w:r>
    <w:r w:rsidR="009435AA">
      <w:rPr>
        <w:rStyle w:val="PageNumber"/>
        <w:rFonts w:ascii="Verdana" w:hAnsi="Verdana"/>
        <w:noProof/>
        <w:sz w:val="18"/>
      </w:rPr>
      <w:t>3</w:t>
    </w:r>
    <w:r>
      <w:rPr>
        <w:rStyle w:val="PageNumber"/>
        <w:rFonts w:ascii="Verdana" w:hAnsi="Verdana"/>
        <w:sz w:val="18"/>
      </w:rPr>
      <w:fldChar w:fldCharType="end"/>
    </w:r>
  </w:p>
  <w:p w:rsidR="00114227" w:rsidRDefault="00114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E2" w:rsidRDefault="001949E2" w:rsidP="00114227">
      <w:r>
        <w:separator/>
      </w:r>
    </w:p>
  </w:footnote>
  <w:footnote w:type="continuationSeparator" w:id="0">
    <w:p w:rsidR="001949E2" w:rsidRDefault="001949E2" w:rsidP="0011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27" w:rsidRDefault="002A4C15">
    <w:pPr>
      <w:rPr>
        <w:rFonts w:ascii="Verdana" w:hAnsi="Verdana"/>
        <w:color w:val="C0C0C0"/>
        <w:sz w:val="18"/>
        <w:lang w:val="et-EE"/>
      </w:rPr>
    </w:pPr>
    <w:r>
      <w:rPr>
        <w:rFonts w:ascii="Verdana" w:hAnsi="Verdana"/>
        <w:color w:val="C0C0C0"/>
        <w:sz w:val="18"/>
        <w:lang w:val="et-EE"/>
      </w:rPr>
      <w:t xml:space="preserve">NASDAQ OMX </w:t>
    </w:r>
    <w:r w:rsidR="00114227">
      <w:rPr>
        <w:rFonts w:ascii="Verdana" w:hAnsi="Verdana"/>
        <w:color w:val="C0C0C0"/>
        <w:sz w:val="18"/>
        <w:lang w:val="et-EE"/>
      </w:rPr>
      <w:t>TALLINNA BÖRSI REGLEMENDI MUUDATUSED</w:t>
    </w:r>
    <w:r w:rsidR="00CD7CB9">
      <w:rPr>
        <w:rFonts w:ascii="Verdana" w:hAnsi="Verdana"/>
        <w:color w:val="C0C0C0"/>
        <w:sz w:val="18"/>
        <w:lang w:val="et-EE"/>
      </w:rPr>
      <w:t xml:space="preserve">   </w:t>
    </w:r>
    <w:r w:rsidR="00CD7CB9">
      <w:rPr>
        <w:rFonts w:ascii="Verdana" w:hAnsi="Verdana"/>
        <w:color w:val="C0C0C0"/>
        <w:sz w:val="18"/>
        <w:lang w:val="et-EE"/>
      </w:rPr>
      <w:tab/>
    </w:r>
    <w:r w:rsidR="00CD7CB9">
      <w:rPr>
        <w:rFonts w:ascii="Verdana" w:hAnsi="Verdana"/>
        <w:color w:val="C0C0C0"/>
        <w:sz w:val="18"/>
        <w:lang w:val="et-EE"/>
      </w:rPr>
      <w:tab/>
      <w:t xml:space="preserve">                 </w:t>
    </w:r>
    <w:r w:rsidR="00C82A6B">
      <w:rPr>
        <w:rFonts w:ascii="Verdana" w:hAnsi="Verdana"/>
        <w:color w:val="C0C0C0"/>
        <w:sz w:val="18"/>
        <w:lang w:val="et-EE"/>
      </w:rPr>
      <w:t>31</w:t>
    </w:r>
    <w:r w:rsidR="00A1251C">
      <w:rPr>
        <w:rFonts w:ascii="Verdana" w:hAnsi="Verdana"/>
        <w:color w:val="C0C0C0"/>
        <w:sz w:val="18"/>
        <w:lang w:val="et-EE"/>
      </w:rPr>
      <w:t>.05.2013</w:t>
    </w:r>
  </w:p>
  <w:p w:rsidR="00114227" w:rsidRDefault="00114227">
    <w:pPr>
      <w:jc w:val="right"/>
      <w:rPr>
        <w:rFonts w:ascii="Verdana" w:hAnsi="Verdana"/>
        <w:color w:val="C0C0C0"/>
        <w:sz w:val="18"/>
      </w:rPr>
    </w:pPr>
    <w:r>
      <w:rPr>
        <w:rFonts w:ascii="Verdana" w:hAnsi="Verdana"/>
        <w:color w:val="C0C0C0"/>
        <w:sz w:val="18"/>
        <w:lang w:val="et-E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2DD"/>
    <w:multiLevelType w:val="multilevel"/>
    <w:tmpl w:val="EC76F21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E25392"/>
    <w:multiLevelType w:val="multilevel"/>
    <w:tmpl w:val="457AD9B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>
    <w:nsid w:val="0F57201D"/>
    <w:multiLevelType w:val="multilevel"/>
    <w:tmpl w:val="6616E014"/>
    <w:lvl w:ilvl="0">
      <w:start w:val="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3">
    <w:nsid w:val="1D85391D"/>
    <w:multiLevelType w:val="multilevel"/>
    <w:tmpl w:val="740A0462"/>
    <w:lvl w:ilvl="0">
      <w:start w:val="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63041D3"/>
    <w:multiLevelType w:val="multilevel"/>
    <w:tmpl w:val="01B0151A"/>
    <w:lvl w:ilvl="0">
      <w:start w:val="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EF5204A"/>
    <w:multiLevelType w:val="multilevel"/>
    <w:tmpl w:val="02E2E35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F6E178A"/>
    <w:multiLevelType w:val="multilevel"/>
    <w:tmpl w:val="66F0881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6" w:hanging="2160"/>
      </w:pPr>
      <w:rPr>
        <w:rFonts w:hint="default"/>
      </w:rPr>
    </w:lvl>
  </w:abstractNum>
  <w:abstractNum w:abstractNumId="7">
    <w:nsid w:val="428B0C38"/>
    <w:multiLevelType w:val="multilevel"/>
    <w:tmpl w:val="F5AEB4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60744A7"/>
    <w:multiLevelType w:val="multilevel"/>
    <w:tmpl w:val="F836E7C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846717A"/>
    <w:multiLevelType w:val="multilevel"/>
    <w:tmpl w:val="548E5F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4B9847C1"/>
    <w:multiLevelType w:val="hybridMultilevel"/>
    <w:tmpl w:val="469C1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FE10C7"/>
    <w:multiLevelType w:val="multilevel"/>
    <w:tmpl w:val="043CB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DEA13F2"/>
    <w:multiLevelType w:val="multilevel"/>
    <w:tmpl w:val="8ABE296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1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85" w:hanging="567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835" w:hanging="711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540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3">
    <w:nsid w:val="5E397F5C"/>
    <w:multiLevelType w:val="hybridMultilevel"/>
    <w:tmpl w:val="469C1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B26C7"/>
    <w:multiLevelType w:val="multilevel"/>
    <w:tmpl w:val="CB74A1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E500618"/>
    <w:multiLevelType w:val="multilevel"/>
    <w:tmpl w:val="DAF4641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7"/>
  </w:num>
  <w:num w:numId="12">
    <w:abstractNumId w:val="14"/>
  </w:num>
  <w:num w:numId="13">
    <w:abstractNumId w:val="2"/>
  </w:num>
  <w:num w:numId="14">
    <w:abstractNumId w:val="4"/>
  </w:num>
  <w:num w:numId="15">
    <w:abstractNumId w:val="3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BD"/>
    <w:rsid w:val="00025FCF"/>
    <w:rsid w:val="00033226"/>
    <w:rsid w:val="00044BB5"/>
    <w:rsid w:val="00065B8F"/>
    <w:rsid w:val="000C05A0"/>
    <w:rsid w:val="000F48FB"/>
    <w:rsid w:val="001057B3"/>
    <w:rsid w:val="00114227"/>
    <w:rsid w:val="00133D88"/>
    <w:rsid w:val="00162158"/>
    <w:rsid w:val="00162FD7"/>
    <w:rsid w:val="001949E2"/>
    <w:rsid w:val="001B06AE"/>
    <w:rsid w:val="001D2FE1"/>
    <w:rsid w:val="001D38CF"/>
    <w:rsid w:val="001F0632"/>
    <w:rsid w:val="00207BE1"/>
    <w:rsid w:val="002658EB"/>
    <w:rsid w:val="00277C19"/>
    <w:rsid w:val="00296BF5"/>
    <w:rsid w:val="002A4C15"/>
    <w:rsid w:val="002A5A4D"/>
    <w:rsid w:val="002B667E"/>
    <w:rsid w:val="002C5BD2"/>
    <w:rsid w:val="002C7A6F"/>
    <w:rsid w:val="002F7636"/>
    <w:rsid w:val="003120C7"/>
    <w:rsid w:val="00321C55"/>
    <w:rsid w:val="00360C34"/>
    <w:rsid w:val="003A0011"/>
    <w:rsid w:val="003A6272"/>
    <w:rsid w:val="003E16C1"/>
    <w:rsid w:val="00452F8C"/>
    <w:rsid w:val="00454FBF"/>
    <w:rsid w:val="004933F0"/>
    <w:rsid w:val="004E4D12"/>
    <w:rsid w:val="005226E5"/>
    <w:rsid w:val="00574E3E"/>
    <w:rsid w:val="005A6573"/>
    <w:rsid w:val="005C6FC0"/>
    <w:rsid w:val="00606370"/>
    <w:rsid w:val="0076622A"/>
    <w:rsid w:val="00771498"/>
    <w:rsid w:val="00793ADF"/>
    <w:rsid w:val="007B59FA"/>
    <w:rsid w:val="007E1EBD"/>
    <w:rsid w:val="007E75D7"/>
    <w:rsid w:val="008124A0"/>
    <w:rsid w:val="0081359B"/>
    <w:rsid w:val="0082347F"/>
    <w:rsid w:val="00854A03"/>
    <w:rsid w:val="00907F3D"/>
    <w:rsid w:val="00913DA4"/>
    <w:rsid w:val="009435AA"/>
    <w:rsid w:val="009953EB"/>
    <w:rsid w:val="009E5641"/>
    <w:rsid w:val="009F20C7"/>
    <w:rsid w:val="00A1251C"/>
    <w:rsid w:val="00A73F93"/>
    <w:rsid w:val="00AA6153"/>
    <w:rsid w:val="00AF2CA7"/>
    <w:rsid w:val="00B32439"/>
    <w:rsid w:val="00B33225"/>
    <w:rsid w:val="00B677BD"/>
    <w:rsid w:val="00BE6268"/>
    <w:rsid w:val="00C124D4"/>
    <w:rsid w:val="00C82A6B"/>
    <w:rsid w:val="00CB1C23"/>
    <w:rsid w:val="00CD7CB9"/>
    <w:rsid w:val="00D225C6"/>
    <w:rsid w:val="00D24C61"/>
    <w:rsid w:val="00D526EE"/>
    <w:rsid w:val="00DE4DE3"/>
    <w:rsid w:val="00E35537"/>
    <w:rsid w:val="00E37EBC"/>
    <w:rsid w:val="00E40F7D"/>
    <w:rsid w:val="00E74395"/>
    <w:rsid w:val="00E76A4E"/>
    <w:rsid w:val="00EA1CF9"/>
    <w:rsid w:val="00EC747F"/>
    <w:rsid w:val="00EE28C4"/>
    <w:rsid w:val="00EE675D"/>
    <w:rsid w:val="00F506F4"/>
    <w:rsid w:val="00F95A99"/>
    <w:rsid w:val="00F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B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  <w:lang w:val="et-EE"/>
    </w:rPr>
  </w:style>
  <w:style w:type="paragraph" w:styleId="Heading2">
    <w:name w:val="heading 2"/>
    <w:basedOn w:val="Normal"/>
    <w:next w:val="Normal"/>
    <w:qFormat/>
    <w:pPr>
      <w:keepNext/>
      <w:ind w:left="698" w:firstLine="153"/>
      <w:outlineLvl w:val="1"/>
    </w:pPr>
    <w:rPr>
      <w:rFonts w:ascii="Verdana" w:hAnsi="Verdana"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i/>
      <w:sz w:val="18"/>
      <w:lang w:val="et-E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18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567" w:hanging="567"/>
    </w:pPr>
    <w:rPr>
      <w:rFonts w:ascii="Verdana" w:hAnsi="Verdana"/>
      <w:lang w:val="et-E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567" w:hanging="567"/>
      <w:jc w:val="both"/>
    </w:pPr>
    <w:rPr>
      <w:rFonts w:ascii="Verdana" w:hAnsi="Verdana"/>
      <w:lang w:val="et-E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rFonts w:ascii="Verdana" w:hAnsi="Verdana"/>
      <w:i/>
      <w:lang w:val="et-EE"/>
    </w:rPr>
  </w:style>
  <w:style w:type="paragraph" w:styleId="BodyTextIndent3">
    <w:name w:val="Body Text Indent 3"/>
    <w:basedOn w:val="Normal"/>
    <w:semiHidden/>
    <w:pPr>
      <w:ind w:left="851"/>
      <w:jc w:val="both"/>
    </w:pPr>
    <w:rPr>
      <w:rFonts w:ascii="Verdana" w:hAnsi="Verdana"/>
      <w:i/>
      <w:lang w:val="et-EE"/>
    </w:rPr>
  </w:style>
  <w:style w:type="paragraph" w:styleId="BodyText2">
    <w:name w:val="Body Text 2"/>
    <w:basedOn w:val="Normal"/>
    <w:semiHidden/>
    <w:rPr>
      <w:rFonts w:ascii="Verdana" w:hAnsi="Verdana"/>
      <w:snapToGrid w:val="0"/>
      <w:sz w:val="22"/>
      <w:lang w:val="et-EE"/>
    </w:rPr>
  </w:style>
  <w:style w:type="paragraph" w:styleId="FootnoteText">
    <w:name w:val="footnote text"/>
    <w:basedOn w:val="Normal"/>
    <w:semiHidden/>
  </w:style>
  <w:style w:type="paragraph" w:styleId="BodyText3">
    <w:name w:val="Body Text 3"/>
    <w:basedOn w:val="Normal"/>
    <w:semiHidden/>
    <w:pPr>
      <w:tabs>
        <w:tab w:val="num" w:pos="1134"/>
      </w:tabs>
      <w:jc w:val="both"/>
    </w:pPr>
    <w:rPr>
      <w:rFonts w:ascii="Verdana" w:hAnsi="Verdana"/>
      <w:lang w:val="et-EE"/>
    </w:rPr>
  </w:style>
  <w:style w:type="paragraph" w:customStyle="1" w:styleId="Sis2">
    <w:name w:val="Sis 2"/>
    <w:basedOn w:val="Normal"/>
    <w:pPr>
      <w:ind w:left="2552"/>
    </w:pPr>
    <w:rPr>
      <w:rFonts w:ascii="Verdana" w:hAnsi="Verdana"/>
      <w:lang w:val="en-GB"/>
    </w:rPr>
  </w:style>
  <w:style w:type="paragraph" w:customStyle="1" w:styleId="tavaline">
    <w:name w:val="tavaline"/>
    <w:basedOn w:val="Normal"/>
    <w:pPr>
      <w:spacing w:line="360" w:lineRule="auto"/>
      <w:jc w:val="both"/>
    </w:pPr>
    <w:rPr>
      <w:sz w:val="24"/>
      <w:lang w:val="et-E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pealkiri">
    <w:name w:val="pealkiri"/>
    <w:basedOn w:val="Normal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7CB9"/>
    <w:pPr>
      <w:ind w:left="720"/>
      <w:contextualSpacing/>
    </w:pPr>
    <w:rPr>
      <w:lang w:val="et-EE"/>
    </w:rPr>
  </w:style>
  <w:style w:type="character" w:customStyle="1" w:styleId="CommentTextChar">
    <w:name w:val="Comment Text Char"/>
    <w:basedOn w:val="DefaultParagraphFont"/>
    <w:link w:val="CommentText"/>
    <w:semiHidden/>
    <w:rsid w:val="00907F3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3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1057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t-EE" w:eastAsia="et-EE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4BB5"/>
    <w:rPr>
      <w:rFonts w:ascii="Verdana" w:hAnsi="Verdan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44BB5"/>
    <w:rPr>
      <w:rFonts w:ascii="Verdana" w:hAnsi="Verdana"/>
      <w:i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B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  <w:lang w:val="et-EE"/>
    </w:rPr>
  </w:style>
  <w:style w:type="paragraph" w:styleId="Heading2">
    <w:name w:val="heading 2"/>
    <w:basedOn w:val="Normal"/>
    <w:next w:val="Normal"/>
    <w:qFormat/>
    <w:pPr>
      <w:keepNext/>
      <w:ind w:left="698" w:firstLine="153"/>
      <w:outlineLvl w:val="1"/>
    </w:pPr>
    <w:rPr>
      <w:rFonts w:ascii="Verdana" w:hAnsi="Verdana"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i/>
      <w:sz w:val="18"/>
      <w:lang w:val="et-E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18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567" w:hanging="567"/>
    </w:pPr>
    <w:rPr>
      <w:rFonts w:ascii="Verdana" w:hAnsi="Verdana"/>
      <w:lang w:val="et-E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567" w:hanging="567"/>
      <w:jc w:val="both"/>
    </w:pPr>
    <w:rPr>
      <w:rFonts w:ascii="Verdana" w:hAnsi="Verdana"/>
      <w:lang w:val="et-E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rFonts w:ascii="Verdana" w:hAnsi="Verdana"/>
      <w:i/>
      <w:lang w:val="et-EE"/>
    </w:rPr>
  </w:style>
  <w:style w:type="paragraph" w:styleId="BodyTextIndent3">
    <w:name w:val="Body Text Indent 3"/>
    <w:basedOn w:val="Normal"/>
    <w:semiHidden/>
    <w:pPr>
      <w:ind w:left="851"/>
      <w:jc w:val="both"/>
    </w:pPr>
    <w:rPr>
      <w:rFonts w:ascii="Verdana" w:hAnsi="Verdana"/>
      <w:i/>
      <w:lang w:val="et-EE"/>
    </w:rPr>
  </w:style>
  <w:style w:type="paragraph" w:styleId="BodyText2">
    <w:name w:val="Body Text 2"/>
    <w:basedOn w:val="Normal"/>
    <w:semiHidden/>
    <w:rPr>
      <w:rFonts w:ascii="Verdana" w:hAnsi="Verdana"/>
      <w:snapToGrid w:val="0"/>
      <w:sz w:val="22"/>
      <w:lang w:val="et-EE"/>
    </w:rPr>
  </w:style>
  <w:style w:type="paragraph" w:styleId="FootnoteText">
    <w:name w:val="footnote text"/>
    <w:basedOn w:val="Normal"/>
    <w:semiHidden/>
  </w:style>
  <w:style w:type="paragraph" w:styleId="BodyText3">
    <w:name w:val="Body Text 3"/>
    <w:basedOn w:val="Normal"/>
    <w:semiHidden/>
    <w:pPr>
      <w:tabs>
        <w:tab w:val="num" w:pos="1134"/>
      </w:tabs>
      <w:jc w:val="both"/>
    </w:pPr>
    <w:rPr>
      <w:rFonts w:ascii="Verdana" w:hAnsi="Verdana"/>
      <w:lang w:val="et-EE"/>
    </w:rPr>
  </w:style>
  <w:style w:type="paragraph" w:customStyle="1" w:styleId="Sis2">
    <w:name w:val="Sis 2"/>
    <w:basedOn w:val="Normal"/>
    <w:pPr>
      <w:ind w:left="2552"/>
    </w:pPr>
    <w:rPr>
      <w:rFonts w:ascii="Verdana" w:hAnsi="Verdana"/>
      <w:lang w:val="en-GB"/>
    </w:rPr>
  </w:style>
  <w:style w:type="paragraph" w:customStyle="1" w:styleId="tavaline">
    <w:name w:val="tavaline"/>
    <w:basedOn w:val="Normal"/>
    <w:pPr>
      <w:spacing w:line="360" w:lineRule="auto"/>
      <w:jc w:val="both"/>
    </w:pPr>
    <w:rPr>
      <w:sz w:val="24"/>
      <w:lang w:val="et-E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pealkiri">
    <w:name w:val="pealkiri"/>
    <w:basedOn w:val="Normal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7CB9"/>
    <w:pPr>
      <w:ind w:left="720"/>
      <w:contextualSpacing/>
    </w:pPr>
    <w:rPr>
      <w:lang w:val="et-EE"/>
    </w:rPr>
  </w:style>
  <w:style w:type="character" w:customStyle="1" w:styleId="CommentTextChar">
    <w:name w:val="Comment Text Char"/>
    <w:basedOn w:val="DefaultParagraphFont"/>
    <w:link w:val="CommentText"/>
    <w:semiHidden/>
    <w:rsid w:val="00907F3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3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1057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t-EE" w:eastAsia="et-EE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4BB5"/>
    <w:rPr>
      <w:rFonts w:ascii="Verdana" w:hAnsi="Verdan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44BB5"/>
    <w:rPr>
      <w:rFonts w:ascii="Verdana" w:hAnsi="Verdana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942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Reglemendi Muudatused</vt:lpstr>
    </vt:vector>
  </TitlesOfParts>
  <Company>OMX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Reglemendi Muudatused</dc:title>
  <dc:creator>Annely Ahse</dc:creator>
  <cp:lastModifiedBy>Annely Ahse</cp:lastModifiedBy>
  <cp:revision>8</cp:revision>
  <cp:lastPrinted>2006-01-31T13:58:00Z</cp:lastPrinted>
  <dcterms:created xsi:type="dcterms:W3CDTF">2013-06-07T09:56:00Z</dcterms:created>
  <dcterms:modified xsi:type="dcterms:W3CDTF">2013-06-07T12:51:00Z</dcterms:modified>
</cp:coreProperties>
</file>