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27" w:rsidRDefault="00114227">
      <w:pPr>
        <w:jc w:val="center"/>
        <w:rPr>
          <w:rFonts w:ascii="Verdana" w:hAnsi="Verdana"/>
          <w:b/>
          <w:lang w:val="et-EE"/>
        </w:rPr>
      </w:pPr>
      <w:bookmarkStart w:id="0" w:name="_GoBack"/>
      <w:bookmarkEnd w:id="0"/>
    </w:p>
    <w:p w:rsidR="001D38CF" w:rsidRDefault="001D38CF">
      <w:pPr>
        <w:jc w:val="center"/>
        <w:rPr>
          <w:rFonts w:ascii="Verdana" w:hAnsi="Verdana"/>
          <w:b/>
          <w:lang w:val="et-EE"/>
        </w:rPr>
      </w:pPr>
    </w:p>
    <w:p w:rsidR="00114227" w:rsidRDefault="00114227">
      <w:pPr>
        <w:jc w:val="center"/>
        <w:rPr>
          <w:rFonts w:ascii="Verdana" w:hAnsi="Verdana"/>
          <w:b/>
          <w:lang w:val="et-EE"/>
        </w:rPr>
      </w:pPr>
    </w:p>
    <w:p w:rsidR="00114227" w:rsidRDefault="00114227">
      <w:pPr>
        <w:jc w:val="center"/>
        <w:rPr>
          <w:rFonts w:ascii="Verdana" w:hAnsi="Verdana"/>
          <w:b/>
          <w:lang w:val="et-EE"/>
        </w:rPr>
      </w:pPr>
      <w:r>
        <w:rPr>
          <w:rFonts w:ascii="Verdana" w:hAnsi="Verdana"/>
          <w:b/>
          <w:lang w:val="et-EE"/>
        </w:rPr>
        <w:t xml:space="preserve">SELETUSKIRI </w:t>
      </w:r>
    </w:p>
    <w:p w:rsidR="00114227" w:rsidRDefault="00114227">
      <w:pPr>
        <w:jc w:val="center"/>
        <w:rPr>
          <w:rFonts w:ascii="Verdana" w:hAnsi="Verdana"/>
          <w:b/>
          <w:lang w:val="et-EE"/>
        </w:rPr>
      </w:pPr>
      <w:r>
        <w:rPr>
          <w:rFonts w:ascii="Verdana" w:hAnsi="Verdana"/>
          <w:b/>
          <w:lang w:val="et-EE"/>
        </w:rPr>
        <w:t>TALLINNA BÖRSI REGLEMENDI MUUDATUSTE KOHTA</w:t>
      </w:r>
    </w:p>
    <w:p w:rsidR="00114227" w:rsidRDefault="00114227" w:rsidP="00065B8F">
      <w:pPr>
        <w:pStyle w:val="BodyText"/>
        <w:jc w:val="both"/>
      </w:pPr>
    </w:p>
    <w:p w:rsidR="00CD7CB9" w:rsidRDefault="00CD7CB9">
      <w:pPr>
        <w:jc w:val="both"/>
        <w:rPr>
          <w:rFonts w:ascii="Verdana" w:hAnsi="Verdana"/>
          <w:lang w:val="et-EE"/>
        </w:rPr>
      </w:pPr>
    </w:p>
    <w:p w:rsidR="00A1251C" w:rsidRDefault="00CD7CB9" w:rsidP="00A1251C">
      <w:pPr>
        <w:jc w:val="both"/>
        <w:rPr>
          <w:rFonts w:ascii="Verdana" w:hAnsi="Verdana"/>
          <w:lang w:val="et-EE"/>
        </w:rPr>
      </w:pPr>
      <w:r>
        <w:rPr>
          <w:rFonts w:ascii="Verdana" w:hAnsi="Verdana"/>
          <w:lang w:val="et-EE"/>
        </w:rPr>
        <w:t xml:space="preserve">Seoses väärtpaberiturgude järjest süveneva rahvusvahelisemaks muutumise, turgudel toimuvate muude arengute, integratsiooni ning õigusliku raamistiku korrastamisega </w:t>
      </w:r>
      <w:r w:rsidRPr="00D66740">
        <w:rPr>
          <w:rFonts w:ascii="Verdana" w:hAnsi="Verdana"/>
          <w:lang w:val="et-EE"/>
        </w:rPr>
        <w:t xml:space="preserve">teeb </w:t>
      </w:r>
      <w:r>
        <w:rPr>
          <w:rFonts w:ascii="Verdana" w:hAnsi="Verdana"/>
          <w:lang w:val="et-EE"/>
        </w:rPr>
        <w:t xml:space="preserve">NASDAQ OMX </w:t>
      </w:r>
      <w:r w:rsidRPr="00D66740">
        <w:rPr>
          <w:rFonts w:ascii="Verdana" w:hAnsi="Verdana"/>
          <w:lang w:val="et-EE"/>
        </w:rPr>
        <w:t xml:space="preserve">Tallinna Börs </w:t>
      </w:r>
      <w:r>
        <w:rPr>
          <w:rFonts w:ascii="Verdana" w:hAnsi="Verdana"/>
          <w:lang w:val="et-EE"/>
        </w:rPr>
        <w:t xml:space="preserve">(Börs) </w:t>
      </w:r>
      <w:r w:rsidRPr="00D66740">
        <w:rPr>
          <w:rFonts w:ascii="Verdana" w:hAnsi="Verdana"/>
          <w:lang w:val="et-EE"/>
        </w:rPr>
        <w:t xml:space="preserve">oma reglemendis (Reglement) </w:t>
      </w:r>
      <w:r w:rsidR="0076622A">
        <w:rPr>
          <w:rFonts w:ascii="Verdana" w:hAnsi="Verdana"/>
          <w:lang w:val="et-EE"/>
        </w:rPr>
        <w:t xml:space="preserve">jätkuvalt </w:t>
      </w:r>
      <w:r w:rsidRPr="00D66740">
        <w:rPr>
          <w:rFonts w:ascii="Verdana" w:hAnsi="Verdana"/>
          <w:lang w:val="et-EE"/>
        </w:rPr>
        <w:t>muudatus</w:t>
      </w:r>
      <w:r>
        <w:rPr>
          <w:rFonts w:ascii="Verdana" w:hAnsi="Verdana"/>
          <w:lang w:val="et-EE"/>
        </w:rPr>
        <w:t>i, et ühtlustada kauplemisega seonduvat</w:t>
      </w:r>
      <w:r w:rsidRPr="00D66740">
        <w:rPr>
          <w:rFonts w:ascii="Verdana" w:hAnsi="Verdana"/>
          <w:lang w:val="et-EE"/>
        </w:rPr>
        <w:t xml:space="preserve"> </w:t>
      </w:r>
      <w:r>
        <w:rPr>
          <w:rFonts w:ascii="Verdana" w:hAnsi="Verdana"/>
          <w:lang w:val="et-EE"/>
        </w:rPr>
        <w:t>NASDAQ OMX Tallinn</w:t>
      </w:r>
      <w:r w:rsidRPr="005951B2">
        <w:rPr>
          <w:rFonts w:ascii="Verdana" w:hAnsi="Verdana"/>
          <w:lang w:val="et-EE"/>
        </w:rPr>
        <w:t xml:space="preserve"> </w:t>
      </w:r>
      <w:r w:rsidRPr="00D66740">
        <w:rPr>
          <w:rFonts w:ascii="Verdana" w:hAnsi="Verdana"/>
          <w:lang w:val="et-EE"/>
        </w:rPr>
        <w:t>AS</w:t>
      </w:r>
      <w:r w:rsidR="00A1251C">
        <w:rPr>
          <w:rFonts w:ascii="Verdana" w:hAnsi="Verdana"/>
          <w:lang w:val="et-EE"/>
        </w:rPr>
        <w:t>-i poolt</w:t>
      </w:r>
      <w:r w:rsidRPr="00D66740">
        <w:rPr>
          <w:rFonts w:ascii="Verdana" w:hAnsi="Verdana"/>
          <w:lang w:val="et-EE"/>
        </w:rPr>
        <w:t xml:space="preserve"> korraldataval väärtpaberiturul, sealh</w:t>
      </w:r>
      <w:r>
        <w:rPr>
          <w:rFonts w:ascii="Verdana" w:hAnsi="Verdana"/>
          <w:lang w:val="et-EE"/>
        </w:rPr>
        <w:t>ulgas</w:t>
      </w:r>
      <w:r w:rsidRPr="00D66740">
        <w:rPr>
          <w:rFonts w:ascii="Verdana" w:hAnsi="Verdana"/>
          <w:lang w:val="et-EE"/>
        </w:rPr>
        <w:t xml:space="preserve"> reguleeritud turul </w:t>
      </w:r>
      <w:r>
        <w:rPr>
          <w:rFonts w:ascii="Verdana" w:hAnsi="Verdana"/>
          <w:lang w:val="et-EE"/>
        </w:rPr>
        <w:t xml:space="preserve">ja väärtpaberibörsil NASDAQ OMX kontserni </w:t>
      </w:r>
      <w:r w:rsidR="00A1251C">
        <w:rPr>
          <w:rFonts w:ascii="Verdana" w:hAnsi="Verdana"/>
          <w:lang w:val="et-EE"/>
        </w:rPr>
        <w:t xml:space="preserve">nii </w:t>
      </w:r>
      <w:r>
        <w:rPr>
          <w:rFonts w:ascii="Verdana" w:hAnsi="Verdana"/>
          <w:lang w:val="et-EE"/>
        </w:rPr>
        <w:t>Rootsi ja Soome</w:t>
      </w:r>
      <w:r w:rsidR="00A1251C">
        <w:rPr>
          <w:rFonts w:ascii="Verdana" w:hAnsi="Verdana"/>
          <w:lang w:val="et-EE"/>
        </w:rPr>
        <w:t xml:space="preserve"> kui ka</w:t>
      </w:r>
      <w:r>
        <w:rPr>
          <w:rFonts w:ascii="Verdana" w:hAnsi="Verdana"/>
          <w:lang w:val="et-EE"/>
        </w:rPr>
        <w:t xml:space="preserve"> </w:t>
      </w:r>
      <w:r w:rsidR="00A1251C">
        <w:rPr>
          <w:rFonts w:ascii="Verdana" w:hAnsi="Verdana"/>
          <w:lang w:val="et-EE"/>
        </w:rPr>
        <w:t xml:space="preserve">teistel Baltimaade </w:t>
      </w:r>
      <w:r>
        <w:rPr>
          <w:rFonts w:ascii="Verdana" w:hAnsi="Verdana"/>
          <w:lang w:val="et-EE"/>
        </w:rPr>
        <w:t>turgudel kohaldatavate põhimõtetega</w:t>
      </w:r>
      <w:r w:rsidR="00A1251C">
        <w:rPr>
          <w:rFonts w:ascii="Verdana" w:hAnsi="Verdana"/>
          <w:lang w:val="et-EE"/>
        </w:rPr>
        <w:t xml:space="preserve">. </w:t>
      </w:r>
      <w:r w:rsidR="00A1251C" w:rsidRPr="00A1251C">
        <w:rPr>
          <w:rFonts w:ascii="Verdana" w:hAnsi="Verdana"/>
          <w:lang w:val="et-EE"/>
        </w:rPr>
        <w:t xml:space="preserve">NASDAQ OMX kontserni kuuluvad Baltimaade väärtpaberiturgude korraldajad NASDAQ OMX Tallinn AS, NASDAQ OMX Riga A/S ja AB NASDAQ OMX Vilnius (NASDAQ OMX Balti börsid) teevad </w:t>
      </w:r>
      <w:r w:rsidR="0076622A">
        <w:rPr>
          <w:rFonts w:ascii="Verdana" w:hAnsi="Verdana"/>
          <w:lang w:val="et-EE"/>
        </w:rPr>
        <w:t xml:space="preserve">pikaajalisi </w:t>
      </w:r>
      <w:r w:rsidR="00A1251C" w:rsidRPr="00A1251C">
        <w:rPr>
          <w:rFonts w:ascii="Verdana" w:hAnsi="Verdana"/>
          <w:lang w:val="et-EE"/>
        </w:rPr>
        <w:t xml:space="preserve">jõupingutusi Balti ühtse väärtpaberituru </w:t>
      </w:r>
      <w:r w:rsidR="00A1251C">
        <w:rPr>
          <w:rFonts w:ascii="Verdana" w:hAnsi="Verdana"/>
          <w:lang w:val="et-EE"/>
        </w:rPr>
        <w:t xml:space="preserve">arendamiseks ning osa sellest on ka ühesuguste põhimõtete kohaldamine ning harmoneeritud reeglistiku väljatöötamine ja kehtestamine. </w:t>
      </w:r>
    </w:p>
    <w:p w:rsidR="00CD7CB9" w:rsidRPr="005167DA" w:rsidRDefault="00CD7CB9" w:rsidP="00CD7CB9">
      <w:pPr>
        <w:jc w:val="both"/>
        <w:rPr>
          <w:rFonts w:ascii="Verdana" w:hAnsi="Verdana"/>
          <w:lang w:val="et-EE"/>
        </w:rPr>
      </w:pPr>
    </w:p>
    <w:p w:rsidR="00321C55" w:rsidRPr="00321C55" w:rsidRDefault="00A1251C" w:rsidP="00321C55">
      <w:pPr>
        <w:jc w:val="both"/>
        <w:rPr>
          <w:rFonts w:ascii="Verdana" w:hAnsi="Verdana"/>
          <w:lang w:val="et-EE"/>
        </w:rPr>
      </w:pPr>
      <w:r w:rsidRPr="00321C55">
        <w:rPr>
          <w:rFonts w:ascii="Verdana" w:hAnsi="Verdana"/>
          <w:lang w:val="et-EE"/>
        </w:rPr>
        <w:t>Käesolevas dokumendis kirjeldatud m</w:t>
      </w:r>
      <w:r w:rsidR="00CD7CB9" w:rsidRPr="00321C55">
        <w:rPr>
          <w:rFonts w:ascii="Verdana" w:hAnsi="Verdana"/>
          <w:lang w:val="et-EE"/>
        </w:rPr>
        <w:t xml:space="preserve">uudatused tehakse </w:t>
      </w:r>
      <w:r w:rsidR="0076622A" w:rsidRPr="00321C55">
        <w:rPr>
          <w:rFonts w:ascii="Verdana" w:hAnsi="Verdana"/>
          <w:lang w:val="et-EE"/>
        </w:rPr>
        <w:t xml:space="preserve">peamiselt seonduvalt </w:t>
      </w:r>
      <w:r w:rsidR="002B667E">
        <w:rPr>
          <w:rFonts w:ascii="Verdana" w:hAnsi="Verdana"/>
          <w:lang w:val="et-EE"/>
        </w:rPr>
        <w:t>garantiifondi regulatsiooniga.</w:t>
      </w:r>
      <w:r w:rsidR="0076622A" w:rsidRPr="00321C55">
        <w:rPr>
          <w:rFonts w:ascii="Verdana" w:hAnsi="Verdana"/>
          <w:lang w:val="et-EE"/>
        </w:rPr>
        <w:t xml:space="preserve"> </w:t>
      </w:r>
      <w:r w:rsidR="00321C55" w:rsidRPr="00321C55">
        <w:rPr>
          <w:rFonts w:ascii="Verdana" w:hAnsi="Verdana"/>
        </w:rPr>
        <w:t>2006.a. loodi analoogia alusel Põhjamaade börside liikmelisusega nn Baltikumi liikmelisus</w:t>
      </w:r>
      <w:r w:rsidR="002B667E">
        <w:rPr>
          <w:rFonts w:ascii="Verdana" w:hAnsi="Verdana"/>
        </w:rPr>
        <w:t xml:space="preserve"> ja selle </w:t>
      </w:r>
      <w:r w:rsidR="00321C55" w:rsidRPr="00321C55">
        <w:rPr>
          <w:rFonts w:ascii="Verdana" w:hAnsi="Verdana"/>
        </w:rPr>
        <w:t xml:space="preserve">edasiarendusena ühtlustati ka </w:t>
      </w:r>
      <w:r w:rsidR="002B667E">
        <w:rPr>
          <w:rFonts w:ascii="Verdana" w:hAnsi="Verdana"/>
        </w:rPr>
        <w:t>garantiifondide põhimõtted ning</w:t>
      </w:r>
      <w:r w:rsidR="00321C55" w:rsidRPr="00321C55">
        <w:rPr>
          <w:rFonts w:ascii="Verdana" w:hAnsi="Verdana"/>
        </w:rPr>
        <w:t xml:space="preserve"> 2007.a. ka sissemaksete tegemine, arvestus ning arvepidamine.</w:t>
      </w:r>
      <w:r w:rsidR="00321C55" w:rsidRPr="00321C55">
        <w:rPr>
          <w:rFonts w:ascii="Verdana" w:hAnsi="Verdana"/>
          <w:lang w:val="et-EE"/>
        </w:rPr>
        <w:t xml:space="preserve"> Seetõttu on k</w:t>
      </w:r>
      <w:r w:rsidR="0076622A" w:rsidRPr="00321C55">
        <w:rPr>
          <w:rFonts w:ascii="Verdana" w:hAnsi="Verdana"/>
          <w:lang w:val="et-EE"/>
        </w:rPr>
        <w:t xml:space="preserve">ehtiva redaktsiooni kohaselt garantiifondi regulatsioon kahetasandiline – osa nõudeid on sätestatud Reglemendi osas “Börsitehingute realiseerimise ja arveldamise reeglid” (Arveldusreeglid), ptk. 5 ja osa nõudeid Reglemendi alusel kehtestatud </w:t>
      </w:r>
      <w:r w:rsidR="002B667E">
        <w:rPr>
          <w:rFonts w:ascii="Verdana" w:hAnsi="Verdana"/>
          <w:lang w:val="et-EE"/>
        </w:rPr>
        <w:t>dokumendis</w:t>
      </w:r>
      <w:r w:rsidR="0076622A" w:rsidRPr="00321C55">
        <w:rPr>
          <w:rFonts w:ascii="Verdana" w:hAnsi="Verdana"/>
          <w:lang w:val="et-EE"/>
        </w:rPr>
        <w:t xml:space="preserve"> „Garantiifondi osamaksete  tasumise ja käsitlemise kord“</w:t>
      </w:r>
      <w:r w:rsidR="00321C55" w:rsidRPr="00321C55">
        <w:rPr>
          <w:rFonts w:ascii="Verdana" w:hAnsi="Verdana"/>
          <w:lang w:val="et-EE"/>
        </w:rPr>
        <w:t xml:space="preserve"> (Kord).</w:t>
      </w:r>
      <w:r w:rsidR="00321C55" w:rsidRPr="00321C55">
        <w:t xml:space="preserve"> </w:t>
      </w:r>
      <w:r w:rsidR="001057B3" w:rsidRPr="00321C55">
        <w:rPr>
          <w:rFonts w:ascii="Verdana" w:hAnsi="Verdana"/>
          <w:lang w:val="et-EE"/>
        </w:rPr>
        <w:t xml:space="preserve">Lisaks on Balti börsid </w:t>
      </w:r>
      <w:r w:rsidR="001057B3" w:rsidRPr="00321C55">
        <w:rPr>
          <w:rFonts w:ascii="Verdana" w:hAnsi="Verdana"/>
        </w:rPr>
        <w:t xml:space="preserve">sõlminud garantiifondide korraldamise alase koostöölepingu (Koostööleping), mille alusel </w:t>
      </w:r>
      <w:r w:rsidR="002B667E">
        <w:rPr>
          <w:rFonts w:ascii="Verdana" w:hAnsi="Verdana"/>
        </w:rPr>
        <w:t>peetakse ühist arvestust Balti b</w:t>
      </w:r>
      <w:r w:rsidR="001057B3" w:rsidRPr="00321C55">
        <w:rPr>
          <w:rFonts w:ascii="Verdana" w:hAnsi="Verdana"/>
        </w:rPr>
        <w:t xml:space="preserve">örside garantiifondidesse tehtavate osamaksete üle </w:t>
      </w:r>
      <w:r w:rsidR="002B667E">
        <w:rPr>
          <w:rFonts w:ascii="Verdana" w:hAnsi="Verdana"/>
        </w:rPr>
        <w:t xml:space="preserve">ning reguleeritakse seotud protseruurilisi küsimusi </w:t>
      </w:r>
      <w:r w:rsidR="001057B3" w:rsidRPr="00321C55">
        <w:rPr>
          <w:rFonts w:ascii="Verdana" w:hAnsi="Verdana"/>
          <w:lang w:val="et-EE"/>
        </w:rPr>
        <w:t xml:space="preserve">(Arveldusreeglid p 5.1.4.). </w:t>
      </w:r>
      <w:r w:rsidR="00321C55">
        <w:rPr>
          <w:rFonts w:ascii="Verdana" w:hAnsi="Verdana"/>
          <w:lang w:val="et-EE"/>
        </w:rPr>
        <w:t xml:space="preserve">Selline lähenemine ei ole aga Börsi liikmete jaoks kergesti hallatav, eriti välisliikmete jaoks, kes on kõigi Balti börside liikmed. </w:t>
      </w:r>
    </w:p>
    <w:p w:rsidR="00321C55" w:rsidRDefault="00321C55" w:rsidP="00CD7CB9">
      <w:pPr>
        <w:jc w:val="both"/>
        <w:rPr>
          <w:rFonts w:ascii="Verdana" w:hAnsi="Verdana"/>
          <w:lang w:val="et-EE"/>
        </w:rPr>
      </w:pPr>
    </w:p>
    <w:p w:rsidR="0076622A" w:rsidRDefault="00321C55" w:rsidP="00CD7CB9">
      <w:pPr>
        <w:jc w:val="both"/>
        <w:rPr>
          <w:rFonts w:ascii="Verdana" w:hAnsi="Verdana"/>
          <w:lang w:val="et-EE"/>
        </w:rPr>
      </w:pPr>
      <w:r w:rsidRPr="002B667E">
        <w:rPr>
          <w:rFonts w:ascii="Verdana" w:hAnsi="Verdana"/>
          <w:lang w:val="et-EE"/>
        </w:rPr>
        <w:t>Sellest tulenevalt tingisid r</w:t>
      </w:r>
      <w:r w:rsidR="001057B3" w:rsidRPr="002B667E">
        <w:rPr>
          <w:rFonts w:ascii="Verdana" w:hAnsi="Verdana"/>
          <w:lang w:val="et-EE"/>
        </w:rPr>
        <w:t xml:space="preserve">egulatsiooni kaasajastamise nii </w:t>
      </w:r>
      <w:r w:rsidRPr="002B667E">
        <w:rPr>
          <w:rFonts w:ascii="Verdana" w:hAnsi="Verdana"/>
          <w:lang w:val="et-EE"/>
        </w:rPr>
        <w:t xml:space="preserve">vajadus </w:t>
      </w:r>
      <w:r w:rsidR="002B667E">
        <w:rPr>
          <w:rFonts w:ascii="Verdana" w:hAnsi="Verdana"/>
          <w:lang w:val="et-EE"/>
        </w:rPr>
        <w:t>reguleerida kogu g</w:t>
      </w:r>
      <w:r w:rsidRPr="002B667E">
        <w:rPr>
          <w:rFonts w:ascii="Verdana" w:hAnsi="Verdana"/>
          <w:lang w:val="et-EE"/>
        </w:rPr>
        <w:t>arantiifondiga seonduv</w:t>
      </w:r>
      <w:r w:rsidR="001057B3" w:rsidRPr="002B667E">
        <w:rPr>
          <w:rFonts w:ascii="Verdana" w:hAnsi="Verdana"/>
          <w:lang w:val="et-EE"/>
        </w:rPr>
        <w:t xml:space="preserve"> </w:t>
      </w:r>
      <w:r w:rsidR="002B667E">
        <w:rPr>
          <w:rFonts w:ascii="Verdana" w:hAnsi="Verdana"/>
          <w:lang w:val="et-EE"/>
        </w:rPr>
        <w:t xml:space="preserve">ühes dokumendis </w:t>
      </w:r>
      <w:r w:rsidR="001057B3" w:rsidRPr="002B667E">
        <w:rPr>
          <w:rFonts w:ascii="Verdana" w:hAnsi="Verdana"/>
          <w:lang w:val="et-EE"/>
        </w:rPr>
        <w:t xml:space="preserve">kui </w:t>
      </w:r>
      <w:r w:rsidRPr="002B667E">
        <w:rPr>
          <w:rFonts w:ascii="Verdana" w:hAnsi="Verdana"/>
          <w:lang w:val="et-EE"/>
        </w:rPr>
        <w:t>k</w:t>
      </w:r>
      <w:r w:rsidR="001057B3" w:rsidRPr="002B667E">
        <w:rPr>
          <w:rFonts w:ascii="Verdana" w:hAnsi="Verdana"/>
          <w:lang w:val="et-EE"/>
        </w:rPr>
        <w:t xml:space="preserve">a </w:t>
      </w:r>
      <w:r w:rsidRPr="002B667E">
        <w:rPr>
          <w:rFonts w:ascii="Verdana" w:hAnsi="Verdana"/>
          <w:lang w:val="et-EE"/>
        </w:rPr>
        <w:t xml:space="preserve">vajadus teha seda harmoneeritult kõigi </w:t>
      </w:r>
      <w:r w:rsidR="001057B3" w:rsidRPr="002B667E">
        <w:rPr>
          <w:rFonts w:ascii="Verdana" w:hAnsi="Verdana"/>
          <w:lang w:val="et-EE"/>
        </w:rPr>
        <w:t>Balti börside</w:t>
      </w:r>
      <w:r w:rsidRPr="002B667E">
        <w:rPr>
          <w:rFonts w:ascii="Verdana" w:hAnsi="Verdana"/>
          <w:lang w:val="et-EE"/>
        </w:rPr>
        <w:t>ga</w:t>
      </w:r>
      <w:r w:rsidR="002B667E" w:rsidRPr="002B667E">
        <w:rPr>
          <w:rFonts w:ascii="Verdana" w:hAnsi="Verdana"/>
          <w:lang w:val="et-EE"/>
        </w:rPr>
        <w:t>.</w:t>
      </w:r>
      <w:r w:rsidR="001057B3" w:rsidRPr="002B667E">
        <w:rPr>
          <w:rFonts w:ascii="Verdana" w:hAnsi="Verdana"/>
          <w:lang w:val="et-EE"/>
        </w:rPr>
        <w:t xml:space="preserve"> </w:t>
      </w:r>
      <w:r w:rsidR="0076622A" w:rsidRPr="002B667E">
        <w:rPr>
          <w:rFonts w:ascii="Verdana" w:hAnsi="Verdana"/>
          <w:lang w:val="et-EE"/>
        </w:rPr>
        <w:t xml:space="preserve">Harmoneeritud reeglistiku väljatöötamise raames ühtlustatakse garantiifondi regulatsioon </w:t>
      </w:r>
      <w:r w:rsidR="001057B3" w:rsidRPr="002B667E">
        <w:rPr>
          <w:rFonts w:ascii="Verdana" w:hAnsi="Verdana"/>
          <w:lang w:val="et-EE"/>
        </w:rPr>
        <w:t>kõigil Balti börsidel sellisel viisil, et</w:t>
      </w:r>
      <w:r w:rsidR="002B667E" w:rsidRPr="002B667E">
        <w:rPr>
          <w:rFonts w:ascii="Verdana" w:hAnsi="Verdana"/>
          <w:lang w:val="et-EE"/>
        </w:rPr>
        <w:t xml:space="preserve"> Börsi Kord kaotab kehtivuse ning kogu garantiifondi reeglistik sätestatakse Reglemendis (v.a. arvutusmetoodika, mis </w:t>
      </w:r>
      <w:r w:rsidR="000F48FB">
        <w:rPr>
          <w:rFonts w:ascii="Verdana" w:hAnsi="Verdana"/>
          <w:lang w:val="et-EE"/>
        </w:rPr>
        <w:t xml:space="preserve">jääb kehtima </w:t>
      </w:r>
      <w:r w:rsidR="002B667E" w:rsidRPr="002B667E">
        <w:rPr>
          <w:rFonts w:ascii="Verdana" w:hAnsi="Verdana"/>
          <w:lang w:val="et-EE"/>
        </w:rPr>
        <w:t>eraldi j</w:t>
      </w:r>
      <w:r w:rsidR="000F48FB">
        <w:rPr>
          <w:rFonts w:ascii="Verdana" w:hAnsi="Verdana"/>
          <w:lang w:val="et-EE"/>
        </w:rPr>
        <w:t xml:space="preserve">uhendi alusel – </w:t>
      </w:r>
      <w:r w:rsidR="000F48FB" w:rsidRPr="000F48FB">
        <w:rPr>
          <w:rFonts w:ascii="Verdana" w:hAnsi="Verdana"/>
          <w:i/>
          <w:lang w:val="et-EE"/>
        </w:rPr>
        <w:t>Calculation Guidelines</w:t>
      </w:r>
      <w:r w:rsidR="002B667E" w:rsidRPr="002B667E">
        <w:rPr>
          <w:rFonts w:ascii="Verdana" w:hAnsi="Verdana"/>
          <w:lang w:val="et-EE"/>
        </w:rPr>
        <w:t xml:space="preserve">) ühetaolisena teiste Balti börsidega. Selguse huvides moodustab garantiifondi regulatsioon edaspidi Reglemendi eraldi osa “Garantiifondi moodustamise ja </w:t>
      </w:r>
      <w:r w:rsidR="002B667E">
        <w:rPr>
          <w:rFonts w:ascii="Verdana" w:hAnsi="Verdana"/>
          <w:lang w:val="et-EE"/>
        </w:rPr>
        <w:t>kasutamise reeglid”, mitte peatüki Arveldusreeglitest. Arveldusreeglite ptk 5 tühistatakse.</w:t>
      </w:r>
    </w:p>
    <w:p w:rsidR="002B667E" w:rsidRDefault="002B667E" w:rsidP="00CD7CB9">
      <w:pPr>
        <w:jc w:val="both"/>
        <w:rPr>
          <w:rFonts w:ascii="Verdana" w:hAnsi="Verdana"/>
          <w:lang w:val="et-EE"/>
        </w:rPr>
      </w:pPr>
    </w:p>
    <w:p w:rsidR="002B667E" w:rsidRDefault="000F48FB" w:rsidP="002B667E">
      <w:pPr>
        <w:jc w:val="both"/>
        <w:rPr>
          <w:rFonts w:ascii="Verdana" w:hAnsi="Verdana"/>
          <w:lang w:val="et-EE"/>
        </w:rPr>
      </w:pPr>
      <w:r>
        <w:rPr>
          <w:rFonts w:ascii="Verdana" w:hAnsi="Verdana"/>
        </w:rPr>
        <w:t xml:space="preserve">Sisuliselt garantiifondi regulatsioon oluliselt ei muutu </w:t>
      </w:r>
      <w:r w:rsidR="002B667E">
        <w:rPr>
          <w:rFonts w:ascii="Verdana" w:hAnsi="Verdana"/>
        </w:rPr>
        <w:t xml:space="preserve">ning valdavalt on tegemist kõigi Balti börside reeglistikku ühtlustava redaktsiooniga. </w:t>
      </w:r>
      <w:r>
        <w:rPr>
          <w:rFonts w:ascii="Verdana" w:hAnsi="Verdana"/>
        </w:rPr>
        <w:t xml:space="preserve">Muudatused esitatakse lähiajal ka </w:t>
      </w:r>
      <w:r w:rsidRPr="000F48FB">
        <w:rPr>
          <w:rFonts w:ascii="Verdana" w:hAnsi="Verdana"/>
          <w:i/>
          <w:lang w:val="et-EE"/>
        </w:rPr>
        <w:t>track</w:t>
      </w:r>
      <w:r>
        <w:rPr>
          <w:rFonts w:ascii="Verdana" w:hAnsi="Verdana"/>
          <w:i/>
          <w:lang w:val="et-EE"/>
        </w:rPr>
        <w:t>ed</w:t>
      </w:r>
      <w:r w:rsidRPr="000F48FB">
        <w:rPr>
          <w:rFonts w:ascii="Verdana" w:hAnsi="Verdana"/>
          <w:i/>
          <w:lang w:val="et-EE"/>
        </w:rPr>
        <w:t xml:space="preserve"> changes</w:t>
      </w:r>
      <w:r w:rsidRPr="0076622A">
        <w:rPr>
          <w:rFonts w:ascii="Verdana" w:hAnsi="Verdana"/>
          <w:lang w:val="et-EE"/>
        </w:rPr>
        <w:t xml:space="preserve"> formaadis nähtavate muudatustega</w:t>
      </w:r>
      <w:r w:rsidR="005226E5">
        <w:rPr>
          <w:rFonts w:ascii="Verdana" w:hAnsi="Verdana"/>
          <w:lang w:val="et-EE"/>
        </w:rPr>
        <w:t xml:space="preserve"> koos teabega turuosaliste teavitamise ja nende hinnangu kohta.</w:t>
      </w:r>
    </w:p>
    <w:p w:rsidR="002B667E" w:rsidRDefault="002B667E" w:rsidP="00CD7CB9">
      <w:pPr>
        <w:jc w:val="both"/>
        <w:rPr>
          <w:rFonts w:ascii="Verdana" w:hAnsi="Verdana"/>
          <w:lang w:val="et-EE"/>
        </w:rPr>
      </w:pPr>
    </w:p>
    <w:p w:rsidR="002B667E" w:rsidRPr="002B667E" w:rsidRDefault="002B667E" w:rsidP="00CD7CB9">
      <w:pPr>
        <w:jc w:val="both"/>
        <w:rPr>
          <w:rFonts w:ascii="Verdana" w:hAnsi="Verdana"/>
          <w:lang w:val="et-EE"/>
        </w:rPr>
      </w:pPr>
      <w:r>
        <w:rPr>
          <w:rFonts w:ascii="Verdana" w:hAnsi="Verdana"/>
          <w:lang w:val="et-EE"/>
        </w:rPr>
        <w:t xml:space="preserve">Lisaks tehakse muudatus Reglemendi osas „Nõuded Emitentidele“. </w:t>
      </w:r>
    </w:p>
    <w:p w:rsidR="001057B3" w:rsidRDefault="001057B3" w:rsidP="00CD7CB9">
      <w:pPr>
        <w:jc w:val="both"/>
        <w:rPr>
          <w:rFonts w:ascii="Verdana" w:hAnsi="Verdana"/>
          <w:lang w:val="et-EE"/>
        </w:rPr>
      </w:pPr>
    </w:p>
    <w:p w:rsidR="00033226" w:rsidRDefault="00033226" w:rsidP="00CD7CB9">
      <w:pPr>
        <w:jc w:val="both"/>
        <w:rPr>
          <w:rFonts w:ascii="Verdana" w:hAnsi="Verdana"/>
          <w:lang w:val="et-EE"/>
        </w:rPr>
      </w:pPr>
    </w:p>
    <w:p w:rsidR="00033226" w:rsidRDefault="00033226" w:rsidP="00033226">
      <w:pPr>
        <w:jc w:val="both"/>
        <w:rPr>
          <w:rFonts w:ascii="Verdana" w:hAnsi="Verdana"/>
          <w:lang w:val="et-EE"/>
        </w:rPr>
      </w:pPr>
      <w:r>
        <w:rPr>
          <w:rFonts w:ascii="Verdana" w:hAnsi="Verdana"/>
          <w:lang w:val="et-EE"/>
        </w:rPr>
        <w:t>Kirjeldatud muudatused on kavas jõustada 1. juulist 2013. a</w:t>
      </w:r>
      <w:r w:rsidRPr="00A1251C">
        <w:rPr>
          <w:rFonts w:ascii="Verdana" w:hAnsi="Verdana"/>
          <w:lang w:val="et-EE"/>
        </w:rPr>
        <w:t xml:space="preserve">. </w:t>
      </w:r>
    </w:p>
    <w:p w:rsidR="00CD7CB9" w:rsidRPr="005167DA" w:rsidRDefault="00CD7CB9" w:rsidP="00CD7CB9">
      <w:pPr>
        <w:jc w:val="both"/>
        <w:rPr>
          <w:rFonts w:ascii="Verdana" w:hAnsi="Verdana"/>
          <w:lang w:val="et-EE"/>
        </w:rPr>
      </w:pPr>
    </w:p>
    <w:p w:rsidR="00CD7CB9" w:rsidRPr="005167DA" w:rsidRDefault="00CD7CB9" w:rsidP="00CD7CB9">
      <w:pPr>
        <w:jc w:val="both"/>
        <w:rPr>
          <w:rFonts w:ascii="Verdana" w:hAnsi="Verdana"/>
          <w:lang w:val="et-EE"/>
        </w:rPr>
      </w:pPr>
      <w:r w:rsidRPr="005167DA">
        <w:rPr>
          <w:rFonts w:ascii="Verdana" w:hAnsi="Verdana"/>
          <w:lang w:val="et-EE"/>
        </w:rPr>
        <w:t>Alljärgnevalt esitame lühidalt olulisemate muudatuste selgitused, lisaks</w:t>
      </w:r>
      <w:r w:rsidR="00EE28C4">
        <w:rPr>
          <w:rFonts w:ascii="Verdana" w:hAnsi="Verdana"/>
          <w:lang w:val="et-EE"/>
        </w:rPr>
        <w:t xml:space="preserve"> on muudatused </w:t>
      </w:r>
      <w:r w:rsidR="00065B8F">
        <w:rPr>
          <w:rFonts w:ascii="Verdana" w:hAnsi="Verdana"/>
          <w:lang w:val="et-EE"/>
        </w:rPr>
        <w:t xml:space="preserve">nähtavad </w:t>
      </w:r>
      <w:r w:rsidR="000F48FB">
        <w:rPr>
          <w:rFonts w:ascii="Verdana" w:hAnsi="Verdana"/>
          <w:i/>
          <w:iCs/>
          <w:lang w:val="et-EE"/>
        </w:rPr>
        <w:t xml:space="preserve">tracked </w:t>
      </w:r>
      <w:r w:rsidRPr="005167DA">
        <w:rPr>
          <w:rFonts w:ascii="Verdana" w:hAnsi="Verdana"/>
          <w:i/>
          <w:iCs/>
          <w:lang w:val="et-EE"/>
        </w:rPr>
        <w:t>changes</w:t>
      </w:r>
      <w:r w:rsidRPr="005167DA">
        <w:rPr>
          <w:rFonts w:ascii="Verdana" w:hAnsi="Verdana"/>
          <w:lang w:val="et-EE"/>
        </w:rPr>
        <w:t xml:space="preserve"> versiooni</w:t>
      </w:r>
      <w:r w:rsidR="000F48FB">
        <w:rPr>
          <w:rFonts w:ascii="Verdana" w:hAnsi="Verdana"/>
          <w:lang w:val="et-EE"/>
        </w:rPr>
        <w:t>de</w:t>
      </w:r>
      <w:r w:rsidRPr="005167DA">
        <w:rPr>
          <w:rFonts w:ascii="Verdana" w:hAnsi="Verdana"/>
          <w:lang w:val="et-EE"/>
        </w:rPr>
        <w:t>s.</w:t>
      </w:r>
    </w:p>
    <w:p w:rsidR="002A4C15" w:rsidRDefault="002A4C15">
      <w:pPr>
        <w:jc w:val="both"/>
        <w:rPr>
          <w:rFonts w:ascii="Verdana" w:hAnsi="Verdana"/>
        </w:rPr>
      </w:pPr>
    </w:p>
    <w:p w:rsidR="00277C19" w:rsidRDefault="00277C19" w:rsidP="00277C19">
      <w:pPr>
        <w:pStyle w:val="BodyTextIndent"/>
        <w:ind w:left="0" w:firstLine="0"/>
        <w:jc w:val="both"/>
        <w:rPr>
          <w:bCs/>
        </w:rPr>
      </w:pPr>
    </w:p>
    <w:p w:rsidR="00277C19" w:rsidRDefault="000F48FB" w:rsidP="00277C19">
      <w:pPr>
        <w:ind w:left="567" w:hanging="567"/>
        <w:jc w:val="both"/>
        <w:rPr>
          <w:rFonts w:ascii="Verdana" w:hAnsi="Verdana"/>
          <w:b/>
          <w:lang w:val="et-EE"/>
        </w:rPr>
      </w:pPr>
      <w:r w:rsidRPr="000F48FB">
        <w:rPr>
          <w:rFonts w:ascii="Verdana" w:hAnsi="Verdana"/>
          <w:b/>
          <w:lang w:val="et-EE"/>
        </w:rPr>
        <w:t>Börsitehingute realis</w:t>
      </w:r>
      <w:r>
        <w:rPr>
          <w:rFonts w:ascii="Verdana" w:hAnsi="Verdana"/>
          <w:b/>
          <w:lang w:val="et-EE"/>
        </w:rPr>
        <w:t>eerimise ja arveldamise reeglid (Arveldusreeglid</w:t>
      </w:r>
      <w:r w:rsidR="00DE4DE3">
        <w:rPr>
          <w:rFonts w:ascii="Verdana" w:hAnsi="Verdana"/>
          <w:b/>
          <w:lang w:val="et-EE"/>
        </w:rPr>
        <w:t>, AR</w:t>
      </w:r>
      <w:r>
        <w:rPr>
          <w:rFonts w:ascii="Verdana" w:hAnsi="Verdana"/>
          <w:b/>
          <w:lang w:val="et-EE"/>
        </w:rPr>
        <w:t>)</w:t>
      </w:r>
    </w:p>
    <w:p w:rsidR="000F48FB" w:rsidRDefault="000F48FB" w:rsidP="00277C19">
      <w:pPr>
        <w:ind w:left="567" w:hanging="567"/>
        <w:jc w:val="both"/>
        <w:rPr>
          <w:rFonts w:ascii="Verdana" w:hAnsi="Verdana"/>
          <w:b/>
          <w:lang w:val="et-EE"/>
        </w:rPr>
      </w:pPr>
    </w:p>
    <w:p w:rsidR="00277C19" w:rsidRPr="001D38CF" w:rsidRDefault="004E4D12" w:rsidP="00025FCF">
      <w:pPr>
        <w:pStyle w:val="BodyTextIndent"/>
        <w:numPr>
          <w:ilvl w:val="0"/>
          <w:numId w:val="2"/>
        </w:numPr>
        <w:ind w:hanging="720"/>
        <w:jc w:val="both"/>
        <w:rPr>
          <w:u w:val="single"/>
        </w:rPr>
      </w:pPr>
      <w:r>
        <w:rPr>
          <w:u w:val="single"/>
        </w:rPr>
        <w:t>Tühistatud on AR peatükk 5</w:t>
      </w:r>
      <w:r w:rsidR="00EC747F">
        <w:rPr>
          <w:u w:val="single"/>
        </w:rPr>
        <w:t>.</w:t>
      </w:r>
    </w:p>
    <w:p w:rsidR="00E40F7D" w:rsidRDefault="00E40F7D" w:rsidP="004E4D12">
      <w:pPr>
        <w:pStyle w:val="BodyText"/>
        <w:jc w:val="both"/>
        <w:rPr>
          <w:i w:val="0"/>
        </w:rPr>
      </w:pPr>
    </w:p>
    <w:p w:rsidR="00E40F7D" w:rsidRPr="009E5641" w:rsidRDefault="00E40F7D" w:rsidP="00E40F7D">
      <w:pPr>
        <w:pStyle w:val="ListParagraph"/>
        <w:tabs>
          <w:tab w:val="num" w:pos="709"/>
          <w:tab w:val="left" w:pos="2124"/>
        </w:tabs>
        <w:ind w:left="709"/>
        <w:jc w:val="both"/>
        <w:rPr>
          <w:rFonts w:ascii="Verdana" w:hAnsi="Verdana"/>
        </w:rPr>
      </w:pPr>
      <w:r w:rsidRPr="009E5641">
        <w:rPr>
          <w:rFonts w:ascii="Verdana" w:hAnsi="Verdana"/>
          <w:bCs/>
          <w:u w:val="single"/>
        </w:rPr>
        <w:t>Selgitus:</w:t>
      </w:r>
      <w:r w:rsidRPr="009E5641">
        <w:rPr>
          <w:rFonts w:ascii="Verdana" w:hAnsi="Verdana"/>
          <w:bCs/>
        </w:rPr>
        <w:t xml:space="preserve"> </w:t>
      </w:r>
      <w:r w:rsidRPr="009E5641">
        <w:rPr>
          <w:rFonts w:ascii="Verdana" w:hAnsi="Verdana"/>
          <w:bCs/>
        </w:rPr>
        <w:tab/>
      </w:r>
      <w:r w:rsidR="004E4D12">
        <w:rPr>
          <w:rFonts w:ascii="Verdana" w:hAnsi="Verdana"/>
        </w:rPr>
        <w:t xml:space="preserve">Kogu </w:t>
      </w:r>
      <w:r w:rsidR="004E4D12" w:rsidRPr="002B667E">
        <w:rPr>
          <w:rFonts w:ascii="Verdana" w:hAnsi="Verdana"/>
        </w:rPr>
        <w:t xml:space="preserve">garantiifondi regulatsioon </w:t>
      </w:r>
      <w:r w:rsidR="004E4D12">
        <w:rPr>
          <w:rFonts w:ascii="Verdana" w:hAnsi="Verdana"/>
        </w:rPr>
        <w:t xml:space="preserve">(nii praegune AR </w:t>
      </w:r>
      <w:r w:rsidR="00EA1CF9">
        <w:rPr>
          <w:rFonts w:ascii="Verdana" w:hAnsi="Verdana"/>
        </w:rPr>
        <w:t>p</w:t>
      </w:r>
      <w:r w:rsidR="004E4D12">
        <w:rPr>
          <w:rFonts w:ascii="Verdana" w:hAnsi="Verdana"/>
        </w:rPr>
        <w:t xml:space="preserve">tk 5 kui ka Kord) kehtestatakse </w:t>
      </w:r>
      <w:r w:rsidR="004E4D12" w:rsidRPr="002B667E">
        <w:rPr>
          <w:rFonts w:ascii="Verdana" w:hAnsi="Verdana"/>
        </w:rPr>
        <w:t>edaspidi Reglemendi eraldi osa</w:t>
      </w:r>
      <w:r w:rsidR="004E4D12">
        <w:rPr>
          <w:rFonts w:ascii="Verdana" w:hAnsi="Verdana"/>
        </w:rPr>
        <w:t>s</w:t>
      </w:r>
      <w:r w:rsidR="004E4D12" w:rsidRPr="002B667E">
        <w:rPr>
          <w:rFonts w:ascii="Verdana" w:hAnsi="Verdana"/>
        </w:rPr>
        <w:t xml:space="preserve"> “Garantiifondi moodustamise ja </w:t>
      </w:r>
      <w:r w:rsidR="004E4D12">
        <w:rPr>
          <w:rFonts w:ascii="Verdana" w:hAnsi="Verdana"/>
        </w:rPr>
        <w:t>kasutamise reeglid“.</w:t>
      </w:r>
    </w:p>
    <w:p w:rsidR="00E40F7D" w:rsidRDefault="00E40F7D" w:rsidP="00E40F7D">
      <w:pPr>
        <w:pStyle w:val="BodyText"/>
        <w:ind w:left="1418"/>
        <w:jc w:val="both"/>
        <w:rPr>
          <w:i w:val="0"/>
        </w:rPr>
      </w:pPr>
    </w:p>
    <w:p w:rsidR="00EC747F" w:rsidRDefault="00E40F7D" w:rsidP="00E40F7D">
      <w:pPr>
        <w:pStyle w:val="BodyText"/>
        <w:ind w:left="1418"/>
        <w:jc w:val="both"/>
        <w:rPr>
          <w:i w:val="0"/>
        </w:rPr>
      </w:pPr>
      <w:r w:rsidRPr="00E40F7D">
        <w:rPr>
          <w:i w:val="0"/>
        </w:rPr>
        <w:t xml:space="preserve"> </w:t>
      </w:r>
    </w:p>
    <w:p w:rsidR="00EC747F" w:rsidRPr="00EC747F" w:rsidRDefault="004E4D12" w:rsidP="00025FCF">
      <w:pPr>
        <w:pStyle w:val="BodyTextIndent"/>
        <w:numPr>
          <w:ilvl w:val="0"/>
          <w:numId w:val="2"/>
        </w:numPr>
        <w:ind w:left="709" w:hanging="709"/>
        <w:jc w:val="both"/>
      </w:pPr>
      <w:r>
        <w:rPr>
          <w:u w:val="single"/>
        </w:rPr>
        <w:t>Muudetud on punktis 2.4</w:t>
      </w:r>
      <w:r w:rsidR="003120C7">
        <w:rPr>
          <w:u w:val="single"/>
        </w:rPr>
        <w:t xml:space="preserve"> </w:t>
      </w:r>
      <w:r>
        <w:rPr>
          <w:u w:val="single"/>
        </w:rPr>
        <w:t>sõnastust alljärgnevalt</w:t>
      </w:r>
    </w:p>
    <w:p w:rsidR="003120C7" w:rsidRDefault="003120C7" w:rsidP="0081359B">
      <w:pPr>
        <w:tabs>
          <w:tab w:val="num" w:pos="709"/>
        </w:tabs>
        <w:jc w:val="both"/>
        <w:rPr>
          <w:rFonts w:ascii="Verdana" w:hAnsi="Verdana"/>
        </w:rPr>
      </w:pPr>
    </w:p>
    <w:p w:rsidR="004E4D12" w:rsidRDefault="004E4D12" w:rsidP="004E4D12">
      <w:pPr>
        <w:tabs>
          <w:tab w:val="num" w:pos="709"/>
        </w:tabs>
        <w:ind w:left="2268" w:hanging="850"/>
        <w:jc w:val="both"/>
        <w:rPr>
          <w:rFonts w:ascii="Verdana" w:hAnsi="Verdana"/>
        </w:rPr>
      </w:pPr>
      <w:r w:rsidRPr="004E4D12">
        <w:rPr>
          <w:rFonts w:ascii="Verdana" w:hAnsi="Verdana"/>
        </w:rPr>
        <w:t>2.4.</w:t>
      </w:r>
      <w:r w:rsidRPr="004E4D12">
        <w:rPr>
          <w:rFonts w:ascii="Verdana" w:hAnsi="Verdana"/>
        </w:rPr>
        <w:tab/>
        <w:t xml:space="preserve">Börsi liige on kohustatud esitama </w:t>
      </w:r>
      <w:r w:rsidRPr="004E4D12">
        <w:rPr>
          <w:rFonts w:ascii="Verdana" w:hAnsi="Verdana"/>
          <w:strike/>
          <w:color w:val="FF0000"/>
        </w:rPr>
        <w:t>arvelduslepingu koopia</w:t>
      </w:r>
      <w:r w:rsidRPr="004E4D12">
        <w:rPr>
          <w:rFonts w:ascii="Verdana" w:hAnsi="Verdana"/>
          <w:color w:val="FF0000"/>
        </w:rPr>
        <w:t xml:space="preserve"> </w:t>
      </w:r>
      <w:r w:rsidRPr="004E4D12">
        <w:rPr>
          <w:rFonts w:ascii="Verdana" w:hAnsi="Verdana"/>
        </w:rPr>
        <w:t xml:space="preserve">Börsile </w:t>
      </w:r>
      <w:r w:rsidRPr="004E4D12">
        <w:rPr>
          <w:rFonts w:ascii="Verdana" w:hAnsi="Verdana"/>
          <w:color w:val="FF0000"/>
        </w:rPr>
        <w:t>olulised andmed arvelduslepingu kohta</w:t>
      </w:r>
      <w:r w:rsidRPr="004E4D12">
        <w:rPr>
          <w:rFonts w:ascii="Verdana" w:hAnsi="Verdana"/>
        </w:rPr>
        <w:t xml:space="preserve">. Hiljemalt viis pangapäeva enne arvelduslepingu lõppemist on Börsi liige kohustatud esitama </w:t>
      </w:r>
      <w:r w:rsidRPr="004E4D12">
        <w:rPr>
          <w:rFonts w:ascii="Verdana" w:hAnsi="Verdana"/>
          <w:color w:val="FF0000"/>
        </w:rPr>
        <w:t xml:space="preserve">andmed </w:t>
      </w:r>
      <w:r w:rsidRPr="004E4D12">
        <w:rPr>
          <w:rFonts w:ascii="Verdana" w:hAnsi="Verdana"/>
          <w:strike/>
          <w:color w:val="FF0000"/>
        </w:rPr>
        <w:t>koopia</w:t>
      </w:r>
      <w:r w:rsidRPr="004E4D12">
        <w:rPr>
          <w:rFonts w:ascii="Verdana" w:hAnsi="Verdana"/>
          <w:color w:val="FF0000"/>
        </w:rPr>
        <w:t xml:space="preserve"> </w:t>
      </w:r>
      <w:r w:rsidRPr="004E4D12">
        <w:rPr>
          <w:rFonts w:ascii="Verdana" w:hAnsi="Verdana"/>
        </w:rPr>
        <w:t>uue</w:t>
      </w:r>
      <w:r w:rsidRPr="004E4D12">
        <w:rPr>
          <w:rFonts w:ascii="Verdana" w:hAnsi="Verdana"/>
          <w:strike/>
          <w:color w:val="FF0000"/>
        </w:rPr>
        <w:t>st</w:t>
      </w:r>
      <w:r>
        <w:rPr>
          <w:rFonts w:ascii="Verdana" w:hAnsi="Verdana"/>
        </w:rPr>
        <w:t xml:space="preserve"> arvelduslepingu </w:t>
      </w:r>
      <w:r w:rsidRPr="004E4D12">
        <w:rPr>
          <w:rFonts w:ascii="Verdana" w:hAnsi="Verdana"/>
          <w:color w:val="FF0000"/>
        </w:rPr>
        <w:t>kohta</w:t>
      </w:r>
      <w:r w:rsidRPr="004E4D12">
        <w:rPr>
          <w:rFonts w:ascii="Verdana" w:hAnsi="Verdana"/>
        </w:rPr>
        <w:t>, mis peab jõustuma hiljemalt eelmise arvelduslepingu lõppemise päevale järgneval päeval.</w:t>
      </w:r>
    </w:p>
    <w:p w:rsidR="004E4D12" w:rsidRPr="009E5641" w:rsidRDefault="004E4D12" w:rsidP="0081359B">
      <w:pPr>
        <w:tabs>
          <w:tab w:val="num" w:pos="709"/>
        </w:tabs>
        <w:jc w:val="both"/>
        <w:rPr>
          <w:rFonts w:ascii="Verdana" w:hAnsi="Verdana"/>
        </w:rPr>
      </w:pPr>
    </w:p>
    <w:p w:rsidR="009E5641" w:rsidRDefault="009E5641" w:rsidP="009E5641">
      <w:pPr>
        <w:pStyle w:val="ListParagraph"/>
        <w:tabs>
          <w:tab w:val="num" w:pos="709"/>
          <w:tab w:val="left" w:pos="2124"/>
        </w:tabs>
        <w:ind w:left="709"/>
        <w:jc w:val="both"/>
        <w:rPr>
          <w:rFonts w:ascii="Verdana" w:hAnsi="Verdana"/>
        </w:rPr>
      </w:pPr>
      <w:r w:rsidRPr="009E5641">
        <w:rPr>
          <w:rFonts w:ascii="Verdana" w:hAnsi="Verdana"/>
          <w:bCs/>
          <w:u w:val="single"/>
        </w:rPr>
        <w:t>Selgitus:</w:t>
      </w:r>
      <w:r w:rsidRPr="009E5641">
        <w:rPr>
          <w:rFonts w:ascii="Verdana" w:hAnsi="Verdana"/>
          <w:bCs/>
        </w:rPr>
        <w:t xml:space="preserve"> </w:t>
      </w:r>
      <w:r w:rsidRPr="009E5641">
        <w:rPr>
          <w:rFonts w:ascii="Verdana" w:hAnsi="Verdana"/>
          <w:bCs/>
        </w:rPr>
        <w:tab/>
        <w:t>Sätte eesmärk on</w:t>
      </w:r>
      <w:r w:rsidR="003120C7">
        <w:rPr>
          <w:rFonts w:ascii="Verdana" w:hAnsi="Verdana"/>
        </w:rPr>
        <w:t xml:space="preserve"> vältida </w:t>
      </w:r>
      <w:r w:rsidR="002658EB">
        <w:rPr>
          <w:rFonts w:ascii="Verdana" w:hAnsi="Verdana"/>
        </w:rPr>
        <w:t>ülemäärast</w:t>
      </w:r>
      <w:r w:rsidR="003120C7">
        <w:rPr>
          <w:rFonts w:ascii="Verdana" w:hAnsi="Verdana"/>
        </w:rPr>
        <w:t xml:space="preserve"> regulatsiooni ning</w:t>
      </w:r>
      <w:r w:rsidR="002658EB">
        <w:rPr>
          <w:rFonts w:ascii="Verdana" w:hAnsi="Verdana"/>
        </w:rPr>
        <w:t xml:space="preserve"> kuna Börs ei vaja arvelduslepingu koopiat, vaid selle olulisi andmeid, siis on tehtud asjakohane täpsustus</w:t>
      </w:r>
      <w:r>
        <w:rPr>
          <w:rFonts w:ascii="Verdana" w:hAnsi="Verdana"/>
        </w:rPr>
        <w:t>.</w:t>
      </w:r>
      <w:r w:rsidR="002658EB">
        <w:rPr>
          <w:rFonts w:ascii="Verdana" w:hAnsi="Verdana"/>
        </w:rPr>
        <w:t xml:space="preserve"> Kuna järelevalve teostamiseks on Börsil õigus liikmelt nõuda dokumentide esitamist, säilib sisuliselt ka õigus nõuda erivajaduse tekkimise korral lepingut.</w:t>
      </w:r>
    </w:p>
    <w:p w:rsidR="002658EB" w:rsidRDefault="002658EB" w:rsidP="009E5641">
      <w:pPr>
        <w:pStyle w:val="ListParagraph"/>
        <w:tabs>
          <w:tab w:val="num" w:pos="709"/>
          <w:tab w:val="left" w:pos="2124"/>
        </w:tabs>
        <w:ind w:left="709"/>
        <w:jc w:val="both"/>
        <w:rPr>
          <w:rFonts w:ascii="Verdana" w:hAnsi="Verdana"/>
        </w:rPr>
      </w:pPr>
    </w:p>
    <w:p w:rsidR="002658EB" w:rsidRDefault="002658EB" w:rsidP="009E5641">
      <w:pPr>
        <w:pStyle w:val="ListParagraph"/>
        <w:tabs>
          <w:tab w:val="num" w:pos="709"/>
          <w:tab w:val="left" w:pos="2124"/>
        </w:tabs>
        <w:ind w:left="709"/>
        <w:jc w:val="both"/>
        <w:rPr>
          <w:rFonts w:ascii="Verdana" w:hAnsi="Verdana"/>
        </w:rPr>
      </w:pPr>
    </w:p>
    <w:p w:rsidR="002658EB" w:rsidRDefault="002658EB" w:rsidP="002658EB">
      <w:pPr>
        <w:ind w:left="567" w:hanging="567"/>
        <w:jc w:val="both"/>
        <w:rPr>
          <w:rFonts w:ascii="Verdana" w:hAnsi="Verdana"/>
          <w:b/>
          <w:lang w:val="et-EE"/>
        </w:rPr>
      </w:pPr>
      <w:r>
        <w:rPr>
          <w:rFonts w:ascii="Verdana" w:hAnsi="Verdana"/>
          <w:b/>
          <w:lang w:val="et-EE"/>
        </w:rPr>
        <w:t>Nõuded Emitentidele (NE)</w:t>
      </w:r>
    </w:p>
    <w:p w:rsidR="002658EB" w:rsidRPr="009E5641" w:rsidRDefault="002658EB" w:rsidP="009E5641">
      <w:pPr>
        <w:pStyle w:val="ListParagraph"/>
        <w:tabs>
          <w:tab w:val="num" w:pos="709"/>
          <w:tab w:val="left" w:pos="2124"/>
        </w:tabs>
        <w:ind w:left="709"/>
        <w:jc w:val="both"/>
        <w:rPr>
          <w:rFonts w:ascii="Verdana" w:hAnsi="Verdana"/>
        </w:rPr>
      </w:pPr>
    </w:p>
    <w:p w:rsidR="001B06AE" w:rsidRPr="001D38CF" w:rsidRDefault="005226E5" w:rsidP="00025FCF">
      <w:pPr>
        <w:pStyle w:val="BodyTextIndent"/>
        <w:numPr>
          <w:ilvl w:val="0"/>
          <w:numId w:val="2"/>
        </w:numPr>
        <w:ind w:hanging="720"/>
        <w:jc w:val="both"/>
        <w:rPr>
          <w:u w:val="single"/>
        </w:rPr>
      </w:pPr>
      <w:r>
        <w:rPr>
          <w:u w:val="single"/>
        </w:rPr>
        <w:t>Muudetud</w:t>
      </w:r>
      <w:r w:rsidR="003120C7">
        <w:rPr>
          <w:u w:val="single"/>
        </w:rPr>
        <w:t xml:space="preserve"> on P</w:t>
      </w:r>
      <w:r w:rsidR="001B06AE">
        <w:rPr>
          <w:u w:val="single"/>
        </w:rPr>
        <w:t>unkt</w:t>
      </w:r>
      <w:r>
        <w:rPr>
          <w:u w:val="single"/>
        </w:rPr>
        <w:t xml:space="preserve">i 7.19.1.3 regulatsiooni alljärgnevas </w:t>
      </w:r>
      <w:r w:rsidR="001B06AE">
        <w:rPr>
          <w:u w:val="single"/>
        </w:rPr>
        <w:t xml:space="preserve">sõnastuses </w:t>
      </w:r>
    </w:p>
    <w:p w:rsidR="005226E5" w:rsidRPr="005226E5" w:rsidRDefault="005226E5" w:rsidP="005226E5">
      <w:pPr>
        <w:tabs>
          <w:tab w:val="left" w:pos="2124"/>
        </w:tabs>
        <w:jc w:val="both"/>
        <w:rPr>
          <w:rFonts w:ascii="Verdana" w:hAnsi="Verdana"/>
          <w:u w:val="single"/>
        </w:rPr>
      </w:pPr>
    </w:p>
    <w:p w:rsidR="005226E5" w:rsidRDefault="005226E5" w:rsidP="003120C7">
      <w:pPr>
        <w:pStyle w:val="ListParagraph"/>
        <w:tabs>
          <w:tab w:val="left" w:pos="2124"/>
        </w:tabs>
        <w:ind w:left="2268" w:hanging="850"/>
        <w:jc w:val="both"/>
        <w:rPr>
          <w:rFonts w:ascii="Verdana" w:hAnsi="Verdana"/>
          <w:u w:val="single"/>
          <w:lang w:val="en-US"/>
        </w:rPr>
      </w:pPr>
      <w:r>
        <w:rPr>
          <w:rFonts w:ascii="Verdana" w:hAnsi="Verdana"/>
          <w:u w:val="single"/>
          <w:lang w:val="en-US"/>
        </w:rPr>
        <w:t>7.19.1.3.</w:t>
      </w:r>
      <w:r>
        <w:rPr>
          <w:rFonts w:ascii="Verdana" w:hAnsi="Verdana"/>
          <w:u w:val="single"/>
          <w:lang w:val="en-US"/>
        </w:rPr>
        <w:tab/>
      </w:r>
      <w:r w:rsidRPr="005226E5">
        <w:rPr>
          <w:rFonts w:ascii="Verdana" w:hAnsi="Verdana"/>
          <w:color w:val="FF0000"/>
          <w:u w:val="single"/>
          <w:lang w:val="en-US"/>
        </w:rPr>
        <w:t>Kui</w:t>
      </w:r>
      <w:r>
        <w:rPr>
          <w:rFonts w:ascii="Verdana" w:hAnsi="Verdana"/>
          <w:u w:val="single"/>
          <w:lang w:val="en-US"/>
        </w:rPr>
        <w:t xml:space="preserve"> </w:t>
      </w:r>
      <w:r w:rsidRPr="005226E5">
        <w:rPr>
          <w:rFonts w:ascii="Verdana" w:hAnsi="Verdana"/>
          <w:u w:val="single"/>
          <w:lang w:val="en-US"/>
        </w:rPr>
        <w:t xml:space="preserve">ühele isikule antud optsioonide alusel saadavad aktsiad kogumis </w:t>
      </w:r>
      <w:r w:rsidRPr="00F95A99">
        <w:rPr>
          <w:rFonts w:ascii="Verdana" w:hAnsi="Verdana"/>
          <w:strike/>
          <w:color w:val="FF0000"/>
          <w:u w:val="single"/>
          <w:lang w:val="en-US"/>
        </w:rPr>
        <w:t>ei või</w:t>
      </w:r>
      <w:r w:rsidRPr="00F95A99">
        <w:rPr>
          <w:rFonts w:ascii="Verdana" w:hAnsi="Verdana"/>
          <w:color w:val="FF0000"/>
          <w:u w:val="single"/>
          <w:lang w:val="en-US"/>
        </w:rPr>
        <w:t xml:space="preserve"> </w:t>
      </w:r>
      <w:r w:rsidRPr="005226E5">
        <w:rPr>
          <w:rFonts w:ascii="Verdana" w:hAnsi="Verdana"/>
          <w:u w:val="single"/>
          <w:lang w:val="en-US"/>
        </w:rPr>
        <w:t>hõlma</w:t>
      </w:r>
      <w:r w:rsidRPr="00F95A99">
        <w:rPr>
          <w:rFonts w:ascii="Verdana" w:hAnsi="Verdana"/>
          <w:color w:val="FF0000"/>
          <w:u w:val="single"/>
          <w:lang w:val="en-US"/>
        </w:rPr>
        <w:t>vad</w:t>
      </w:r>
      <w:r w:rsidRPr="00F95A99">
        <w:rPr>
          <w:rFonts w:ascii="Verdana" w:hAnsi="Verdana"/>
          <w:strike/>
          <w:color w:val="FF0000"/>
          <w:u w:val="single"/>
          <w:lang w:val="en-US"/>
        </w:rPr>
        <w:t>ta</w:t>
      </w:r>
      <w:r w:rsidRPr="005226E5">
        <w:rPr>
          <w:rFonts w:ascii="Verdana" w:hAnsi="Verdana"/>
          <w:u w:val="single"/>
          <w:lang w:val="en-US"/>
        </w:rPr>
        <w:t xml:space="preserve"> rohkem kui 25% kõigist optsioonide alusel antavatest/müüdavatest aktsiatest kokku, </w:t>
      </w:r>
      <w:r w:rsidRPr="00F95A99">
        <w:rPr>
          <w:rFonts w:ascii="Verdana" w:hAnsi="Verdana"/>
          <w:color w:val="FF0000"/>
          <w:u w:val="single"/>
          <w:lang w:val="en-US"/>
        </w:rPr>
        <w:t>avalikustab Emitent teabe igale nimetatud isikule eraldatavate aktsiate arvu kohta.</w:t>
      </w:r>
    </w:p>
    <w:p w:rsidR="003120C7" w:rsidRDefault="003120C7" w:rsidP="001B06AE">
      <w:pPr>
        <w:pStyle w:val="ListParagraph"/>
        <w:tabs>
          <w:tab w:val="left" w:pos="2124"/>
        </w:tabs>
        <w:ind w:left="585"/>
        <w:jc w:val="both"/>
        <w:rPr>
          <w:rFonts w:ascii="Verdana" w:hAnsi="Verdana"/>
        </w:rPr>
      </w:pPr>
    </w:p>
    <w:p w:rsidR="009E5641" w:rsidRPr="009E5641" w:rsidRDefault="009E5641" w:rsidP="009E5641">
      <w:pPr>
        <w:pStyle w:val="ListParagraph"/>
        <w:tabs>
          <w:tab w:val="num" w:pos="709"/>
          <w:tab w:val="left" w:pos="2124"/>
        </w:tabs>
        <w:ind w:left="709"/>
        <w:jc w:val="both"/>
        <w:rPr>
          <w:rFonts w:ascii="Verdana" w:hAnsi="Verdana"/>
        </w:rPr>
      </w:pPr>
      <w:r w:rsidRPr="009E5641">
        <w:rPr>
          <w:rFonts w:ascii="Verdana" w:hAnsi="Verdana"/>
          <w:bCs/>
          <w:u w:val="single"/>
        </w:rPr>
        <w:t>Selgitus:</w:t>
      </w:r>
      <w:r w:rsidR="002C7A6F">
        <w:rPr>
          <w:rFonts w:ascii="Verdana" w:hAnsi="Verdana"/>
          <w:bCs/>
        </w:rPr>
        <w:t xml:space="preserve"> </w:t>
      </w:r>
      <w:r w:rsidR="002C7A6F">
        <w:rPr>
          <w:rFonts w:ascii="Verdana" w:hAnsi="Verdana"/>
          <w:bCs/>
        </w:rPr>
        <w:tab/>
      </w:r>
      <w:r w:rsidR="00F95A99">
        <w:rPr>
          <w:rFonts w:ascii="Verdana" w:hAnsi="Verdana"/>
          <w:bCs/>
        </w:rPr>
        <w:t>Börsi poole on pöördunud 3 emitenti ning palunud kaaluda seatud piirangu tühistamist. Börs on senikehtinud piirangut kaalunud ning asunud seisukohale, et kuigi see võib meie turu suurust ning emitentide aktsionäride struktuuri iseärasusi arvestades teatud juhtudel mõistlikuks osutuda, on see oma sisult siiski ebaproportsionaalne piirang, mis võib otseselt kahjustada emitendi konkurentsivõimet juhtide/võtmetöötajate motiveerimisel</w:t>
      </w:r>
      <w:r w:rsidR="00F95A99">
        <w:rPr>
          <w:rFonts w:ascii="Verdana" w:hAnsi="Verdana"/>
        </w:rPr>
        <w:t xml:space="preserve">, muutes teatud juhtudel juhtide pikaajalise motiveerimise võimatuks. Ka ei ole taolist piirangut kehtestatud ei teistel Balti börsidel ega ka Põhjamaades. Kuna Börsi eesmärk ei ole emitentide finantstegevust ülemäära reguleerida, vaid tagada piisav teabe läbipaistvus ja avalikustamine, asendas Börs senikehtinud piirangu täpsema optsioonide jaotuse </w:t>
      </w:r>
      <w:r w:rsidR="00F95A99">
        <w:rPr>
          <w:rFonts w:ascii="Verdana" w:hAnsi="Verdana"/>
        </w:rPr>
        <w:lastRenderedPageBreak/>
        <w:t>avalikustamiskohustusega. Emitentide hinnang muudatusele on positiivne, veelgi enam, muudatus on algatatud mitme emitendi poolt.</w:t>
      </w:r>
    </w:p>
    <w:p w:rsidR="009E5641" w:rsidRDefault="009E5641" w:rsidP="001B06AE">
      <w:pPr>
        <w:pStyle w:val="ListParagraph"/>
        <w:tabs>
          <w:tab w:val="left" w:pos="2124"/>
        </w:tabs>
        <w:ind w:left="585"/>
        <w:jc w:val="both"/>
        <w:rPr>
          <w:rFonts w:ascii="Verdana" w:hAnsi="Verdana"/>
        </w:rPr>
      </w:pPr>
    </w:p>
    <w:p w:rsidR="00EA1CF9" w:rsidRDefault="00EA1CF9" w:rsidP="001B06AE">
      <w:pPr>
        <w:pStyle w:val="ListParagraph"/>
        <w:tabs>
          <w:tab w:val="left" w:pos="2124"/>
        </w:tabs>
        <w:ind w:left="585"/>
        <w:jc w:val="both"/>
        <w:rPr>
          <w:rFonts w:ascii="Verdana" w:hAnsi="Verdana"/>
        </w:rPr>
      </w:pPr>
    </w:p>
    <w:p w:rsidR="00EA1CF9" w:rsidRDefault="00EA1CF9" w:rsidP="00EA1CF9">
      <w:pPr>
        <w:pStyle w:val="ListParagraph"/>
        <w:tabs>
          <w:tab w:val="left" w:pos="2124"/>
        </w:tabs>
        <w:ind w:left="0"/>
        <w:jc w:val="both"/>
        <w:rPr>
          <w:rFonts w:ascii="Verdana" w:hAnsi="Verdana"/>
        </w:rPr>
      </w:pPr>
      <w:r w:rsidRPr="00EA1CF9">
        <w:rPr>
          <w:rFonts w:ascii="Verdana" w:hAnsi="Verdana"/>
          <w:b/>
        </w:rPr>
        <w:t>Garantiifondi moodustamise ja kasutamise reeglid</w:t>
      </w:r>
      <w:r>
        <w:rPr>
          <w:rFonts w:ascii="Verdana" w:hAnsi="Verdana"/>
          <w:b/>
        </w:rPr>
        <w:t xml:space="preserve"> (GR)</w:t>
      </w:r>
    </w:p>
    <w:p w:rsidR="00EC747F" w:rsidRDefault="00EC747F" w:rsidP="009E5641">
      <w:pPr>
        <w:pStyle w:val="BodyText"/>
        <w:jc w:val="both"/>
        <w:rPr>
          <w:i w:val="0"/>
        </w:rPr>
      </w:pPr>
    </w:p>
    <w:p w:rsidR="001B06AE" w:rsidRPr="001D38CF" w:rsidRDefault="001D2FE1" w:rsidP="001D2FE1">
      <w:pPr>
        <w:pStyle w:val="BodyTextIndent"/>
        <w:numPr>
          <w:ilvl w:val="0"/>
          <w:numId w:val="2"/>
        </w:numPr>
        <w:jc w:val="both"/>
        <w:rPr>
          <w:u w:val="single"/>
        </w:rPr>
      </w:pPr>
      <w:r>
        <w:rPr>
          <w:u w:val="single"/>
        </w:rPr>
        <w:t>Reglemendile on l</w:t>
      </w:r>
      <w:r w:rsidR="00D24C61">
        <w:rPr>
          <w:u w:val="single"/>
        </w:rPr>
        <w:t>isatud</w:t>
      </w:r>
      <w:r>
        <w:rPr>
          <w:u w:val="single"/>
        </w:rPr>
        <w:t xml:space="preserve"> uus peatükk</w:t>
      </w:r>
      <w:r w:rsidR="001B06AE">
        <w:rPr>
          <w:u w:val="single"/>
        </w:rPr>
        <w:t xml:space="preserve"> </w:t>
      </w:r>
      <w:r w:rsidRPr="001D2FE1">
        <w:rPr>
          <w:u w:val="single"/>
        </w:rPr>
        <w:t>“Garantiifondi moodustamise ja kasutamise reeglid“</w:t>
      </w:r>
      <w:r>
        <w:rPr>
          <w:u w:val="single"/>
        </w:rPr>
        <w:t xml:space="preserve"> (GR)</w:t>
      </w:r>
      <w:r w:rsidRPr="001D2FE1">
        <w:rPr>
          <w:u w:val="single"/>
        </w:rPr>
        <w:t>.</w:t>
      </w:r>
    </w:p>
    <w:p w:rsidR="00207BE1" w:rsidRPr="0082347F" w:rsidRDefault="00207BE1" w:rsidP="0082347F">
      <w:pPr>
        <w:tabs>
          <w:tab w:val="num" w:pos="709"/>
          <w:tab w:val="left" w:pos="2124"/>
        </w:tabs>
        <w:jc w:val="both"/>
        <w:rPr>
          <w:rFonts w:ascii="Verdana" w:hAnsi="Verdana"/>
          <w:bCs/>
        </w:rPr>
      </w:pPr>
    </w:p>
    <w:p w:rsidR="001D2FE1" w:rsidRDefault="002A5A4D" w:rsidP="001D2FE1">
      <w:pPr>
        <w:pStyle w:val="ListParagraph"/>
        <w:tabs>
          <w:tab w:val="num" w:pos="709"/>
          <w:tab w:val="left" w:pos="2124"/>
        </w:tabs>
        <w:ind w:left="709"/>
        <w:jc w:val="both"/>
        <w:rPr>
          <w:rFonts w:ascii="Verdana" w:hAnsi="Verdana"/>
          <w:bCs/>
        </w:rPr>
      </w:pPr>
      <w:r w:rsidRPr="002A5A4D">
        <w:rPr>
          <w:rFonts w:ascii="Verdana" w:hAnsi="Verdana"/>
          <w:bCs/>
        </w:rPr>
        <w:t xml:space="preserve">Selgitus: </w:t>
      </w:r>
      <w:r w:rsidRPr="002A5A4D">
        <w:rPr>
          <w:rFonts w:ascii="Verdana" w:hAnsi="Verdana"/>
          <w:bCs/>
        </w:rPr>
        <w:tab/>
      </w:r>
      <w:r w:rsidR="001D2FE1">
        <w:rPr>
          <w:rFonts w:ascii="Verdana" w:hAnsi="Verdana"/>
          <w:bCs/>
        </w:rPr>
        <w:t>Muudatuse</w:t>
      </w:r>
      <w:r w:rsidR="00D24C61">
        <w:rPr>
          <w:rFonts w:ascii="Verdana" w:hAnsi="Verdana"/>
          <w:bCs/>
        </w:rPr>
        <w:t xml:space="preserve"> eesmärk on kehtestada </w:t>
      </w:r>
      <w:r w:rsidR="001D2FE1">
        <w:rPr>
          <w:rFonts w:ascii="Verdana" w:hAnsi="Verdana"/>
          <w:bCs/>
        </w:rPr>
        <w:t>garantiifondi regulatsioon ühes dokumendis ning teha seda ühtsena ja harmoneeritult teiste Balti börsidega. GR</w:t>
      </w:r>
      <w:r w:rsidR="001D2FE1" w:rsidRPr="00207BE1">
        <w:rPr>
          <w:rFonts w:ascii="Verdana" w:hAnsi="Verdana"/>
          <w:bCs/>
        </w:rPr>
        <w:t xml:space="preserve"> regul</w:t>
      </w:r>
      <w:r w:rsidR="001D2FE1">
        <w:rPr>
          <w:rFonts w:ascii="Verdana" w:hAnsi="Verdana"/>
          <w:bCs/>
        </w:rPr>
        <w:t xml:space="preserve">atsioon koondab regulatsiooni, mis on kehtestatud nii praeguses AR ptk 5 kui ka Korras. </w:t>
      </w:r>
      <w:r w:rsidR="001D2FE1" w:rsidRPr="00207BE1">
        <w:rPr>
          <w:rFonts w:ascii="Verdana" w:hAnsi="Verdana"/>
          <w:bCs/>
        </w:rPr>
        <w:t xml:space="preserve"> </w:t>
      </w:r>
      <w:r w:rsidR="001D2FE1">
        <w:rPr>
          <w:rFonts w:ascii="Verdana" w:hAnsi="Verdana"/>
          <w:bCs/>
        </w:rPr>
        <w:t xml:space="preserve">Olulisi sisulisi muudatusi garantiifondi regulatsioonis tehtud ei ole, ühtlustatud on sõnastust teiste Balti börsidega, kõrvale jäetud sätteid, mis ei ole kas otstarbekad või asjakohased ning lisatud täpsustavaid sätteid. Kõik muudatused on nähtavad </w:t>
      </w:r>
      <w:r w:rsidR="001D2FE1" w:rsidRPr="001D2FE1">
        <w:rPr>
          <w:rFonts w:ascii="Verdana" w:hAnsi="Verdana"/>
          <w:bCs/>
          <w:i/>
        </w:rPr>
        <w:t xml:space="preserve">tracked changes </w:t>
      </w:r>
      <w:r w:rsidR="001D2FE1">
        <w:rPr>
          <w:rFonts w:ascii="Verdana" w:hAnsi="Verdana"/>
          <w:bCs/>
        </w:rPr>
        <w:t xml:space="preserve">formaadis võrrelduna praeguse AR ja Korra redaktsiooniga. Sisu osas muutub ainult garantiifondi perioodiliste osamaksete arvutamise metoodika, mis praegu on kehtestatud Korras. </w:t>
      </w:r>
    </w:p>
    <w:p w:rsidR="002A5A4D" w:rsidRPr="002A5A4D" w:rsidRDefault="002A5A4D" w:rsidP="002A5A4D">
      <w:pPr>
        <w:pStyle w:val="ListParagraph"/>
        <w:tabs>
          <w:tab w:val="num" w:pos="709"/>
          <w:tab w:val="left" w:pos="2124"/>
        </w:tabs>
        <w:ind w:left="709"/>
        <w:jc w:val="both"/>
        <w:rPr>
          <w:rFonts w:ascii="Verdana" w:hAnsi="Verdana"/>
        </w:rPr>
      </w:pPr>
    </w:p>
    <w:p w:rsidR="002A5A4D" w:rsidRPr="002A5A4D" w:rsidRDefault="002A5A4D" w:rsidP="001B06AE">
      <w:pPr>
        <w:pStyle w:val="ListParagraph"/>
        <w:ind w:left="2138"/>
        <w:jc w:val="both"/>
        <w:rPr>
          <w:rFonts w:ascii="Verdana" w:hAnsi="Verdana"/>
        </w:rPr>
      </w:pPr>
    </w:p>
    <w:p w:rsidR="002A5A4D" w:rsidRPr="002A5A4D" w:rsidRDefault="002A5A4D" w:rsidP="001B06AE">
      <w:pPr>
        <w:pStyle w:val="ListParagraph"/>
        <w:ind w:left="2138"/>
        <w:jc w:val="both"/>
        <w:rPr>
          <w:rFonts w:ascii="Verdana" w:hAnsi="Verdana"/>
        </w:rPr>
      </w:pPr>
    </w:p>
    <w:p w:rsidR="001B06AE" w:rsidRDefault="001B06AE" w:rsidP="00207BE1">
      <w:pPr>
        <w:pStyle w:val="BodyText"/>
        <w:jc w:val="both"/>
        <w:rPr>
          <w:i w:val="0"/>
        </w:rPr>
      </w:pPr>
    </w:p>
    <w:p w:rsidR="001B06AE" w:rsidRDefault="001B06AE" w:rsidP="001B06AE">
      <w:pPr>
        <w:pStyle w:val="ListParagraph"/>
        <w:ind w:left="2160"/>
        <w:jc w:val="both"/>
        <w:rPr>
          <w:rFonts w:ascii="Verdana" w:hAnsi="Verdana"/>
        </w:rPr>
      </w:pPr>
    </w:p>
    <w:p w:rsidR="00114227" w:rsidRDefault="00114227">
      <w:pPr>
        <w:pStyle w:val="BodyTextIndent"/>
        <w:ind w:left="0" w:firstLine="0"/>
        <w:jc w:val="both"/>
        <w:rPr>
          <w:bCs/>
        </w:rPr>
      </w:pPr>
    </w:p>
    <w:p w:rsidR="004933F0" w:rsidRDefault="004933F0" w:rsidP="00065B8F">
      <w:pPr>
        <w:tabs>
          <w:tab w:val="left" w:pos="709"/>
          <w:tab w:val="left" w:pos="2160"/>
        </w:tabs>
        <w:jc w:val="both"/>
        <w:rPr>
          <w:rFonts w:ascii="Verdana" w:hAnsi="Verdana"/>
          <w:iCs/>
        </w:rPr>
      </w:pPr>
    </w:p>
    <w:sectPr w:rsidR="004933F0">
      <w:headerReference w:type="default" r:id="rId8"/>
      <w:footerReference w:type="even" r:id="rId9"/>
      <w:footerReference w:type="default" r:id="rId10"/>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537" w:rsidRDefault="00E35537" w:rsidP="00114227">
      <w:r>
        <w:separator/>
      </w:r>
    </w:p>
  </w:endnote>
  <w:endnote w:type="continuationSeparator" w:id="0">
    <w:p w:rsidR="00E35537" w:rsidRDefault="00E35537" w:rsidP="0011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Verdana">
    <w:altName w:val="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27" w:rsidRDefault="001142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4227" w:rsidRDefault="001142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27" w:rsidRDefault="00114227">
    <w:pPr>
      <w:pStyle w:val="Footer"/>
      <w:framePr w:wrap="around" w:vAnchor="text" w:hAnchor="margin" w:xAlign="center" w:y="1"/>
      <w:rPr>
        <w:rStyle w:val="PageNumber"/>
        <w:rFonts w:ascii="Verdana" w:hAnsi="Verdana"/>
        <w:sz w:val="18"/>
      </w:rPr>
    </w:pPr>
    <w:r>
      <w:rPr>
        <w:rStyle w:val="PageNumber"/>
        <w:rFonts w:ascii="Verdana" w:hAnsi="Verdana"/>
        <w:sz w:val="18"/>
      </w:rPr>
      <w:fldChar w:fldCharType="begin"/>
    </w:r>
    <w:r>
      <w:rPr>
        <w:rStyle w:val="PageNumber"/>
        <w:rFonts w:ascii="Verdana" w:hAnsi="Verdana"/>
        <w:sz w:val="18"/>
      </w:rPr>
      <w:instrText xml:space="preserve">PAGE  </w:instrText>
    </w:r>
    <w:r>
      <w:rPr>
        <w:rStyle w:val="PageNumber"/>
        <w:rFonts w:ascii="Verdana" w:hAnsi="Verdana"/>
        <w:sz w:val="18"/>
      </w:rPr>
      <w:fldChar w:fldCharType="separate"/>
    </w:r>
    <w:r w:rsidR="00A73F93">
      <w:rPr>
        <w:rStyle w:val="PageNumber"/>
        <w:rFonts w:ascii="Verdana" w:hAnsi="Verdana"/>
        <w:noProof/>
        <w:sz w:val="18"/>
      </w:rPr>
      <w:t>1</w:t>
    </w:r>
    <w:r>
      <w:rPr>
        <w:rStyle w:val="PageNumber"/>
        <w:rFonts w:ascii="Verdana" w:hAnsi="Verdana"/>
        <w:sz w:val="18"/>
      </w:rPr>
      <w:fldChar w:fldCharType="end"/>
    </w:r>
  </w:p>
  <w:p w:rsidR="00114227" w:rsidRDefault="001142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537" w:rsidRDefault="00E35537" w:rsidP="00114227">
      <w:r>
        <w:separator/>
      </w:r>
    </w:p>
  </w:footnote>
  <w:footnote w:type="continuationSeparator" w:id="0">
    <w:p w:rsidR="00E35537" w:rsidRDefault="00E35537" w:rsidP="00114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27" w:rsidRDefault="002A4C15">
    <w:pPr>
      <w:rPr>
        <w:rFonts w:ascii="Verdana" w:hAnsi="Verdana"/>
        <w:color w:val="C0C0C0"/>
        <w:sz w:val="18"/>
        <w:lang w:val="et-EE"/>
      </w:rPr>
    </w:pPr>
    <w:r>
      <w:rPr>
        <w:rFonts w:ascii="Verdana" w:hAnsi="Verdana"/>
        <w:color w:val="C0C0C0"/>
        <w:sz w:val="18"/>
        <w:lang w:val="et-EE"/>
      </w:rPr>
      <w:t xml:space="preserve">NASDAQ OMX </w:t>
    </w:r>
    <w:r w:rsidR="00114227">
      <w:rPr>
        <w:rFonts w:ascii="Verdana" w:hAnsi="Verdana"/>
        <w:color w:val="C0C0C0"/>
        <w:sz w:val="18"/>
        <w:lang w:val="et-EE"/>
      </w:rPr>
      <w:t>TALLINNA BÖRSI REGLEMENDI MUUDATUSED</w:t>
    </w:r>
    <w:r w:rsidR="00CD7CB9">
      <w:rPr>
        <w:rFonts w:ascii="Verdana" w:hAnsi="Verdana"/>
        <w:color w:val="C0C0C0"/>
        <w:sz w:val="18"/>
        <w:lang w:val="et-EE"/>
      </w:rPr>
      <w:t xml:space="preserve">   </w:t>
    </w:r>
    <w:r w:rsidR="00CD7CB9">
      <w:rPr>
        <w:rFonts w:ascii="Verdana" w:hAnsi="Verdana"/>
        <w:color w:val="C0C0C0"/>
        <w:sz w:val="18"/>
        <w:lang w:val="et-EE"/>
      </w:rPr>
      <w:tab/>
    </w:r>
    <w:r w:rsidR="00CD7CB9">
      <w:rPr>
        <w:rFonts w:ascii="Verdana" w:hAnsi="Verdana"/>
        <w:color w:val="C0C0C0"/>
        <w:sz w:val="18"/>
        <w:lang w:val="et-EE"/>
      </w:rPr>
      <w:tab/>
      <w:t xml:space="preserve">                 </w:t>
    </w:r>
    <w:r w:rsidR="00EE28C4">
      <w:rPr>
        <w:rFonts w:ascii="Verdana" w:hAnsi="Verdana"/>
        <w:color w:val="C0C0C0"/>
        <w:sz w:val="18"/>
        <w:lang w:val="et-EE"/>
      </w:rPr>
      <w:t>31</w:t>
    </w:r>
    <w:r w:rsidR="00A1251C">
      <w:rPr>
        <w:rFonts w:ascii="Verdana" w:hAnsi="Verdana"/>
        <w:color w:val="C0C0C0"/>
        <w:sz w:val="18"/>
        <w:lang w:val="et-EE"/>
      </w:rPr>
      <w:t>.05.2013</w:t>
    </w:r>
  </w:p>
  <w:p w:rsidR="00114227" w:rsidRDefault="00114227">
    <w:pPr>
      <w:jc w:val="right"/>
      <w:rPr>
        <w:rFonts w:ascii="Verdana" w:hAnsi="Verdana"/>
        <w:color w:val="C0C0C0"/>
        <w:sz w:val="18"/>
      </w:rPr>
    </w:pPr>
    <w:r>
      <w:rPr>
        <w:rFonts w:ascii="Verdana" w:hAnsi="Verdana"/>
        <w:color w:val="C0C0C0"/>
        <w:sz w:val="18"/>
        <w:lang w:val="et-E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32DD"/>
    <w:multiLevelType w:val="multilevel"/>
    <w:tmpl w:val="EC76F21C"/>
    <w:lvl w:ilvl="0">
      <w:start w:val="5"/>
      <w:numFmt w:val="decimal"/>
      <w:lvlText w:val="%1."/>
      <w:lvlJc w:val="left"/>
      <w:pPr>
        <w:ind w:left="585" w:hanging="585"/>
      </w:pPr>
      <w:rPr>
        <w:rFonts w:hint="default"/>
      </w:rPr>
    </w:lvl>
    <w:lvl w:ilvl="1">
      <w:start w:val="4"/>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0DE25392"/>
    <w:multiLevelType w:val="multilevel"/>
    <w:tmpl w:val="457AD9B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988"/>
        </w:tabs>
        <w:ind w:left="988" w:hanging="70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
    <w:nsid w:val="0F57201D"/>
    <w:multiLevelType w:val="multilevel"/>
    <w:tmpl w:val="6616E014"/>
    <w:lvl w:ilvl="0">
      <w:start w:val="4"/>
      <w:numFmt w:val="decimal"/>
      <w:lvlText w:val="%1"/>
      <w:lvlJc w:val="left"/>
      <w:pPr>
        <w:ind w:left="630" w:hanging="630"/>
      </w:pPr>
      <w:rPr>
        <w:rFonts w:hint="default"/>
      </w:rPr>
    </w:lvl>
    <w:lvl w:ilvl="1">
      <w:start w:val="12"/>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408" w:hanging="144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9104" w:hanging="2160"/>
      </w:pPr>
      <w:rPr>
        <w:rFonts w:hint="default"/>
      </w:rPr>
    </w:lvl>
    <w:lvl w:ilvl="8">
      <w:start w:val="1"/>
      <w:numFmt w:val="decimal"/>
      <w:lvlText w:val="%1.%2.%3.%4.%5.%6.%7.%8.%9"/>
      <w:lvlJc w:val="left"/>
      <w:pPr>
        <w:ind w:left="10096" w:hanging="2160"/>
      </w:pPr>
      <w:rPr>
        <w:rFonts w:hint="default"/>
      </w:rPr>
    </w:lvl>
  </w:abstractNum>
  <w:abstractNum w:abstractNumId="3">
    <w:nsid w:val="1D85391D"/>
    <w:multiLevelType w:val="multilevel"/>
    <w:tmpl w:val="740A0462"/>
    <w:lvl w:ilvl="0">
      <w:start w:val="4"/>
      <w:numFmt w:val="decimal"/>
      <w:lvlText w:val="%1"/>
      <w:lvlJc w:val="left"/>
      <w:pPr>
        <w:ind w:left="630" w:hanging="630"/>
      </w:pPr>
      <w:rPr>
        <w:rFonts w:hint="default"/>
      </w:rPr>
    </w:lvl>
    <w:lvl w:ilvl="1">
      <w:start w:val="12"/>
      <w:numFmt w:val="decimal"/>
      <w:lvlText w:val="%1.%2"/>
      <w:lvlJc w:val="left"/>
      <w:pPr>
        <w:ind w:left="1429" w:hanging="72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nsid w:val="263041D3"/>
    <w:multiLevelType w:val="multilevel"/>
    <w:tmpl w:val="01B0151A"/>
    <w:lvl w:ilvl="0">
      <w:start w:val="4"/>
      <w:numFmt w:val="decimal"/>
      <w:lvlText w:val="%1"/>
      <w:lvlJc w:val="left"/>
      <w:pPr>
        <w:ind w:left="630" w:hanging="630"/>
      </w:pPr>
      <w:rPr>
        <w:rFonts w:hint="default"/>
      </w:rPr>
    </w:lvl>
    <w:lvl w:ilvl="1">
      <w:start w:val="12"/>
      <w:numFmt w:val="decimal"/>
      <w:lvlText w:val="%1.%2"/>
      <w:lvlJc w:val="left"/>
      <w:pPr>
        <w:ind w:left="1429" w:hanging="72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
    <w:nsid w:val="2EF5204A"/>
    <w:multiLevelType w:val="multilevel"/>
    <w:tmpl w:val="02E2E354"/>
    <w:lvl w:ilvl="0">
      <w:start w:val="2"/>
      <w:numFmt w:val="decimal"/>
      <w:lvlText w:val="%1."/>
      <w:lvlJc w:val="left"/>
      <w:pPr>
        <w:ind w:left="585" w:hanging="585"/>
      </w:pPr>
      <w:rPr>
        <w:rFonts w:hint="default"/>
      </w:rPr>
    </w:lvl>
    <w:lvl w:ilvl="1">
      <w:start w:val="7"/>
      <w:numFmt w:val="decimal"/>
      <w:lvlText w:val="%1.%2."/>
      <w:lvlJc w:val="left"/>
      <w:pPr>
        <w:ind w:left="1428" w:hanging="720"/>
      </w:pPr>
      <w:rPr>
        <w:rFonts w:hint="default"/>
      </w:rPr>
    </w:lvl>
    <w:lvl w:ilvl="2">
      <w:start w:val="3"/>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6">
    <w:nsid w:val="3F6E178A"/>
    <w:multiLevelType w:val="multilevel"/>
    <w:tmpl w:val="66F0881E"/>
    <w:lvl w:ilvl="0">
      <w:start w:val="2"/>
      <w:numFmt w:val="decimal"/>
      <w:lvlText w:val="%1."/>
      <w:lvlJc w:val="left"/>
      <w:pPr>
        <w:ind w:left="585" w:hanging="585"/>
      </w:pPr>
      <w:rPr>
        <w:rFonts w:hint="default"/>
      </w:rPr>
    </w:lvl>
    <w:lvl w:ilvl="1">
      <w:start w:val="1"/>
      <w:numFmt w:val="decimal"/>
      <w:lvlText w:val="%1.%2."/>
      <w:lvlJc w:val="left"/>
      <w:pPr>
        <w:ind w:left="1472" w:hanging="720"/>
      </w:pPr>
      <w:rPr>
        <w:rFonts w:hint="default"/>
      </w:rPr>
    </w:lvl>
    <w:lvl w:ilvl="2">
      <w:start w:val="3"/>
      <w:numFmt w:val="decimal"/>
      <w:lvlText w:val="%1.%2.%3."/>
      <w:lvlJc w:val="left"/>
      <w:pPr>
        <w:ind w:left="2224" w:hanging="720"/>
      </w:pPr>
      <w:rPr>
        <w:rFonts w:hint="default"/>
      </w:rPr>
    </w:lvl>
    <w:lvl w:ilvl="3">
      <w:start w:val="1"/>
      <w:numFmt w:val="decimal"/>
      <w:lvlText w:val="%1.%2.%3.%4."/>
      <w:lvlJc w:val="left"/>
      <w:pPr>
        <w:ind w:left="3336" w:hanging="1080"/>
      </w:pPr>
      <w:rPr>
        <w:rFonts w:hint="default"/>
      </w:rPr>
    </w:lvl>
    <w:lvl w:ilvl="4">
      <w:start w:val="1"/>
      <w:numFmt w:val="decimal"/>
      <w:lvlText w:val="%1.%2.%3.%4.%5."/>
      <w:lvlJc w:val="left"/>
      <w:pPr>
        <w:ind w:left="4448" w:hanging="1440"/>
      </w:pPr>
      <w:rPr>
        <w:rFonts w:hint="default"/>
      </w:rPr>
    </w:lvl>
    <w:lvl w:ilvl="5">
      <w:start w:val="1"/>
      <w:numFmt w:val="decimal"/>
      <w:lvlText w:val="%1.%2.%3.%4.%5.%6."/>
      <w:lvlJc w:val="left"/>
      <w:pPr>
        <w:ind w:left="5200" w:hanging="1440"/>
      </w:pPr>
      <w:rPr>
        <w:rFonts w:hint="default"/>
      </w:rPr>
    </w:lvl>
    <w:lvl w:ilvl="6">
      <w:start w:val="1"/>
      <w:numFmt w:val="decimal"/>
      <w:lvlText w:val="%1.%2.%3.%4.%5.%6.%7."/>
      <w:lvlJc w:val="left"/>
      <w:pPr>
        <w:ind w:left="6312" w:hanging="1800"/>
      </w:pPr>
      <w:rPr>
        <w:rFonts w:hint="default"/>
      </w:rPr>
    </w:lvl>
    <w:lvl w:ilvl="7">
      <w:start w:val="1"/>
      <w:numFmt w:val="decimal"/>
      <w:lvlText w:val="%1.%2.%3.%4.%5.%6.%7.%8."/>
      <w:lvlJc w:val="left"/>
      <w:pPr>
        <w:ind w:left="7424" w:hanging="2160"/>
      </w:pPr>
      <w:rPr>
        <w:rFonts w:hint="default"/>
      </w:rPr>
    </w:lvl>
    <w:lvl w:ilvl="8">
      <w:start w:val="1"/>
      <w:numFmt w:val="decimal"/>
      <w:lvlText w:val="%1.%2.%3.%4.%5.%6.%7.%8.%9."/>
      <w:lvlJc w:val="left"/>
      <w:pPr>
        <w:ind w:left="8176" w:hanging="2160"/>
      </w:pPr>
      <w:rPr>
        <w:rFonts w:hint="default"/>
      </w:rPr>
    </w:lvl>
  </w:abstractNum>
  <w:abstractNum w:abstractNumId="7">
    <w:nsid w:val="428B0C38"/>
    <w:multiLevelType w:val="multilevel"/>
    <w:tmpl w:val="F5AEB4D6"/>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460744A7"/>
    <w:multiLevelType w:val="multilevel"/>
    <w:tmpl w:val="F836E7C2"/>
    <w:lvl w:ilvl="0">
      <w:start w:val="2"/>
      <w:numFmt w:val="decimal"/>
      <w:lvlText w:val="%1."/>
      <w:lvlJc w:val="left"/>
      <w:pPr>
        <w:ind w:left="585" w:hanging="585"/>
      </w:pPr>
      <w:rPr>
        <w:rFonts w:hint="default"/>
      </w:rPr>
    </w:lvl>
    <w:lvl w:ilvl="1">
      <w:start w:val="4"/>
      <w:numFmt w:val="decimal"/>
      <w:lvlText w:val="%1.%2."/>
      <w:lvlJc w:val="left"/>
      <w:pPr>
        <w:ind w:left="1429" w:hanging="72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9">
    <w:nsid w:val="4846717A"/>
    <w:multiLevelType w:val="multilevel"/>
    <w:tmpl w:val="548E5F88"/>
    <w:lvl w:ilvl="0">
      <w:start w:val="2"/>
      <w:numFmt w:val="decimal"/>
      <w:lvlText w:val="%1."/>
      <w:lvlJc w:val="left"/>
      <w:pPr>
        <w:ind w:left="585" w:hanging="585"/>
      </w:pPr>
      <w:rPr>
        <w:rFonts w:hint="default"/>
      </w:rPr>
    </w:lvl>
    <w:lvl w:ilvl="1">
      <w:start w:val="4"/>
      <w:numFmt w:val="decimal"/>
      <w:lvlText w:val="%1.%2."/>
      <w:lvlJc w:val="left"/>
      <w:pPr>
        <w:ind w:left="1789" w:hanging="720"/>
      </w:pPr>
      <w:rPr>
        <w:rFonts w:hint="default"/>
      </w:rPr>
    </w:lvl>
    <w:lvl w:ilvl="2">
      <w:start w:val="6"/>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643" w:hanging="2160"/>
      </w:pPr>
      <w:rPr>
        <w:rFonts w:hint="default"/>
      </w:rPr>
    </w:lvl>
    <w:lvl w:ilvl="8">
      <w:start w:val="1"/>
      <w:numFmt w:val="decimal"/>
      <w:lvlText w:val="%1.%2.%3.%4.%5.%6.%7.%8.%9."/>
      <w:lvlJc w:val="left"/>
      <w:pPr>
        <w:ind w:left="10712" w:hanging="2160"/>
      </w:pPr>
      <w:rPr>
        <w:rFonts w:hint="default"/>
      </w:rPr>
    </w:lvl>
  </w:abstractNum>
  <w:abstractNum w:abstractNumId="10">
    <w:nsid w:val="4B9847C1"/>
    <w:multiLevelType w:val="hybridMultilevel"/>
    <w:tmpl w:val="07A6BE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FE10C7"/>
    <w:multiLevelType w:val="multilevel"/>
    <w:tmpl w:val="043CB820"/>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5DEA13F2"/>
    <w:multiLevelType w:val="multilevel"/>
    <w:tmpl w:val="8ABE2960"/>
    <w:lvl w:ilvl="0">
      <w:start w:val="1"/>
      <w:numFmt w:val="decimal"/>
      <w:lvlText w:val="%1."/>
      <w:lvlJc w:val="left"/>
      <w:pPr>
        <w:tabs>
          <w:tab w:val="num" w:pos="680"/>
        </w:tabs>
        <w:ind w:left="680" w:hanging="680"/>
      </w:pPr>
      <w:rPr>
        <w:rFonts w:ascii="Verdana" w:hAnsi="Verdana" w:hint="default"/>
        <w:b/>
        <w:i w:val="0"/>
        <w:sz w:val="20"/>
      </w:rPr>
    </w:lvl>
    <w:lvl w:ilvl="1">
      <w:start w:val="1"/>
      <w:numFmt w:val="decimal"/>
      <w:lvlText w:val="%1.%2."/>
      <w:lvlJc w:val="left"/>
      <w:pPr>
        <w:tabs>
          <w:tab w:val="num" w:pos="1418"/>
        </w:tabs>
        <w:ind w:left="1418" w:hanging="710"/>
      </w:pPr>
      <w:rPr>
        <w:rFonts w:ascii="Verdana" w:hAnsi="Verdana" w:hint="default"/>
        <w:b/>
        <w:i w:val="0"/>
        <w:sz w:val="20"/>
      </w:rPr>
    </w:lvl>
    <w:lvl w:ilvl="2">
      <w:start w:val="1"/>
      <w:numFmt w:val="decimal"/>
      <w:lvlText w:val="%1.%2.%3."/>
      <w:lvlJc w:val="left"/>
      <w:pPr>
        <w:tabs>
          <w:tab w:val="num" w:pos="2138"/>
        </w:tabs>
        <w:ind w:left="1985" w:hanging="567"/>
      </w:pPr>
      <w:rPr>
        <w:rFonts w:ascii="Verdana" w:hAnsi="Verdana" w:hint="default"/>
        <w:b w:val="0"/>
        <w:i w:val="0"/>
        <w:sz w:val="20"/>
      </w:rPr>
    </w:lvl>
    <w:lvl w:ilvl="3">
      <w:start w:val="1"/>
      <w:numFmt w:val="decimal"/>
      <w:lvlText w:val="%1.%2.%3.%4."/>
      <w:lvlJc w:val="left"/>
      <w:pPr>
        <w:tabs>
          <w:tab w:val="num" w:pos="3204"/>
        </w:tabs>
        <w:ind w:left="2835" w:hanging="711"/>
      </w:pPr>
      <w:rPr>
        <w:rFonts w:ascii="Verdana" w:hAnsi="Verdana" w:hint="default"/>
        <w:b w:val="0"/>
        <w:i w:val="0"/>
        <w:sz w:val="20"/>
      </w:rPr>
    </w:lvl>
    <w:lvl w:ilvl="4">
      <w:start w:val="1"/>
      <w:numFmt w:val="decimal"/>
      <w:lvlText w:val="%1.%2.%3.%4.%5."/>
      <w:lvlJc w:val="left"/>
      <w:pPr>
        <w:tabs>
          <w:tab w:val="num" w:pos="3912"/>
        </w:tabs>
        <w:ind w:left="3540" w:hanging="708"/>
      </w:pPr>
      <w:rPr>
        <w:rFonts w:ascii="Times New Roman" w:hAnsi="Times New Roman" w:hint="default"/>
        <w:b w:val="0"/>
        <w:i w:val="0"/>
        <w:sz w:val="22"/>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3">
    <w:nsid w:val="65EB26C7"/>
    <w:multiLevelType w:val="multilevel"/>
    <w:tmpl w:val="CB74A1D6"/>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nsid w:val="7E500618"/>
    <w:multiLevelType w:val="multilevel"/>
    <w:tmpl w:val="DAF46410"/>
    <w:lvl w:ilvl="0">
      <w:start w:val="2"/>
      <w:numFmt w:val="decimal"/>
      <w:lvlText w:val="%1."/>
      <w:lvlJc w:val="left"/>
      <w:pPr>
        <w:ind w:left="585" w:hanging="585"/>
      </w:pPr>
      <w:rPr>
        <w:rFonts w:hint="default"/>
      </w:rPr>
    </w:lvl>
    <w:lvl w:ilvl="1">
      <w:start w:val="1"/>
      <w:numFmt w:val="decimal"/>
      <w:lvlText w:val="%1.%2."/>
      <w:lvlJc w:val="left"/>
      <w:pPr>
        <w:ind w:left="1712" w:hanging="720"/>
      </w:pPr>
      <w:rPr>
        <w:rFonts w:hint="default"/>
      </w:rPr>
    </w:lvl>
    <w:lvl w:ilvl="2">
      <w:start w:val="4"/>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408" w:hanging="144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9104" w:hanging="2160"/>
      </w:pPr>
      <w:rPr>
        <w:rFonts w:hint="default"/>
      </w:rPr>
    </w:lvl>
    <w:lvl w:ilvl="8">
      <w:start w:val="1"/>
      <w:numFmt w:val="decimal"/>
      <w:lvlText w:val="%1.%2.%3.%4.%5.%6.%7.%8.%9."/>
      <w:lvlJc w:val="left"/>
      <w:pPr>
        <w:ind w:left="10096" w:hanging="2160"/>
      </w:pPr>
      <w:rPr>
        <w:rFonts w:hint="default"/>
      </w:rPr>
    </w:lvl>
  </w:abstractNum>
  <w:num w:numId="1">
    <w:abstractNumId w:val="1"/>
  </w:num>
  <w:num w:numId="2">
    <w:abstractNumId w:val="10"/>
  </w:num>
  <w:num w:numId="3">
    <w:abstractNumId w:val="12"/>
  </w:num>
  <w:num w:numId="4">
    <w:abstractNumId w:val="14"/>
  </w:num>
  <w:num w:numId="5">
    <w:abstractNumId w:val="8"/>
  </w:num>
  <w:num w:numId="6">
    <w:abstractNumId w:val="9"/>
  </w:num>
  <w:num w:numId="7">
    <w:abstractNumId w:val="6"/>
  </w:num>
  <w:num w:numId="8">
    <w:abstractNumId w:val="11"/>
  </w:num>
  <w:num w:numId="9">
    <w:abstractNumId w:val="5"/>
  </w:num>
  <w:num w:numId="10">
    <w:abstractNumId w:val="0"/>
  </w:num>
  <w:num w:numId="11">
    <w:abstractNumId w:val="7"/>
  </w:num>
  <w:num w:numId="12">
    <w:abstractNumId w:val="13"/>
  </w:num>
  <w:num w:numId="13">
    <w:abstractNumId w:val="2"/>
  </w:num>
  <w:num w:numId="14">
    <w:abstractNumId w:val="4"/>
  </w:num>
  <w:num w:numId="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BD"/>
    <w:rsid w:val="00025FCF"/>
    <w:rsid w:val="00033226"/>
    <w:rsid w:val="00065B8F"/>
    <w:rsid w:val="000F48FB"/>
    <w:rsid w:val="001057B3"/>
    <w:rsid w:val="00114227"/>
    <w:rsid w:val="00133D88"/>
    <w:rsid w:val="00162158"/>
    <w:rsid w:val="00162FD7"/>
    <w:rsid w:val="001B06AE"/>
    <w:rsid w:val="001D2FE1"/>
    <w:rsid w:val="001D38CF"/>
    <w:rsid w:val="00207BE1"/>
    <w:rsid w:val="002658EB"/>
    <w:rsid w:val="00277C19"/>
    <w:rsid w:val="00296BF5"/>
    <w:rsid w:val="002A4C15"/>
    <w:rsid w:val="002A5A4D"/>
    <w:rsid w:val="002B667E"/>
    <w:rsid w:val="002C5BD2"/>
    <w:rsid w:val="002C7A6F"/>
    <w:rsid w:val="002F7636"/>
    <w:rsid w:val="003120C7"/>
    <w:rsid w:val="00321C55"/>
    <w:rsid w:val="003A0011"/>
    <w:rsid w:val="003A6272"/>
    <w:rsid w:val="003E16C1"/>
    <w:rsid w:val="00454FBF"/>
    <w:rsid w:val="004933F0"/>
    <w:rsid w:val="004E4D12"/>
    <w:rsid w:val="005226E5"/>
    <w:rsid w:val="005A6573"/>
    <w:rsid w:val="005C6FC0"/>
    <w:rsid w:val="0076622A"/>
    <w:rsid w:val="00771498"/>
    <w:rsid w:val="00793ADF"/>
    <w:rsid w:val="007B59FA"/>
    <w:rsid w:val="007E1EBD"/>
    <w:rsid w:val="007E75D7"/>
    <w:rsid w:val="008124A0"/>
    <w:rsid w:val="0081359B"/>
    <w:rsid w:val="0082347F"/>
    <w:rsid w:val="00854A03"/>
    <w:rsid w:val="00907F3D"/>
    <w:rsid w:val="00913DA4"/>
    <w:rsid w:val="009953EB"/>
    <w:rsid w:val="009E5641"/>
    <w:rsid w:val="009F20C7"/>
    <w:rsid w:val="00A1251C"/>
    <w:rsid w:val="00A73F93"/>
    <w:rsid w:val="00AA6153"/>
    <w:rsid w:val="00AF2CA7"/>
    <w:rsid w:val="00B32439"/>
    <w:rsid w:val="00B33225"/>
    <w:rsid w:val="00B677BD"/>
    <w:rsid w:val="00BE6268"/>
    <w:rsid w:val="00C124D4"/>
    <w:rsid w:val="00CB1C23"/>
    <w:rsid w:val="00CD7CB9"/>
    <w:rsid w:val="00D225C6"/>
    <w:rsid w:val="00D24C61"/>
    <w:rsid w:val="00D526EE"/>
    <w:rsid w:val="00DE4DE3"/>
    <w:rsid w:val="00E35537"/>
    <w:rsid w:val="00E40F7D"/>
    <w:rsid w:val="00E76A4E"/>
    <w:rsid w:val="00EA1CF9"/>
    <w:rsid w:val="00EC747F"/>
    <w:rsid w:val="00EE28C4"/>
    <w:rsid w:val="00F506F4"/>
    <w:rsid w:val="00F95A9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2"/>
      <w:lang w:val="et-EE"/>
    </w:rPr>
  </w:style>
  <w:style w:type="paragraph" w:styleId="Heading2">
    <w:name w:val="heading 2"/>
    <w:basedOn w:val="Normal"/>
    <w:next w:val="Normal"/>
    <w:qFormat/>
    <w:pPr>
      <w:keepNext/>
      <w:ind w:left="698" w:firstLine="153"/>
      <w:outlineLvl w:val="1"/>
    </w:pPr>
    <w:rPr>
      <w:rFonts w:ascii="Verdana" w:hAnsi="Verdana"/>
      <w:i/>
    </w:rPr>
  </w:style>
  <w:style w:type="paragraph" w:styleId="Heading3">
    <w:name w:val="heading 3"/>
    <w:basedOn w:val="Normal"/>
    <w:next w:val="Normal"/>
    <w:qFormat/>
    <w:pPr>
      <w:keepNext/>
      <w:jc w:val="center"/>
      <w:outlineLvl w:val="2"/>
    </w:pPr>
    <w:rPr>
      <w:rFonts w:ascii="Verdana" w:hAnsi="Verdana"/>
      <w:i/>
      <w:sz w:val="18"/>
      <w:lang w:val="et-EE"/>
    </w:rPr>
  </w:style>
  <w:style w:type="paragraph" w:styleId="Heading4">
    <w:name w:val="heading 4"/>
    <w:basedOn w:val="Normal"/>
    <w:next w:val="Normal"/>
    <w:qFormat/>
    <w:pPr>
      <w:keepNext/>
      <w:jc w:val="center"/>
      <w:outlineLvl w:val="3"/>
    </w:pPr>
    <w:rPr>
      <w:rFonts w:ascii="Verdana" w:hAnsi="Verdana"/>
      <w:b/>
      <w:sz w:val="1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567" w:hanging="567"/>
    </w:pPr>
    <w:rPr>
      <w:rFonts w:ascii="Verdana" w:hAnsi="Verdana"/>
      <w:lang w:val="et-EE"/>
    </w:rPr>
  </w:style>
  <w:style w:type="character" w:styleId="Hyperlink">
    <w:name w:val="Hyperlink"/>
    <w:basedOn w:val="DefaultParagraphFont"/>
    <w:semiHidden/>
    <w:rPr>
      <w:color w:val="0000FF"/>
      <w:u w:val="single"/>
    </w:rPr>
  </w:style>
  <w:style w:type="paragraph" w:styleId="BodyTextIndent2">
    <w:name w:val="Body Text Indent 2"/>
    <w:basedOn w:val="Normal"/>
    <w:semiHidden/>
    <w:pPr>
      <w:ind w:left="567" w:hanging="567"/>
      <w:jc w:val="both"/>
    </w:pPr>
    <w:rPr>
      <w:rFonts w:ascii="Verdana" w:hAnsi="Verdana"/>
      <w:lang w:val="et-EE"/>
    </w:rPr>
  </w:style>
  <w:style w:type="character" w:styleId="FollowedHyperlink">
    <w:name w:val="FollowedHyperlink"/>
    <w:basedOn w:val="DefaultParagraphFont"/>
    <w:semiHidden/>
    <w:rPr>
      <w:color w:val="800080"/>
      <w:u w:val="single"/>
    </w:rPr>
  </w:style>
  <w:style w:type="paragraph" w:styleId="BodyText">
    <w:name w:val="Body Text"/>
    <w:basedOn w:val="Normal"/>
    <w:semiHidden/>
    <w:rPr>
      <w:rFonts w:ascii="Verdana" w:hAnsi="Verdana"/>
      <w:i/>
      <w:lang w:val="et-EE"/>
    </w:rPr>
  </w:style>
  <w:style w:type="paragraph" w:styleId="BodyTextIndent3">
    <w:name w:val="Body Text Indent 3"/>
    <w:basedOn w:val="Normal"/>
    <w:semiHidden/>
    <w:pPr>
      <w:ind w:left="851"/>
      <w:jc w:val="both"/>
    </w:pPr>
    <w:rPr>
      <w:rFonts w:ascii="Verdana" w:hAnsi="Verdana"/>
      <w:i/>
      <w:lang w:val="et-EE"/>
    </w:rPr>
  </w:style>
  <w:style w:type="paragraph" w:styleId="BodyText2">
    <w:name w:val="Body Text 2"/>
    <w:basedOn w:val="Normal"/>
    <w:semiHidden/>
    <w:rPr>
      <w:rFonts w:ascii="Verdana" w:hAnsi="Verdana"/>
      <w:snapToGrid w:val="0"/>
      <w:sz w:val="22"/>
      <w:lang w:val="et-EE"/>
    </w:rPr>
  </w:style>
  <w:style w:type="paragraph" w:styleId="FootnoteText">
    <w:name w:val="footnote text"/>
    <w:basedOn w:val="Normal"/>
    <w:semiHidden/>
  </w:style>
  <w:style w:type="paragraph" w:styleId="BodyText3">
    <w:name w:val="Body Text 3"/>
    <w:basedOn w:val="Normal"/>
    <w:semiHidden/>
    <w:pPr>
      <w:tabs>
        <w:tab w:val="num" w:pos="1134"/>
      </w:tabs>
      <w:jc w:val="both"/>
    </w:pPr>
    <w:rPr>
      <w:rFonts w:ascii="Verdana" w:hAnsi="Verdana"/>
      <w:lang w:val="et-EE"/>
    </w:rPr>
  </w:style>
  <w:style w:type="paragraph" w:customStyle="1" w:styleId="Sis2">
    <w:name w:val="Sis 2"/>
    <w:basedOn w:val="Normal"/>
    <w:pPr>
      <w:ind w:left="2552"/>
    </w:pPr>
    <w:rPr>
      <w:rFonts w:ascii="Verdana" w:hAnsi="Verdana"/>
      <w:lang w:val="en-GB"/>
    </w:rPr>
  </w:style>
  <w:style w:type="paragraph" w:customStyle="1" w:styleId="tavaline">
    <w:name w:val="tavaline"/>
    <w:basedOn w:val="Normal"/>
    <w:pPr>
      <w:spacing w:line="360" w:lineRule="auto"/>
      <w:jc w:val="both"/>
    </w:pPr>
    <w:rPr>
      <w:sz w:val="24"/>
      <w:lang w:val="et-E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paragraph" w:customStyle="1" w:styleId="pealkiri">
    <w:name w:val="pealkiri"/>
    <w:basedOn w:val="Normal"/>
    <w:pPr>
      <w:spacing w:before="100" w:beforeAutospacing="1" w:after="100" w:afterAutospacing="1"/>
    </w:pPr>
    <w:rPr>
      <w:sz w:val="24"/>
      <w:szCs w:val="24"/>
      <w:lang w:val="en-GB"/>
    </w:rPr>
  </w:style>
  <w:style w:type="paragraph" w:styleId="ListParagraph">
    <w:name w:val="List Paragraph"/>
    <w:basedOn w:val="Normal"/>
    <w:uiPriority w:val="34"/>
    <w:qFormat/>
    <w:rsid w:val="00CD7CB9"/>
    <w:pPr>
      <w:ind w:left="720"/>
      <w:contextualSpacing/>
    </w:pPr>
    <w:rPr>
      <w:lang w:val="et-EE"/>
    </w:rPr>
  </w:style>
  <w:style w:type="character" w:customStyle="1" w:styleId="CommentTextChar">
    <w:name w:val="Comment Text Char"/>
    <w:basedOn w:val="DefaultParagraphFont"/>
    <w:link w:val="CommentText"/>
    <w:semiHidden/>
    <w:rsid w:val="00907F3D"/>
    <w:rPr>
      <w:lang w:val="en-US" w:eastAsia="en-US"/>
    </w:rPr>
  </w:style>
  <w:style w:type="paragraph" w:styleId="BalloonText">
    <w:name w:val="Balloon Text"/>
    <w:basedOn w:val="Normal"/>
    <w:link w:val="BalloonTextChar"/>
    <w:uiPriority w:val="99"/>
    <w:semiHidden/>
    <w:unhideWhenUsed/>
    <w:rsid w:val="00907F3D"/>
    <w:rPr>
      <w:rFonts w:ascii="Tahoma" w:hAnsi="Tahoma" w:cs="Tahoma"/>
      <w:sz w:val="16"/>
      <w:szCs w:val="16"/>
    </w:rPr>
  </w:style>
  <w:style w:type="character" w:customStyle="1" w:styleId="BalloonTextChar">
    <w:name w:val="Balloon Text Char"/>
    <w:basedOn w:val="DefaultParagraphFont"/>
    <w:link w:val="BalloonText"/>
    <w:uiPriority w:val="99"/>
    <w:semiHidden/>
    <w:rsid w:val="00907F3D"/>
    <w:rPr>
      <w:rFonts w:ascii="Tahoma" w:hAnsi="Tahoma" w:cs="Tahoma"/>
      <w:sz w:val="16"/>
      <w:szCs w:val="16"/>
      <w:lang w:val="en-US" w:eastAsia="en-US"/>
    </w:rPr>
  </w:style>
  <w:style w:type="paragraph" w:styleId="NormalWeb">
    <w:name w:val="Normal (Web)"/>
    <w:basedOn w:val="Normal"/>
    <w:rsid w:val="001057B3"/>
    <w:pPr>
      <w:spacing w:before="100" w:beforeAutospacing="1" w:after="100" w:afterAutospacing="1"/>
    </w:pPr>
    <w:rPr>
      <w:rFonts w:ascii="Arial Unicode MS" w:eastAsia="Arial Unicode MS" w:hAnsi="Arial Unicode MS" w:cs="Arial Unicode MS"/>
      <w:sz w:val="24"/>
      <w:szCs w:val="24"/>
      <w:lang w:val="et-EE"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2"/>
      <w:lang w:val="et-EE"/>
    </w:rPr>
  </w:style>
  <w:style w:type="paragraph" w:styleId="Heading2">
    <w:name w:val="heading 2"/>
    <w:basedOn w:val="Normal"/>
    <w:next w:val="Normal"/>
    <w:qFormat/>
    <w:pPr>
      <w:keepNext/>
      <w:ind w:left="698" w:firstLine="153"/>
      <w:outlineLvl w:val="1"/>
    </w:pPr>
    <w:rPr>
      <w:rFonts w:ascii="Verdana" w:hAnsi="Verdana"/>
      <w:i/>
    </w:rPr>
  </w:style>
  <w:style w:type="paragraph" w:styleId="Heading3">
    <w:name w:val="heading 3"/>
    <w:basedOn w:val="Normal"/>
    <w:next w:val="Normal"/>
    <w:qFormat/>
    <w:pPr>
      <w:keepNext/>
      <w:jc w:val="center"/>
      <w:outlineLvl w:val="2"/>
    </w:pPr>
    <w:rPr>
      <w:rFonts w:ascii="Verdana" w:hAnsi="Verdana"/>
      <w:i/>
      <w:sz w:val="18"/>
      <w:lang w:val="et-EE"/>
    </w:rPr>
  </w:style>
  <w:style w:type="paragraph" w:styleId="Heading4">
    <w:name w:val="heading 4"/>
    <w:basedOn w:val="Normal"/>
    <w:next w:val="Normal"/>
    <w:qFormat/>
    <w:pPr>
      <w:keepNext/>
      <w:jc w:val="center"/>
      <w:outlineLvl w:val="3"/>
    </w:pPr>
    <w:rPr>
      <w:rFonts w:ascii="Verdana" w:hAnsi="Verdana"/>
      <w:b/>
      <w:sz w:val="1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567" w:hanging="567"/>
    </w:pPr>
    <w:rPr>
      <w:rFonts w:ascii="Verdana" w:hAnsi="Verdana"/>
      <w:lang w:val="et-EE"/>
    </w:rPr>
  </w:style>
  <w:style w:type="character" w:styleId="Hyperlink">
    <w:name w:val="Hyperlink"/>
    <w:basedOn w:val="DefaultParagraphFont"/>
    <w:semiHidden/>
    <w:rPr>
      <w:color w:val="0000FF"/>
      <w:u w:val="single"/>
    </w:rPr>
  </w:style>
  <w:style w:type="paragraph" w:styleId="BodyTextIndent2">
    <w:name w:val="Body Text Indent 2"/>
    <w:basedOn w:val="Normal"/>
    <w:semiHidden/>
    <w:pPr>
      <w:ind w:left="567" w:hanging="567"/>
      <w:jc w:val="both"/>
    </w:pPr>
    <w:rPr>
      <w:rFonts w:ascii="Verdana" w:hAnsi="Verdana"/>
      <w:lang w:val="et-EE"/>
    </w:rPr>
  </w:style>
  <w:style w:type="character" w:styleId="FollowedHyperlink">
    <w:name w:val="FollowedHyperlink"/>
    <w:basedOn w:val="DefaultParagraphFont"/>
    <w:semiHidden/>
    <w:rPr>
      <w:color w:val="800080"/>
      <w:u w:val="single"/>
    </w:rPr>
  </w:style>
  <w:style w:type="paragraph" w:styleId="BodyText">
    <w:name w:val="Body Text"/>
    <w:basedOn w:val="Normal"/>
    <w:semiHidden/>
    <w:rPr>
      <w:rFonts w:ascii="Verdana" w:hAnsi="Verdana"/>
      <w:i/>
      <w:lang w:val="et-EE"/>
    </w:rPr>
  </w:style>
  <w:style w:type="paragraph" w:styleId="BodyTextIndent3">
    <w:name w:val="Body Text Indent 3"/>
    <w:basedOn w:val="Normal"/>
    <w:semiHidden/>
    <w:pPr>
      <w:ind w:left="851"/>
      <w:jc w:val="both"/>
    </w:pPr>
    <w:rPr>
      <w:rFonts w:ascii="Verdana" w:hAnsi="Verdana"/>
      <w:i/>
      <w:lang w:val="et-EE"/>
    </w:rPr>
  </w:style>
  <w:style w:type="paragraph" w:styleId="BodyText2">
    <w:name w:val="Body Text 2"/>
    <w:basedOn w:val="Normal"/>
    <w:semiHidden/>
    <w:rPr>
      <w:rFonts w:ascii="Verdana" w:hAnsi="Verdana"/>
      <w:snapToGrid w:val="0"/>
      <w:sz w:val="22"/>
      <w:lang w:val="et-EE"/>
    </w:rPr>
  </w:style>
  <w:style w:type="paragraph" w:styleId="FootnoteText">
    <w:name w:val="footnote text"/>
    <w:basedOn w:val="Normal"/>
    <w:semiHidden/>
  </w:style>
  <w:style w:type="paragraph" w:styleId="BodyText3">
    <w:name w:val="Body Text 3"/>
    <w:basedOn w:val="Normal"/>
    <w:semiHidden/>
    <w:pPr>
      <w:tabs>
        <w:tab w:val="num" w:pos="1134"/>
      </w:tabs>
      <w:jc w:val="both"/>
    </w:pPr>
    <w:rPr>
      <w:rFonts w:ascii="Verdana" w:hAnsi="Verdana"/>
      <w:lang w:val="et-EE"/>
    </w:rPr>
  </w:style>
  <w:style w:type="paragraph" w:customStyle="1" w:styleId="Sis2">
    <w:name w:val="Sis 2"/>
    <w:basedOn w:val="Normal"/>
    <w:pPr>
      <w:ind w:left="2552"/>
    </w:pPr>
    <w:rPr>
      <w:rFonts w:ascii="Verdana" w:hAnsi="Verdana"/>
      <w:lang w:val="en-GB"/>
    </w:rPr>
  </w:style>
  <w:style w:type="paragraph" w:customStyle="1" w:styleId="tavaline">
    <w:name w:val="tavaline"/>
    <w:basedOn w:val="Normal"/>
    <w:pPr>
      <w:spacing w:line="360" w:lineRule="auto"/>
      <w:jc w:val="both"/>
    </w:pPr>
    <w:rPr>
      <w:sz w:val="24"/>
      <w:lang w:val="et-E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paragraph" w:customStyle="1" w:styleId="pealkiri">
    <w:name w:val="pealkiri"/>
    <w:basedOn w:val="Normal"/>
    <w:pPr>
      <w:spacing w:before="100" w:beforeAutospacing="1" w:after="100" w:afterAutospacing="1"/>
    </w:pPr>
    <w:rPr>
      <w:sz w:val="24"/>
      <w:szCs w:val="24"/>
      <w:lang w:val="en-GB"/>
    </w:rPr>
  </w:style>
  <w:style w:type="paragraph" w:styleId="ListParagraph">
    <w:name w:val="List Paragraph"/>
    <w:basedOn w:val="Normal"/>
    <w:uiPriority w:val="34"/>
    <w:qFormat/>
    <w:rsid w:val="00CD7CB9"/>
    <w:pPr>
      <w:ind w:left="720"/>
      <w:contextualSpacing/>
    </w:pPr>
    <w:rPr>
      <w:lang w:val="et-EE"/>
    </w:rPr>
  </w:style>
  <w:style w:type="character" w:customStyle="1" w:styleId="CommentTextChar">
    <w:name w:val="Comment Text Char"/>
    <w:basedOn w:val="DefaultParagraphFont"/>
    <w:link w:val="CommentText"/>
    <w:semiHidden/>
    <w:rsid w:val="00907F3D"/>
    <w:rPr>
      <w:lang w:val="en-US" w:eastAsia="en-US"/>
    </w:rPr>
  </w:style>
  <w:style w:type="paragraph" w:styleId="BalloonText">
    <w:name w:val="Balloon Text"/>
    <w:basedOn w:val="Normal"/>
    <w:link w:val="BalloonTextChar"/>
    <w:uiPriority w:val="99"/>
    <w:semiHidden/>
    <w:unhideWhenUsed/>
    <w:rsid w:val="00907F3D"/>
    <w:rPr>
      <w:rFonts w:ascii="Tahoma" w:hAnsi="Tahoma" w:cs="Tahoma"/>
      <w:sz w:val="16"/>
      <w:szCs w:val="16"/>
    </w:rPr>
  </w:style>
  <w:style w:type="character" w:customStyle="1" w:styleId="BalloonTextChar">
    <w:name w:val="Balloon Text Char"/>
    <w:basedOn w:val="DefaultParagraphFont"/>
    <w:link w:val="BalloonText"/>
    <w:uiPriority w:val="99"/>
    <w:semiHidden/>
    <w:rsid w:val="00907F3D"/>
    <w:rPr>
      <w:rFonts w:ascii="Tahoma" w:hAnsi="Tahoma" w:cs="Tahoma"/>
      <w:sz w:val="16"/>
      <w:szCs w:val="16"/>
      <w:lang w:val="en-US" w:eastAsia="en-US"/>
    </w:rPr>
  </w:style>
  <w:style w:type="paragraph" w:styleId="NormalWeb">
    <w:name w:val="Normal (Web)"/>
    <w:basedOn w:val="Normal"/>
    <w:rsid w:val="001057B3"/>
    <w:pPr>
      <w:spacing w:before="100" w:beforeAutospacing="1" w:after="100" w:afterAutospacing="1"/>
    </w:pPr>
    <w:rPr>
      <w:rFonts w:ascii="Arial Unicode MS" w:eastAsia="Arial Unicode MS" w:hAnsi="Arial Unicode MS" w:cs="Arial Unicode MS"/>
      <w:sz w:val="24"/>
      <w:szCs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Reglemendi Muudatused</vt:lpstr>
    </vt:vector>
  </TitlesOfParts>
  <Company>OMX</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Reglemendi Muudatused</dc:title>
  <dc:creator>Annely Ahse</dc:creator>
  <cp:lastModifiedBy>Annely Ahse</cp:lastModifiedBy>
  <cp:revision>2</cp:revision>
  <cp:lastPrinted>2006-01-31T13:58:00Z</cp:lastPrinted>
  <dcterms:created xsi:type="dcterms:W3CDTF">2013-05-31T14:12:00Z</dcterms:created>
  <dcterms:modified xsi:type="dcterms:W3CDTF">2013-05-31T14:12:00Z</dcterms:modified>
</cp:coreProperties>
</file>