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1396C2" w14:textId="62F5C8C4" w:rsidR="00D7424D" w:rsidRPr="00825798" w:rsidRDefault="0048185A" w:rsidP="00477146">
      <w:pPr>
        <w:pStyle w:val="Titrearticle"/>
        <w:spacing w:before="0" w:after="0" w:line="240" w:lineRule="auto"/>
        <w:rPr>
          <w:b/>
          <w:i w:val="0"/>
          <w:szCs w:val="24"/>
        </w:rPr>
      </w:pPr>
      <w:bookmarkStart w:id="0" w:name="_GoBack"/>
      <w:bookmarkEnd w:id="0"/>
      <w:r w:rsidRPr="00825798">
        <w:rPr>
          <w:b/>
          <w:i w:val="0"/>
          <w:szCs w:val="24"/>
        </w:rPr>
        <w:t>Financial Supervision Authority advisory guidelines</w:t>
      </w:r>
    </w:p>
    <w:p w14:paraId="078B50EB" w14:textId="77777777" w:rsidR="00D7424D" w:rsidRPr="00825798" w:rsidRDefault="00D7424D" w:rsidP="00477146">
      <w:pPr>
        <w:jc w:val="center"/>
        <w:rPr>
          <w:lang w:val="en-GB" w:eastAsia="zh-CN"/>
        </w:rPr>
      </w:pPr>
    </w:p>
    <w:p w14:paraId="06AC02F1" w14:textId="0F0F13DB" w:rsidR="00D7424D" w:rsidRPr="00825798" w:rsidRDefault="0048185A" w:rsidP="00477146">
      <w:pPr>
        <w:jc w:val="center"/>
        <w:rPr>
          <w:b/>
          <w:lang w:val="en-GB" w:eastAsia="zh-CN"/>
        </w:rPr>
      </w:pPr>
      <w:r w:rsidRPr="00825798">
        <w:rPr>
          <w:b/>
          <w:lang w:val="en-GB" w:eastAsia="zh-CN"/>
        </w:rPr>
        <w:t>Stress test</w:t>
      </w:r>
      <w:r w:rsidR="00BD1BEC" w:rsidRPr="00825798">
        <w:rPr>
          <w:b/>
          <w:lang w:val="en-GB" w:eastAsia="zh-CN"/>
        </w:rPr>
        <w:t>ing</w:t>
      </w:r>
    </w:p>
    <w:p w14:paraId="0FF99A8A" w14:textId="77777777" w:rsidR="00D7424D" w:rsidRPr="00825798" w:rsidRDefault="00D7424D" w:rsidP="00E8612A">
      <w:pPr>
        <w:jc w:val="both"/>
        <w:rPr>
          <w:lang w:val="en-GB" w:eastAsia="zh-CN"/>
        </w:rPr>
      </w:pPr>
    </w:p>
    <w:p w14:paraId="75AA6271" w14:textId="77777777" w:rsidR="00D7424D" w:rsidRPr="00825798" w:rsidRDefault="00D7424D" w:rsidP="00E8612A">
      <w:pPr>
        <w:jc w:val="both"/>
        <w:rPr>
          <w:lang w:val="en-GB" w:eastAsia="zh-CN"/>
        </w:rPr>
      </w:pPr>
    </w:p>
    <w:p w14:paraId="248F7FBD" w14:textId="77777777" w:rsidR="00D7424D" w:rsidRPr="00825798" w:rsidRDefault="00D7424D" w:rsidP="00E8612A">
      <w:pPr>
        <w:jc w:val="both"/>
        <w:rPr>
          <w:lang w:val="en-GB" w:eastAsia="zh-CN"/>
        </w:rPr>
      </w:pPr>
    </w:p>
    <w:p w14:paraId="302444B6" w14:textId="6724FE1F" w:rsidR="00D7424D" w:rsidRPr="00825798" w:rsidRDefault="0048185A" w:rsidP="00E8612A">
      <w:pPr>
        <w:pStyle w:val="Titrearticle"/>
        <w:spacing w:before="0" w:after="0" w:line="240" w:lineRule="auto"/>
        <w:jc w:val="both"/>
        <w:rPr>
          <w:i w:val="0"/>
          <w:szCs w:val="24"/>
        </w:rPr>
      </w:pPr>
      <w:r w:rsidRPr="00825798">
        <w:rPr>
          <w:i w:val="0"/>
          <w:szCs w:val="24"/>
        </w:rPr>
        <w:t>The advisory guidelines were established by the Financial Supervision Authority management board resolution no. [</w:t>
      </w:r>
      <w:r w:rsidRPr="00825798">
        <w:rPr>
          <w:szCs w:val="24"/>
        </w:rPr>
        <w:t>no.</w:t>
      </w:r>
      <w:r w:rsidRPr="00825798">
        <w:rPr>
          <w:i w:val="0"/>
          <w:szCs w:val="24"/>
        </w:rPr>
        <w:t>]</w:t>
      </w:r>
      <w:r w:rsidR="00857E29" w:rsidRPr="00825798">
        <w:rPr>
          <w:i w:val="0"/>
          <w:szCs w:val="24"/>
        </w:rPr>
        <w:t xml:space="preserve"> </w:t>
      </w:r>
      <w:r w:rsidRPr="00825798">
        <w:rPr>
          <w:i w:val="0"/>
          <w:szCs w:val="24"/>
        </w:rPr>
        <w:t>of [</w:t>
      </w:r>
      <w:r w:rsidRPr="00825798">
        <w:rPr>
          <w:szCs w:val="24"/>
        </w:rPr>
        <w:t>date</w:t>
      </w:r>
      <w:r w:rsidRPr="00825798">
        <w:rPr>
          <w:i w:val="0"/>
          <w:szCs w:val="24"/>
        </w:rPr>
        <w:t>]</w:t>
      </w:r>
      <w:r w:rsidR="003104B0" w:rsidRPr="00825798">
        <w:rPr>
          <w:i w:val="0"/>
          <w:szCs w:val="24"/>
        </w:rPr>
        <w:t>.</w:t>
      </w:r>
    </w:p>
    <w:p w14:paraId="7A6CC5CB" w14:textId="77777777" w:rsidR="00D7424D" w:rsidRPr="00825798" w:rsidRDefault="00D7424D" w:rsidP="00E8612A">
      <w:pPr>
        <w:jc w:val="both"/>
        <w:rPr>
          <w:lang w:val="en-GB" w:eastAsia="zh-CN"/>
        </w:rPr>
      </w:pPr>
    </w:p>
    <w:p w14:paraId="39ECE81E" w14:textId="77777777" w:rsidR="00D7424D" w:rsidRPr="00825798" w:rsidRDefault="00D7424D" w:rsidP="00E8612A">
      <w:pPr>
        <w:jc w:val="both"/>
        <w:rPr>
          <w:lang w:val="en-GB" w:eastAsia="zh-CN"/>
        </w:rPr>
      </w:pPr>
    </w:p>
    <w:p w14:paraId="5091ABFA" w14:textId="117C7A0F" w:rsidR="00D7424D" w:rsidRPr="00825798" w:rsidRDefault="0048185A" w:rsidP="00E8612A">
      <w:pPr>
        <w:numPr>
          <w:ilvl w:val="0"/>
          <w:numId w:val="1"/>
        </w:numPr>
        <w:ind w:hanging="720"/>
        <w:jc w:val="both"/>
        <w:rPr>
          <w:b/>
          <w:lang w:val="en-GB" w:eastAsia="zh-CN"/>
        </w:rPr>
      </w:pPr>
      <w:r w:rsidRPr="00825798">
        <w:rPr>
          <w:b/>
          <w:lang w:val="en-GB" w:eastAsia="zh-CN"/>
        </w:rPr>
        <w:t>Legal authority</w:t>
      </w:r>
      <w:r w:rsidR="00D7424D" w:rsidRPr="00825798">
        <w:rPr>
          <w:b/>
          <w:lang w:val="en-GB" w:eastAsia="zh-CN"/>
        </w:rPr>
        <w:t xml:space="preserve"> </w:t>
      </w:r>
    </w:p>
    <w:p w14:paraId="7F7F70EE" w14:textId="77777777" w:rsidR="00D7424D" w:rsidRPr="00825798" w:rsidRDefault="00D7424D" w:rsidP="00E8612A">
      <w:pPr>
        <w:tabs>
          <w:tab w:val="num" w:pos="709"/>
        </w:tabs>
        <w:jc w:val="both"/>
        <w:rPr>
          <w:b/>
          <w:lang w:val="en-GB" w:eastAsia="zh-CN"/>
        </w:rPr>
      </w:pPr>
    </w:p>
    <w:p w14:paraId="571C55DE" w14:textId="25C3A824" w:rsidR="00D7424D" w:rsidRPr="00B16FA0" w:rsidRDefault="0048185A" w:rsidP="0048185A">
      <w:pPr>
        <w:autoSpaceDE w:val="0"/>
        <w:autoSpaceDN w:val="0"/>
        <w:adjustRightInd w:val="0"/>
        <w:spacing w:after="240"/>
        <w:jc w:val="both"/>
        <w:rPr>
          <w:lang w:val="en-GB"/>
        </w:rPr>
      </w:pPr>
      <w:r w:rsidRPr="00825798">
        <w:rPr>
          <w:lang w:val="en-GB"/>
        </w:rPr>
        <w:t xml:space="preserve">In accordance </w:t>
      </w:r>
      <w:r w:rsidRPr="00B16FA0">
        <w:rPr>
          <w:lang w:val="en-GB"/>
        </w:rPr>
        <w:t xml:space="preserve">with </w:t>
      </w:r>
      <w:r w:rsidRPr="003060AE">
        <w:rPr>
          <w:lang w:val="en-GB"/>
        </w:rPr>
        <w:t>Section 3 of the Financial Supervision Authority Act</w:t>
      </w:r>
      <w:r w:rsidRPr="00B16FA0">
        <w:rPr>
          <w:lang w:val="en-GB"/>
        </w:rPr>
        <w:t xml:space="preserve"> (hereinafter FSAA) the Financial Supervision Authority performs financial supervision in order to enhance the stability, reliability and transparency as well as efficiency of the financial sector, to reduce systemic risks and to promote prevention of the abuse of the financial sector for criminal purposes, with a view to protecting the interests of clients and investors by safeguarding their financial resources, and thereby supporting the stability of the Estonian monetary system.</w:t>
      </w:r>
    </w:p>
    <w:p w14:paraId="751705C7" w14:textId="6852B169" w:rsidR="00D7424D" w:rsidRPr="00B16FA0" w:rsidRDefault="0048185A" w:rsidP="00E8612A">
      <w:pPr>
        <w:autoSpaceDE w:val="0"/>
        <w:autoSpaceDN w:val="0"/>
        <w:adjustRightInd w:val="0"/>
        <w:jc w:val="both"/>
        <w:rPr>
          <w:lang w:val="en-GB"/>
        </w:rPr>
      </w:pPr>
      <w:r w:rsidRPr="00B16FA0">
        <w:rPr>
          <w:lang w:val="en-GB"/>
        </w:rPr>
        <w:t>Under subsection 57 (1) of the FSAA, the Supervision Authority has the right to issue advisory guidelines to explain legislation regulating the activities of the financial sector and to provide guidance to subjects of financial supervision.</w:t>
      </w:r>
    </w:p>
    <w:p w14:paraId="0F45A539" w14:textId="77777777" w:rsidR="00D7424D" w:rsidRPr="00B16FA0" w:rsidRDefault="00D7424D" w:rsidP="00E8612A">
      <w:pPr>
        <w:jc w:val="both"/>
        <w:rPr>
          <w:b/>
          <w:lang w:val="en-GB" w:eastAsia="zh-CN"/>
        </w:rPr>
      </w:pPr>
    </w:p>
    <w:p w14:paraId="7DE02DFB" w14:textId="77777777" w:rsidR="00D7424D" w:rsidRPr="00B16FA0" w:rsidRDefault="00D7424D" w:rsidP="00E8612A">
      <w:pPr>
        <w:jc w:val="both"/>
        <w:rPr>
          <w:b/>
          <w:lang w:val="en-GB" w:eastAsia="zh-CN"/>
        </w:rPr>
      </w:pPr>
    </w:p>
    <w:p w14:paraId="1C50F1D1" w14:textId="7D89A6BF" w:rsidR="00D7424D" w:rsidRPr="00B16FA0" w:rsidRDefault="0048185A" w:rsidP="00E8612A">
      <w:pPr>
        <w:numPr>
          <w:ilvl w:val="0"/>
          <w:numId w:val="1"/>
        </w:numPr>
        <w:ind w:hanging="720"/>
        <w:jc w:val="both"/>
        <w:rPr>
          <w:b/>
          <w:lang w:val="en-GB" w:eastAsia="zh-CN"/>
        </w:rPr>
      </w:pPr>
      <w:r w:rsidRPr="00B16FA0">
        <w:rPr>
          <w:b/>
          <w:lang w:val="en-GB" w:eastAsia="zh-CN"/>
        </w:rPr>
        <w:t>Objective</w:t>
      </w:r>
    </w:p>
    <w:p w14:paraId="6859ADAC" w14:textId="77777777" w:rsidR="00D7424D" w:rsidRPr="00B16FA0" w:rsidRDefault="00D7424D" w:rsidP="00E8612A">
      <w:pPr>
        <w:tabs>
          <w:tab w:val="num" w:pos="540"/>
        </w:tabs>
        <w:ind w:left="360" w:hanging="360"/>
        <w:jc w:val="both"/>
        <w:rPr>
          <w:lang w:val="en-GB" w:eastAsia="zh-CN"/>
        </w:rPr>
      </w:pPr>
    </w:p>
    <w:p w14:paraId="53689C04" w14:textId="50878460" w:rsidR="00D7424D" w:rsidRPr="00825798" w:rsidRDefault="0048185A" w:rsidP="0048185A">
      <w:pPr>
        <w:spacing w:after="240"/>
        <w:jc w:val="both"/>
        <w:rPr>
          <w:lang w:val="en-GB"/>
        </w:rPr>
      </w:pPr>
      <w:r w:rsidRPr="00B16FA0">
        <w:rPr>
          <w:lang w:val="en-GB"/>
        </w:rPr>
        <w:t>These advisory guidelines are established for credit institutions in order to provide substance to Section 63</w:t>
      </w:r>
      <w:r w:rsidRPr="003060AE">
        <w:rPr>
          <w:vertAlign w:val="superscript"/>
          <w:lang w:val="en-GB"/>
        </w:rPr>
        <w:t>1</w:t>
      </w:r>
      <w:r w:rsidRPr="003060AE">
        <w:rPr>
          <w:lang w:val="en-GB"/>
        </w:rPr>
        <w:t xml:space="preserve"> of the Credit Institutions Act</w:t>
      </w:r>
      <w:r w:rsidRPr="00B16FA0">
        <w:rPr>
          <w:lang w:val="en-GB"/>
        </w:rPr>
        <w:t xml:space="preserve"> and for investment firms in order to provide substance </w:t>
      </w:r>
      <w:r w:rsidRPr="003060AE">
        <w:rPr>
          <w:lang w:val="en-GB"/>
        </w:rPr>
        <w:t>to Section § 82</w:t>
      </w:r>
      <w:r w:rsidRPr="003060AE">
        <w:rPr>
          <w:vertAlign w:val="superscript"/>
          <w:lang w:val="en-GB"/>
        </w:rPr>
        <w:t>2</w:t>
      </w:r>
      <w:r w:rsidRPr="003060AE">
        <w:rPr>
          <w:lang w:val="en-GB"/>
        </w:rPr>
        <w:t xml:space="preserve"> of the Securit</w:t>
      </w:r>
      <w:r w:rsidR="00362072" w:rsidRPr="003060AE">
        <w:rPr>
          <w:lang w:val="en-GB"/>
        </w:rPr>
        <w:t>ies</w:t>
      </w:r>
      <w:r w:rsidRPr="003060AE">
        <w:rPr>
          <w:lang w:val="en-GB"/>
        </w:rPr>
        <w:t xml:space="preserve"> Market Act</w:t>
      </w:r>
      <w:r w:rsidRPr="00B16FA0">
        <w:rPr>
          <w:lang w:val="en-GB"/>
        </w:rPr>
        <w:t>.</w:t>
      </w:r>
    </w:p>
    <w:p w14:paraId="6F361AF2" w14:textId="0D6B27D7" w:rsidR="00D7424D" w:rsidRPr="00825798" w:rsidRDefault="00362072" w:rsidP="0048185A">
      <w:pPr>
        <w:spacing w:after="240"/>
        <w:jc w:val="both"/>
        <w:rPr>
          <w:lang w:val="en-GB"/>
        </w:rPr>
      </w:pPr>
      <w:r w:rsidRPr="00825798">
        <w:rPr>
          <w:lang w:val="en-GB"/>
        </w:rPr>
        <w:t xml:space="preserve">In the framework of </w:t>
      </w:r>
      <w:r w:rsidR="0048185A" w:rsidRPr="00825798">
        <w:rPr>
          <w:lang w:val="en-GB"/>
        </w:rPr>
        <w:t xml:space="preserve">Pillar 2, credit institutions and investment firms must use </w:t>
      </w:r>
      <w:r w:rsidR="00792BB3" w:rsidRPr="00825798">
        <w:rPr>
          <w:lang w:val="en-GB"/>
        </w:rPr>
        <w:t xml:space="preserve">forward-looking </w:t>
      </w:r>
      <w:r w:rsidR="00B16FA0">
        <w:rPr>
          <w:lang w:val="en-GB"/>
        </w:rPr>
        <w:t xml:space="preserve">assessment </w:t>
      </w:r>
      <w:r w:rsidR="0048185A" w:rsidRPr="00B16FA0">
        <w:rPr>
          <w:lang w:val="en-GB"/>
        </w:rPr>
        <w:t>in risk management, strategic planning and capital planning.</w:t>
      </w:r>
      <w:r w:rsidR="00D7424D" w:rsidRPr="00B16FA0">
        <w:rPr>
          <w:lang w:val="en-GB"/>
        </w:rPr>
        <w:t xml:space="preserve"> </w:t>
      </w:r>
      <w:r w:rsidR="0048185A" w:rsidRPr="00B16FA0">
        <w:rPr>
          <w:lang w:val="en-GB"/>
        </w:rPr>
        <w:t>Stress test</w:t>
      </w:r>
      <w:r w:rsidRPr="00B16FA0">
        <w:rPr>
          <w:lang w:val="en-GB"/>
        </w:rPr>
        <w:t>ing</w:t>
      </w:r>
      <w:r w:rsidR="0048185A" w:rsidRPr="00B16FA0">
        <w:rPr>
          <w:lang w:val="en-GB"/>
        </w:rPr>
        <w:t xml:space="preserve"> </w:t>
      </w:r>
      <w:r w:rsidRPr="00B16FA0">
        <w:rPr>
          <w:lang w:val="en-GB"/>
        </w:rPr>
        <w:t xml:space="preserve">is </w:t>
      </w:r>
      <w:r w:rsidR="0048185A" w:rsidRPr="00B16FA0">
        <w:rPr>
          <w:lang w:val="en-GB"/>
        </w:rPr>
        <w:t xml:space="preserve">one possible </w:t>
      </w:r>
      <w:r w:rsidR="00792BB3" w:rsidRPr="00B16FA0">
        <w:rPr>
          <w:lang w:val="en-GB"/>
        </w:rPr>
        <w:t>forward-looking</w:t>
      </w:r>
      <w:r w:rsidR="0048185A" w:rsidRPr="00EC1789">
        <w:rPr>
          <w:lang w:val="en-GB"/>
        </w:rPr>
        <w:t xml:space="preserve"> method</w:t>
      </w:r>
      <w:r w:rsidRPr="00825798">
        <w:rPr>
          <w:lang w:val="en-GB"/>
        </w:rPr>
        <w:t>,</w:t>
      </w:r>
      <w:r w:rsidR="0048185A" w:rsidRPr="00825798">
        <w:rPr>
          <w:lang w:val="en-GB"/>
        </w:rPr>
        <w:t xml:space="preserve"> the purpose of which is to </w:t>
      </w:r>
      <w:r w:rsidRPr="00825798">
        <w:rPr>
          <w:lang w:val="en-GB"/>
        </w:rPr>
        <w:t>identify</w:t>
      </w:r>
      <w:r w:rsidR="0048185A" w:rsidRPr="00825798">
        <w:rPr>
          <w:lang w:val="en-GB"/>
        </w:rPr>
        <w:t xml:space="preserve"> risk factors or events with potentially </w:t>
      </w:r>
      <w:r w:rsidRPr="00825798">
        <w:rPr>
          <w:lang w:val="en-GB"/>
        </w:rPr>
        <w:t xml:space="preserve">unfavourable </w:t>
      </w:r>
      <w:r w:rsidR="0048185A" w:rsidRPr="00825798">
        <w:rPr>
          <w:lang w:val="en-GB"/>
        </w:rPr>
        <w:t xml:space="preserve">influence and to </w:t>
      </w:r>
      <w:r w:rsidRPr="00825798">
        <w:rPr>
          <w:lang w:val="en-GB"/>
        </w:rPr>
        <w:t xml:space="preserve">evaluate </w:t>
      </w:r>
      <w:r w:rsidR="0048185A" w:rsidRPr="00825798">
        <w:rPr>
          <w:lang w:val="en-GB"/>
        </w:rPr>
        <w:t>the capability of the credit institution or investment firm to cope with the unfavourable influences.</w:t>
      </w:r>
      <w:r w:rsidR="00D7424D" w:rsidRPr="00825798">
        <w:rPr>
          <w:lang w:val="en-GB"/>
        </w:rPr>
        <w:t xml:space="preserve"> </w:t>
      </w:r>
      <w:r w:rsidRPr="00825798">
        <w:rPr>
          <w:lang w:val="en-GB"/>
        </w:rPr>
        <w:t>C</w:t>
      </w:r>
      <w:r w:rsidR="0048185A" w:rsidRPr="00825798">
        <w:rPr>
          <w:lang w:val="en-GB"/>
        </w:rPr>
        <w:t>redit institutions that use credit risk internal ratings methods must also use stress test</w:t>
      </w:r>
      <w:r w:rsidRPr="00825798">
        <w:rPr>
          <w:lang w:val="en-GB"/>
        </w:rPr>
        <w:t>ing</w:t>
      </w:r>
      <w:r w:rsidR="0048185A" w:rsidRPr="00825798">
        <w:rPr>
          <w:lang w:val="en-GB"/>
        </w:rPr>
        <w:t xml:space="preserve"> to test the confidence of the estimations of internal models.</w:t>
      </w:r>
    </w:p>
    <w:p w14:paraId="09B4996C" w14:textId="5D4AB603" w:rsidR="00D7424D" w:rsidRPr="00825798" w:rsidRDefault="0048185A" w:rsidP="0048185A">
      <w:pPr>
        <w:spacing w:after="240"/>
        <w:jc w:val="both"/>
        <w:rPr>
          <w:lang w:val="en-GB"/>
        </w:rPr>
      </w:pPr>
      <w:r w:rsidRPr="00825798">
        <w:rPr>
          <w:lang w:val="en-GB"/>
        </w:rPr>
        <w:t xml:space="preserve">The goal of these guidelines are to help understand the </w:t>
      </w:r>
      <w:r w:rsidR="00293335" w:rsidRPr="00825798">
        <w:rPr>
          <w:lang w:val="en-GB"/>
        </w:rPr>
        <w:t>Financial Supervision Authority</w:t>
      </w:r>
      <w:r w:rsidRPr="00825798">
        <w:rPr>
          <w:lang w:val="en-GB"/>
        </w:rPr>
        <w:t>’s expectations of a suitable stress testing framework and to urge credit institutions and investment firms to follow these principles in stress testing used as part of their risk management, strategic planning and capital planning.</w:t>
      </w:r>
    </w:p>
    <w:p w14:paraId="706E8019" w14:textId="64266DE6" w:rsidR="00D7424D" w:rsidRPr="00825798" w:rsidRDefault="0048185A" w:rsidP="0048185A">
      <w:pPr>
        <w:spacing w:after="240"/>
        <w:jc w:val="both"/>
        <w:rPr>
          <w:lang w:val="en-GB"/>
        </w:rPr>
      </w:pPr>
      <w:r w:rsidRPr="00825798">
        <w:rPr>
          <w:lang w:val="en-GB"/>
        </w:rPr>
        <w:t xml:space="preserve">The guidelines are to be applied proceeding from the principle of </w:t>
      </w:r>
      <w:r w:rsidR="006151E6" w:rsidRPr="00825798">
        <w:rPr>
          <w:lang w:val="en-GB"/>
        </w:rPr>
        <w:t>“comply or explain</w:t>
      </w:r>
      <w:r w:rsidRPr="00825798">
        <w:rPr>
          <w:lang w:val="en-GB"/>
        </w:rPr>
        <w:t>,” according to which a credit institution or investment firm must be able</w:t>
      </w:r>
      <w:r w:rsidR="00FD02D8" w:rsidRPr="00825798">
        <w:rPr>
          <w:lang w:val="en-GB"/>
        </w:rPr>
        <w:t>,</w:t>
      </w:r>
      <w:r w:rsidRPr="00825798">
        <w:rPr>
          <w:lang w:val="en-GB"/>
        </w:rPr>
        <w:t xml:space="preserve"> when necessary</w:t>
      </w:r>
      <w:r w:rsidR="00FD02D8" w:rsidRPr="00825798">
        <w:rPr>
          <w:lang w:val="en-GB"/>
        </w:rPr>
        <w:t>,</w:t>
      </w:r>
      <w:r w:rsidRPr="00825798">
        <w:rPr>
          <w:lang w:val="en-GB"/>
        </w:rPr>
        <w:t xml:space="preserve"> to explain to the </w:t>
      </w:r>
      <w:r w:rsidR="00293335" w:rsidRPr="00825798">
        <w:rPr>
          <w:lang w:val="en-GB"/>
        </w:rPr>
        <w:t>Financial Supervision Authority</w:t>
      </w:r>
      <w:r w:rsidRPr="00825798">
        <w:rPr>
          <w:lang w:val="en-GB"/>
        </w:rPr>
        <w:t xml:space="preserve"> why it is not </w:t>
      </w:r>
      <w:r w:rsidR="00FD02D8" w:rsidRPr="00825798">
        <w:rPr>
          <w:lang w:val="en-GB"/>
        </w:rPr>
        <w:t xml:space="preserve">applying </w:t>
      </w:r>
      <w:r w:rsidRPr="00825798">
        <w:rPr>
          <w:lang w:val="en-GB"/>
        </w:rPr>
        <w:t>or only partially applying a given requirement contained in the guidelines.</w:t>
      </w:r>
    </w:p>
    <w:p w14:paraId="5A35444E" w14:textId="25B2099E" w:rsidR="00D7424D" w:rsidRPr="00825798" w:rsidRDefault="0048185A" w:rsidP="00E8612A">
      <w:pPr>
        <w:jc w:val="both"/>
        <w:rPr>
          <w:lang w:val="en-GB"/>
        </w:rPr>
      </w:pPr>
      <w:r w:rsidRPr="00825798">
        <w:rPr>
          <w:lang w:val="en-GB"/>
        </w:rPr>
        <w:t xml:space="preserve">The </w:t>
      </w:r>
      <w:r w:rsidR="006151E6" w:rsidRPr="00825798">
        <w:rPr>
          <w:lang w:val="en-GB"/>
        </w:rPr>
        <w:t>guidelines</w:t>
      </w:r>
      <w:r w:rsidRPr="00825798">
        <w:rPr>
          <w:lang w:val="en-GB"/>
        </w:rPr>
        <w:t xml:space="preserve"> were developed based on the </w:t>
      </w:r>
      <w:r w:rsidR="006D5ACA" w:rsidRPr="00825798">
        <w:rPr>
          <w:lang w:val="en-GB"/>
        </w:rPr>
        <w:t>pri</w:t>
      </w:r>
      <w:r w:rsidR="00792BB3" w:rsidRPr="00825798">
        <w:rPr>
          <w:lang w:val="en-GB"/>
        </w:rPr>
        <w:t>n</w:t>
      </w:r>
      <w:r w:rsidR="006D5ACA" w:rsidRPr="00825798">
        <w:rPr>
          <w:lang w:val="en-GB"/>
        </w:rPr>
        <w:t xml:space="preserve">ciples of the </w:t>
      </w:r>
      <w:r w:rsidRPr="003060AE">
        <w:rPr>
          <w:i/>
          <w:lang w:val="en-GB"/>
        </w:rPr>
        <w:t>Guidelines on Stress Testing</w:t>
      </w:r>
      <w:r w:rsidR="006D5ACA" w:rsidRPr="00825798">
        <w:rPr>
          <w:lang w:val="en-GB"/>
        </w:rPr>
        <w:t xml:space="preserve"> (GL32),</w:t>
      </w:r>
      <w:r w:rsidR="00857E29" w:rsidRPr="00825798">
        <w:rPr>
          <w:lang w:val="en-GB"/>
        </w:rPr>
        <w:t xml:space="preserve"> </w:t>
      </w:r>
      <w:r w:rsidRPr="00825798">
        <w:rPr>
          <w:lang w:val="en-GB"/>
        </w:rPr>
        <w:t xml:space="preserve">published by the Committee of European Banking </w:t>
      </w:r>
      <w:r w:rsidR="006151E6" w:rsidRPr="00B16FA0">
        <w:rPr>
          <w:lang w:val="en-GB"/>
        </w:rPr>
        <w:t>Supervision</w:t>
      </w:r>
      <w:r w:rsidR="00857E29" w:rsidRPr="00B16FA0">
        <w:rPr>
          <w:lang w:val="en-GB"/>
        </w:rPr>
        <w:t xml:space="preserve"> </w:t>
      </w:r>
      <w:r w:rsidR="006D5ACA" w:rsidRPr="00B16FA0">
        <w:rPr>
          <w:lang w:val="en-GB"/>
        </w:rPr>
        <w:t xml:space="preserve">(CEBS) </w:t>
      </w:r>
      <w:r w:rsidRPr="00B16FA0">
        <w:rPr>
          <w:lang w:val="en-GB"/>
        </w:rPr>
        <w:t xml:space="preserve">and the </w:t>
      </w:r>
      <w:r w:rsidRPr="003060AE">
        <w:rPr>
          <w:i/>
          <w:lang w:val="en-GB"/>
        </w:rPr>
        <w:lastRenderedPageBreak/>
        <w:t>Principles for sound stress testing practices and supervision</w:t>
      </w:r>
      <w:r w:rsidR="00792BB3" w:rsidRPr="003060AE">
        <w:rPr>
          <w:i/>
          <w:lang w:val="en-GB"/>
        </w:rPr>
        <w:t xml:space="preserve"> </w:t>
      </w:r>
      <w:r w:rsidR="00792BB3" w:rsidRPr="00825798">
        <w:rPr>
          <w:lang w:val="en-GB"/>
        </w:rPr>
        <w:t>issued by the Basel C</w:t>
      </w:r>
      <w:r w:rsidR="006D5ACA" w:rsidRPr="00825798">
        <w:rPr>
          <w:lang w:val="en-GB"/>
        </w:rPr>
        <w:t xml:space="preserve">ommittee on </w:t>
      </w:r>
      <w:r w:rsidR="006151E6" w:rsidRPr="00825798">
        <w:rPr>
          <w:lang w:val="en-GB"/>
        </w:rPr>
        <w:t>Banking</w:t>
      </w:r>
      <w:r w:rsidR="006D5ACA" w:rsidRPr="00825798">
        <w:rPr>
          <w:lang w:val="en-GB"/>
        </w:rPr>
        <w:t xml:space="preserve"> Supervision</w:t>
      </w:r>
      <w:r w:rsidRPr="00825798">
        <w:rPr>
          <w:lang w:val="en-GB"/>
        </w:rPr>
        <w:t>.</w:t>
      </w:r>
    </w:p>
    <w:p w14:paraId="488A3CAD" w14:textId="77777777" w:rsidR="00D7424D" w:rsidRPr="00825798" w:rsidRDefault="00D7424D" w:rsidP="00E8612A">
      <w:pPr>
        <w:jc w:val="both"/>
        <w:rPr>
          <w:lang w:val="en-GB"/>
        </w:rPr>
      </w:pPr>
    </w:p>
    <w:p w14:paraId="7A46989A" w14:textId="77777777" w:rsidR="00D7424D" w:rsidRPr="00825798" w:rsidRDefault="00D7424D" w:rsidP="00E8612A">
      <w:pPr>
        <w:jc w:val="both"/>
        <w:rPr>
          <w:lang w:val="en-GB"/>
        </w:rPr>
      </w:pPr>
    </w:p>
    <w:p w14:paraId="01595166" w14:textId="77777777" w:rsidR="00D7424D" w:rsidRPr="00825798" w:rsidRDefault="00D7424D" w:rsidP="00E8612A">
      <w:pPr>
        <w:jc w:val="both"/>
        <w:rPr>
          <w:lang w:val="en-GB"/>
        </w:rPr>
      </w:pPr>
    </w:p>
    <w:p w14:paraId="5A94567F" w14:textId="646F6570" w:rsidR="00D7424D" w:rsidRPr="00825798" w:rsidRDefault="006D5ACA" w:rsidP="00E8612A">
      <w:pPr>
        <w:numPr>
          <w:ilvl w:val="0"/>
          <w:numId w:val="1"/>
        </w:numPr>
        <w:ind w:hanging="720"/>
        <w:jc w:val="both"/>
        <w:rPr>
          <w:b/>
          <w:lang w:val="en-GB" w:eastAsia="zh-CN"/>
        </w:rPr>
      </w:pPr>
      <w:r w:rsidRPr="00825798">
        <w:rPr>
          <w:b/>
          <w:lang w:val="en-GB" w:eastAsia="zh-CN"/>
        </w:rPr>
        <w:t>Scope of application</w:t>
      </w:r>
    </w:p>
    <w:p w14:paraId="07C738EF" w14:textId="77777777" w:rsidR="00D7424D" w:rsidRPr="00825798" w:rsidRDefault="00D7424D" w:rsidP="00E8612A">
      <w:pPr>
        <w:jc w:val="both"/>
        <w:rPr>
          <w:b/>
          <w:lang w:val="en-GB" w:eastAsia="zh-CN"/>
        </w:rPr>
      </w:pPr>
    </w:p>
    <w:p w14:paraId="00DFCBE5" w14:textId="1CFB9F96" w:rsidR="00D7424D" w:rsidRPr="00825798" w:rsidRDefault="006D5ACA" w:rsidP="006D5ACA">
      <w:pPr>
        <w:numPr>
          <w:ilvl w:val="1"/>
          <w:numId w:val="1"/>
        </w:numPr>
        <w:tabs>
          <w:tab w:val="clear" w:pos="780"/>
          <w:tab w:val="num" w:pos="709"/>
        </w:tabs>
        <w:spacing w:after="240"/>
        <w:ind w:left="709" w:hanging="709"/>
        <w:jc w:val="both"/>
        <w:rPr>
          <w:lang w:val="en-GB" w:eastAsia="zh-CN"/>
        </w:rPr>
      </w:pPr>
      <w:r w:rsidRPr="00825798">
        <w:rPr>
          <w:lang w:val="en-GB" w:eastAsia="zh-CN"/>
        </w:rPr>
        <w:t>The guidelines shall be applied to all credit institutions and investment firms as well as to consolidated groups of such institutions and companies.</w:t>
      </w:r>
    </w:p>
    <w:p w14:paraId="249DC3F8" w14:textId="209A16F3" w:rsidR="00D7424D" w:rsidRPr="00825798" w:rsidRDefault="00792BB3" w:rsidP="00E8612A">
      <w:pPr>
        <w:numPr>
          <w:ilvl w:val="1"/>
          <w:numId w:val="1"/>
        </w:numPr>
        <w:tabs>
          <w:tab w:val="clear" w:pos="780"/>
          <w:tab w:val="num" w:pos="709"/>
        </w:tabs>
        <w:ind w:left="709" w:hanging="709"/>
        <w:jc w:val="both"/>
        <w:rPr>
          <w:lang w:val="en-GB" w:eastAsia="zh-CN"/>
        </w:rPr>
      </w:pPr>
      <w:r w:rsidRPr="00825798">
        <w:rPr>
          <w:lang w:val="en-GB" w:eastAsia="zh-CN"/>
        </w:rPr>
        <w:t>The guidelines are</w:t>
      </w:r>
      <w:r w:rsidR="00A10E39" w:rsidRPr="00825798">
        <w:rPr>
          <w:lang w:val="en-GB" w:eastAsia="zh-CN"/>
        </w:rPr>
        <w:t xml:space="preserve"> to be</w:t>
      </w:r>
      <w:r w:rsidRPr="00825798">
        <w:rPr>
          <w:lang w:val="en-GB" w:eastAsia="zh-CN"/>
        </w:rPr>
        <w:t xml:space="preserve"> applied proceeding from the principle of proportionality, according to which the methods and procedures used in risk management of the credit institution or investment firm must be in conformity with the significance of the risk in the risk profile and the type, scope and level of complexity</w:t>
      </w:r>
      <w:r w:rsidR="00857E29" w:rsidRPr="00825798">
        <w:rPr>
          <w:lang w:val="en-GB" w:eastAsia="zh-CN"/>
        </w:rPr>
        <w:t xml:space="preserve"> </w:t>
      </w:r>
      <w:r w:rsidRPr="00825798">
        <w:rPr>
          <w:lang w:val="en-GB" w:eastAsia="zh-CN"/>
        </w:rPr>
        <w:t>of the activity</w:t>
      </w:r>
      <w:r w:rsidR="006D5ACA" w:rsidRPr="00825798">
        <w:rPr>
          <w:lang w:val="en-GB" w:eastAsia="zh-CN"/>
        </w:rPr>
        <w:t>.</w:t>
      </w:r>
    </w:p>
    <w:p w14:paraId="5373C847" w14:textId="77777777" w:rsidR="00D7424D" w:rsidRPr="00825798" w:rsidRDefault="00D7424D" w:rsidP="00E8612A">
      <w:pPr>
        <w:jc w:val="both"/>
        <w:rPr>
          <w:lang w:val="en-GB"/>
        </w:rPr>
      </w:pPr>
    </w:p>
    <w:p w14:paraId="1BD72034" w14:textId="77777777" w:rsidR="00D7424D" w:rsidRPr="00825798" w:rsidRDefault="00D7424D" w:rsidP="00E8612A">
      <w:pPr>
        <w:jc w:val="both"/>
        <w:rPr>
          <w:lang w:val="en-GB"/>
        </w:rPr>
      </w:pPr>
    </w:p>
    <w:p w14:paraId="26FB22F0" w14:textId="59D92B5D" w:rsidR="00D7424D" w:rsidRPr="00825798" w:rsidRDefault="006D5ACA" w:rsidP="00B55D36">
      <w:pPr>
        <w:numPr>
          <w:ilvl w:val="0"/>
          <w:numId w:val="1"/>
        </w:numPr>
        <w:ind w:hanging="720"/>
        <w:jc w:val="both"/>
        <w:rPr>
          <w:b/>
          <w:lang w:val="en-GB" w:eastAsia="zh-CN"/>
        </w:rPr>
      </w:pPr>
      <w:r w:rsidRPr="00825798">
        <w:rPr>
          <w:b/>
          <w:lang w:val="en-GB" w:eastAsia="zh-CN"/>
        </w:rPr>
        <w:t>Definitions used in the guidelines</w:t>
      </w:r>
    </w:p>
    <w:p w14:paraId="0B7825EF" w14:textId="77777777" w:rsidR="00D7424D" w:rsidRPr="00825798" w:rsidRDefault="00D7424D" w:rsidP="00E8612A">
      <w:pPr>
        <w:jc w:val="both"/>
        <w:rPr>
          <w:lang w:val="en-GB"/>
        </w:rPr>
      </w:pPr>
    </w:p>
    <w:p w14:paraId="1B540603" w14:textId="103CF69A" w:rsidR="00D7424D" w:rsidRPr="00825798" w:rsidRDefault="006D5ACA" w:rsidP="006D5ACA">
      <w:pPr>
        <w:numPr>
          <w:ilvl w:val="1"/>
          <w:numId w:val="1"/>
        </w:numPr>
        <w:tabs>
          <w:tab w:val="clear" w:pos="780"/>
          <w:tab w:val="num" w:pos="709"/>
        </w:tabs>
        <w:spacing w:after="240"/>
        <w:ind w:left="709" w:hanging="709"/>
        <w:jc w:val="both"/>
        <w:rPr>
          <w:lang w:val="en-GB" w:eastAsia="zh-CN"/>
        </w:rPr>
      </w:pPr>
      <w:r w:rsidRPr="00825798">
        <w:rPr>
          <w:lang w:val="en-GB" w:eastAsia="zh-CN"/>
        </w:rPr>
        <w:t>Risk profil</w:t>
      </w:r>
      <w:r w:rsidR="00142BD9" w:rsidRPr="00825798">
        <w:rPr>
          <w:lang w:val="en-GB" w:eastAsia="zh-CN"/>
        </w:rPr>
        <w:t xml:space="preserve">e – a unique combination of the </w:t>
      </w:r>
      <w:r w:rsidRPr="00825798">
        <w:rPr>
          <w:lang w:val="en-GB" w:eastAsia="zh-CN"/>
        </w:rPr>
        <w:t>risks of each credit institution or investment firm stemming from the type, extent and level of complexity</w:t>
      </w:r>
      <w:r w:rsidR="00857E29" w:rsidRPr="00825798">
        <w:rPr>
          <w:lang w:val="en-GB" w:eastAsia="zh-CN"/>
        </w:rPr>
        <w:t xml:space="preserve"> </w:t>
      </w:r>
      <w:r w:rsidRPr="00825798">
        <w:rPr>
          <w:lang w:val="en-GB" w:eastAsia="zh-CN"/>
        </w:rPr>
        <w:t>of its activities as well as from its operating environment.</w:t>
      </w:r>
    </w:p>
    <w:p w14:paraId="01775FCF" w14:textId="590B7CCF" w:rsidR="00D7424D" w:rsidRPr="00825798" w:rsidRDefault="006D5ACA" w:rsidP="006D5ACA">
      <w:pPr>
        <w:numPr>
          <w:ilvl w:val="1"/>
          <w:numId w:val="1"/>
        </w:numPr>
        <w:tabs>
          <w:tab w:val="clear" w:pos="780"/>
          <w:tab w:val="num" w:pos="709"/>
        </w:tabs>
        <w:spacing w:after="240"/>
        <w:ind w:left="709" w:hanging="709"/>
        <w:jc w:val="both"/>
        <w:rPr>
          <w:lang w:val="en-GB" w:eastAsia="zh-CN"/>
        </w:rPr>
      </w:pPr>
      <w:r w:rsidRPr="00825798">
        <w:rPr>
          <w:lang w:val="en-GB" w:eastAsia="zh-CN"/>
        </w:rPr>
        <w:t>Risk appetite – purposeful intention on the part of a credit institution or investment firm to take risk.</w:t>
      </w:r>
    </w:p>
    <w:p w14:paraId="5BA33CF3" w14:textId="23EF9727" w:rsidR="00D7424D" w:rsidRPr="00825798" w:rsidRDefault="006D5ACA" w:rsidP="006D5ACA">
      <w:pPr>
        <w:numPr>
          <w:ilvl w:val="1"/>
          <w:numId w:val="1"/>
        </w:numPr>
        <w:tabs>
          <w:tab w:val="clear" w:pos="780"/>
          <w:tab w:val="num" w:pos="709"/>
        </w:tabs>
        <w:spacing w:after="240"/>
        <w:ind w:left="709" w:hanging="709"/>
        <w:jc w:val="both"/>
        <w:rPr>
          <w:lang w:val="en-GB" w:eastAsia="zh-CN"/>
        </w:rPr>
      </w:pPr>
      <w:r w:rsidRPr="00825798">
        <w:rPr>
          <w:lang w:val="en-GB"/>
        </w:rPr>
        <w:t xml:space="preserve">Risk management – all types of defining, establishing, analysis, measurement, monitoring, hedging of risks </w:t>
      </w:r>
      <w:r w:rsidR="00715AFA" w:rsidRPr="00825798">
        <w:rPr>
          <w:lang w:val="en-GB"/>
        </w:rPr>
        <w:t xml:space="preserve">related to the activity of a credit institution or investment firm </w:t>
      </w:r>
      <w:r w:rsidRPr="00825798">
        <w:rPr>
          <w:lang w:val="en-GB"/>
        </w:rPr>
        <w:t>and making of decisions on the above.</w:t>
      </w:r>
    </w:p>
    <w:p w14:paraId="20660B53" w14:textId="3AEC4725" w:rsidR="00D7424D" w:rsidRPr="00825798" w:rsidRDefault="006D5ACA" w:rsidP="006D5ACA">
      <w:pPr>
        <w:numPr>
          <w:ilvl w:val="1"/>
          <w:numId w:val="1"/>
        </w:numPr>
        <w:tabs>
          <w:tab w:val="clear" w:pos="780"/>
          <w:tab w:val="num" w:pos="709"/>
        </w:tabs>
        <w:spacing w:after="240"/>
        <w:ind w:left="709" w:hanging="709"/>
        <w:jc w:val="both"/>
        <w:rPr>
          <w:lang w:val="en-GB" w:eastAsia="zh-CN"/>
        </w:rPr>
      </w:pPr>
      <w:r w:rsidRPr="00825798">
        <w:rPr>
          <w:lang w:val="en-GB" w:eastAsia="zh-CN"/>
        </w:rPr>
        <w:t>Stress test – analysis</w:t>
      </w:r>
      <w:r w:rsidR="00715AFA" w:rsidRPr="00825798">
        <w:rPr>
          <w:lang w:val="en-GB" w:eastAsia="zh-CN"/>
        </w:rPr>
        <w:t>,</w:t>
      </w:r>
      <w:r w:rsidRPr="00825798">
        <w:rPr>
          <w:lang w:val="en-GB" w:eastAsia="zh-CN"/>
        </w:rPr>
        <w:t xml:space="preserve"> the purpose of which is to assess the influence of </w:t>
      </w:r>
      <w:r w:rsidR="006151E6" w:rsidRPr="00825798">
        <w:rPr>
          <w:lang w:val="en-GB" w:eastAsia="zh-CN"/>
        </w:rPr>
        <w:t>unfavourable</w:t>
      </w:r>
      <w:r w:rsidRPr="00825798">
        <w:rPr>
          <w:lang w:val="en-GB" w:eastAsia="zh-CN"/>
        </w:rPr>
        <w:t xml:space="preserve"> change in factors in the operating environment on the credit institution</w:t>
      </w:r>
      <w:r w:rsidR="00715AFA" w:rsidRPr="00825798">
        <w:rPr>
          <w:lang w:val="en-GB" w:eastAsia="zh-CN"/>
        </w:rPr>
        <w:t>’s</w:t>
      </w:r>
      <w:r w:rsidRPr="00825798">
        <w:rPr>
          <w:lang w:val="en-GB" w:eastAsia="zh-CN"/>
        </w:rPr>
        <w:t xml:space="preserve"> or investment firm’s risks</w:t>
      </w:r>
      <w:r w:rsidR="00715AFA" w:rsidRPr="00825798">
        <w:rPr>
          <w:lang w:val="en-GB" w:eastAsia="zh-CN"/>
        </w:rPr>
        <w:t xml:space="preserve"> and capital </w:t>
      </w:r>
      <w:r w:rsidR="008D1582" w:rsidRPr="00825798">
        <w:rPr>
          <w:lang w:val="en-GB" w:eastAsia="zh-CN"/>
        </w:rPr>
        <w:t>need</w:t>
      </w:r>
      <w:r w:rsidRPr="00825798">
        <w:rPr>
          <w:lang w:val="en-GB" w:eastAsia="zh-CN"/>
        </w:rPr>
        <w:t>.</w:t>
      </w:r>
    </w:p>
    <w:p w14:paraId="05CD3451" w14:textId="5970C34B" w:rsidR="00D7424D" w:rsidRPr="00825798" w:rsidRDefault="006D5ACA" w:rsidP="006D5ACA">
      <w:pPr>
        <w:numPr>
          <w:ilvl w:val="1"/>
          <w:numId w:val="1"/>
        </w:numPr>
        <w:tabs>
          <w:tab w:val="clear" w:pos="780"/>
          <w:tab w:val="num" w:pos="709"/>
        </w:tabs>
        <w:spacing w:after="240"/>
        <w:ind w:left="709" w:hanging="709"/>
        <w:jc w:val="both"/>
        <w:rPr>
          <w:lang w:val="en-GB" w:eastAsia="zh-CN"/>
        </w:rPr>
      </w:pPr>
      <w:r w:rsidRPr="00825798">
        <w:rPr>
          <w:lang w:val="en-GB" w:eastAsia="zh-CN"/>
        </w:rPr>
        <w:t>Scenario analysis – analysis, the purpose of which is to assess the influence of a change in multiple factors in the operating environment on the credit institution</w:t>
      </w:r>
      <w:r w:rsidR="008D1582" w:rsidRPr="00825798">
        <w:rPr>
          <w:lang w:val="en-GB" w:eastAsia="zh-CN"/>
        </w:rPr>
        <w:t>’s</w:t>
      </w:r>
      <w:r w:rsidRPr="00825798">
        <w:rPr>
          <w:lang w:val="en-GB" w:eastAsia="zh-CN"/>
        </w:rPr>
        <w:t xml:space="preserve"> or investment firm’s risks</w:t>
      </w:r>
      <w:r w:rsidR="008D1582" w:rsidRPr="00825798">
        <w:rPr>
          <w:lang w:val="en-GB" w:eastAsia="zh-CN"/>
        </w:rPr>
        <w:t xml:space="preserve"> and capital need</w:t>
      </w:r>
      <w:r w:rsidRPr="00825798">
        <w:rPr>
          <w:lang w:val="en-GB" w:eastAsia="zh-CN"/>
        </w:rPr>
        <w:t>.</w:t>
      </w:r>
    </w:p>
    <w:p w14:paraId="2C5CADA4" w14:textId="7C251A63" w:rsidR="00D7424D" w:rsidRPr="00825798" w:rsidRDefault="004E0C12" w:rsidP="00E63887">
      <w:pPr>
        <w:numPr>
          <w:ilvl w:val="1"/>
          <w:numId w:val="1"/>
        </w:numPr>
        <w:tabs>
          <w:tab w:val="clear" w:pos="780"/>
          <w:tab w:val="num" w:pos="709"/>
        </w:tabs>
        <w:ind w:left="709" w:hanging="709"/>
        <w:jc w:val="both"/>
        <w:rPr>
          <w:lang w:val="en-GB" w:eastAsia="zh-CN"/>
        </w:rPr>
      </w:pPr>
      <w:r w:rsidRPr="00825798">
        <w:rPr>
          <w:lang w:val="en-GB" w:eastAsia="zh-CN"/>
        </w:rPr>
        <w:t xml:space="preserve">Sensitivity </w:t>
      </w:r>
      <w:r w:rsidR="006D5ACA" w:rsidRPr="00825798">
        <w:rPr>
          <w:lang w:val="en-GB" w:eastAsia="zh-CN"/>
        </w:rPr>
        <w:t xml:space="preserve">analysis – analysis, the purpose of which is to assess the influence of a change in </w:t>
      </w:r>
      <w:r w:rsidRPr="00825798">
        <w:rPr>
          <w:lang w:val="en-GB" w:eastAsia="zh-CN"/>
        </w:rPr>
        <w:t>an individual factor</w:t>
      </w:r>
      <w:r w:rsidR="006D5ACA" w:rsidRPr="00825798">
        <w:rPr>
          <w:lang w:val="en-GB" w:eastAsia="zh-CN"/>
        </w:rPr>
        <w:t xml:space="preserve"> in the operating environment on the credit institution</w:t>
      </w:r>
      <w:r w:rsidR="008D1582" w:rsidRPr="00825798">
        <w:rPr>
          <w:lang w:val="en-GB" w:eastAsia="zh-CN"/>
        </w:rPr>
        <w:t>’s</w:t>
      </w:r>
      <w:r w:rsidR="006D5ACA" w:rsidRPr="00825798">
        <w:rPr>
          <w:lang w:val="en-GB" w:eastAsia="zh-CN"/>
        </w:rPr>
        <w:t xml:space="preserve"> or investment firm’s risks</w:t>
      </w:r>
      <w:r w:rsidR="008D1582" w:rsidRPr="00825798">
        <w:rPr>
          <w:lang w:val="en-GB" w:eastAsia="zh-CN"/>
        </w:rPr>
        <w:t xml:space="preserve"> and capital need</w:t>
      </w:r>
      <w:r w:rsidR="006D5ACA" w:rsidRPr="00825798">
        <w:rPr>
          <w:lang w:val="en-GB" w:eastAsia="zh-CN"/>
        </w:rPr>
        <w:t>.</w:t>
      </w:r>
    </w:p>
    <w:p w14:paraId="7A7E387A" w14:textId="77777777" w:rsidR="00D7424D" w:rsidRPr="00825798" w:rsidRDefault="00D7424D" w:rsidP="004B3086">
      <w:pPr>
        <w:jc w:val="both"/>
        <w:rPr>
          <w:lang w:val="en-GB" w:eastAsia="zh-CN"/>
        </w:rPr>
      </w:pPr>
    </w:p>
    <w:p w14:paraId="5749A099" w14:textId="7C25FE14" w:rsidR="00D7424D" w:rsidRPr="00825798" w:rsidRDefault="004E0C12" w:rsidP="00E63887">
      <w:pPr>
        <w:numPr>
          <w:ilvl w:val="1"/>
          <w:numId w:val="1"/>
        </w:numPr>
        <w:tabs>
          <w:tab w:val="clear" w:pos="780"/>
          <w:tab w:val="num" w:pos="709"/>
        </w:tabs>
        <w:ind w:left="709" w:hanging="709"/>
        <w:jc w:val="both"/>
        <w:rPr>
          <w:lang w:val="en-GB" w:eastAsia="zh-CN"/>
        </w:rPr>
      </w:pPr>
      <w:r w:rsidRPr="00825798">
        <w:rPr>
          <w:lang w:val="en-GB" w:eastAsia="zh-CN"/>
        </w:rPr>
        <w:t>Contingent activity plan – activity plan, the purpose of which is to define potential relevant risk mitigation actions and measures and events or conditions preceding them, which</w:t>
      </w:r>
      <w:r w:rsidR="008D1582" w:rsidRPr="00825798">
        <w:rPr>
          <w:lang w:val="en-GB" w:eastAsia="zh-CN"/>
        </w:rPr>
        <w:t>,</w:t>
      </w:r>
      <w:r w:rsidRPr="00825798">
        <w:rPr>
          <w:lang w:val="en-GB" w:eastAsia="zh-CN"/>
        </w:rPr>
        <w:t xml:space="preserve"> if manifest</w:t>
      </w:r>
      <w:r w:rsidR="008D1582" w:rsidRPr="00825798">
        <w:rPr>
          <w:lang w:val="en-GB" w:eastAsia="zh-CN"/>
        </w:rPr>
        <w:t>,</w:t>
      </w:r>
      <w:r w:rsidRPr="00825798">
        <w:rPr>
          <w:lang w:val="en-GB" w:eastAsia="zh-CN"/>
        </w:rPr>
        <w:t xml:space="preserve"> trigger the abovementioned actions and measures.</w:t>
      </w:r>
    </w:p>
    <w:p w14:paraId="3EA2E639" w14:textId="77777777" w:rsidR="00D7424D" w:rsidRPr="00825798" w:rsidRDefault="00D7424D" w:rsidP="00E8612A">
      <w:pPr>
        <w:jc w:val="both"/>
        <w:rPr>
          <w:lang w:val="en-GB"/>
        </w:rPr>
      </w:pPr>
    </w:p>
    <w:p w14:paraId="0A66EDFB" w14:textId="77777777" w:rsidR="00D7424D" w:rsidRPr="00825798" w:rsidRDefault="00D7424D" w:rsidP="00E8612A">
      <w:pPr>
        <w:jc w:val="both"/>
        <w:rPr>
          <w:lang w:val="en-GB"/>
        </w:rPr>
      </w:pPr>
    </w:p>
    <w:p w14:paraId="29C45E6C" w14:textId="1CC6502E" w:rsidR="00D7424D" w:rsidRPr="00825798" w:rsidRDefault="004E0C12" w:rsidP="00E8612A">
      <w:pPr>
        <w:numPr>
          <w:ilvl w:val="0"/>
          <w:numId w:val="1"/>
        </w:numPr>
        <w:ind w:hanging="720"/>
        <w:jc w:val="both"/>
        <w:rPr>
          <w:b/>
          <w:lang w:val="en-GB" w:eastAsia="zh-CN"/>
        </w:rPr>
      </w:pPr>
      <w:r w:rsidRPr="00825798">
        <w:rPr>
          <w:b/>
          <w:lang w:val="en-GB" w:eastAsia="zh-CN"/>
        </w:rPr>
        <w:t>General requirements</w:t>
      </w:r>
    </w:p>
    <w:p w14:paraId="6D671D76" w14:textId="77777777" w:rsidR="00D7424D" w:rsidRPr="00825798" w:rsidRDefault="00D7424D" w:rsidP="00E8612A">
      <w:pPr>
        <w:jc w:val="both"/>
        <w:rPr>
          <w:b/>
          <w:lang w:val="en-GB" w:eastAsia="zh-CN"/>
        </w:rPr>
      </w:pPr>
    </w:p>
    <w:p w14:paraId="27E23BF8" w14:textId="79A2ED87" w:rsidR="00D7424D" w:rsidRPr="00825798" w:rsidRDefault="004E0C12" w:rsidP="000E0F5C">
      <w:pPr>
        <w:pStyle w:val="Loendilik"/>
        <w:numPr>
          <w:ilvl w:val="1"/>
          <w:numId w:val="1"/>
        </w:numPr>
        <w:tabs>
          <w:tab w:val="clear" w:pos="780"/>
          <w:tab w:val="num" w:pos="709"/>
        </w:tabs>
        <w:ind w:left="709" w:hanging="709"/>
        <w:jc w:val="both"/>
        <w:rPr>
          <w:lang w:val="en-GB" w:eastAsia="zh-CN"/>
        </w:rPr>
      </w:pPr>
      <w:r w:rsidRPr="00825798">
        <w:rPr>
          <w:lang w:val="en-GB" w:eastAsia="zh-CN"/>
        </w:rPr>
        <w:t>The management board of the credit institution or investment firm shall be responsible for organizing the stress testing.</w:t>
      </w:r>
    </w:p>
    <w:p w14:paraId="2D235590" w14:textId="77777777" w:rsidR="00D7424D" w:rsidRPr="00825798" w:rsidRDefault="00D7424D" w:rsidP="000E0F5C">
      <w:pPr>
        <w:jc w:val="both"/>
        <w:rPr>
          <w:lang w:val="en-GB" w:eastAsia="zh-CN"/>
        </w:rPr>
      </w:pPr>
      <w:r w:rsidRPr="00825798">
        <w:rPr>
          <w:lang w:val="en-GB" w:eastAsia="zh-CN"/>
        </w:rPr>
        <w:t xml:space="preserve"> </w:t>
      </w:r>
    </w:p>
    <w:p w14:paraId="3F963F31" w14:textId="58913522" w:rsidR="00D7424D" w:rsidRPr="00825798" w:rsidRDefault="004E0C12" w:rsidP="00FD1256">
      <w:pPr>
        <w:pStyle w:val="Loendilik"/>
        <w:numPr>
          <w:ilvl w:val="1"/>
          <w:numId w:val="1"/>
        </w:numPr>
        <w:tabs>
          <w:tab w:val="clear" w:pos="780"/>
          <w:tab w:val="num" w:pos="709"/>
        </w:tabs>
        <w:ind w:left="709" w:hanging="709"/>
        <w:jc w:val="both"/>
        <w:rPr>
          <w:lang w:val="en-GB" w:eastAsia="zh-CN"/>
        </w:rPr>
      </w:pPr>
      <w:r w:rsidRPr="00825798">
        <w:rPr>
          <w:lang w:val="en-GB" w:eastAsia="zh-CN"/>
        </w:rPr>
        <w:lastRenderedPageBreak/>
        <w:t>The management board of the credit institution</w:t>
      </w:r>
      <w:r w:rsidR="00857E29" w:rsidRPr="00825798">
        <w:rPr>
          <w:lang w:val="en-GB" w:eastAsia="zh-CN"/>
        </w:rPr>
        <w:t xml:space="preserve"> </w:t>
      </w:r>
      <w:r w:rsidRPr="00825798">
        <w:rPr>
          <w:lang w:val="en-GB" w:eastAsia="zh-CN"/>
        </w:rPr>
        <w:t xml:space="preserve">or investment firm must be included in the stress testing process, especially in stress testing encompassing the entirety of </w:t>
      </w:r>
      <w:r w:rsidR="0020262B" w:rsidRPr="00825798">
        <w:rPr>
          <w:lang w:val="en-GB" w:eastAsia="zh-CN"/>
        </w:rPr>
        <w:t>business</w:t>
      </w:r>
      <w:r w:rsidRPr="00825798">
        <w:rPr>
          <w:lang w:val="en-GB" w:eastAsia="zh-CN"/>
        </w:rPr>
        <w:t xml:space="preserve"> activity and capital planning, and must be capable of understanding the influence of unfavourable change of factors in the operating </w:t>
      </w:r>
      <w:r w:rsidR="006151E6" w:rsidRPr="00825798">
        <w:rPr>
          <w:lang w:val="en-GB" w:eastAsia="zh-CN"/>
        </w:rPr>
        <w:t>environment</w:t>
      </w:r>
      <w:r w:rsidRPr="00825798">
        <w:rPr>
          <w:lang w:val="en-GB" w:eastAsia="zh-CN"/>
        </w:rPr>
        <w:t xml:space="preserve"> on the risk profile of the credit institution or investment firm, taking into account restrictions stemming from the stress testing preconditions.</w:t>
      </w:r>
    </w:p>
    <w:p w14:paraId="02031864" w14:textId="77777777" w:rsidR="00D7424D" w:rsidRPr="00825798" w:rsidRDefault="00D7424D" w:rsidP="00FD1256">
      <w:pPr>
        <w:jc w:val="both"/>
        <w:rPr>
          <w:lang w:val="en-GB" w:eastAsia="zh-CN"/>
        </w:rPr>
      </w:pPr>
    </w:p>
    <w:p w14:paraId="4BCB62C9" w14:textId="55B03A88" w:rsidR="00D7424D" w:rsidRPr="00825798" w:rsidRDefault="004E0C12" w:rsidP="00210381">
      <w:pPr>
        <w:numPr>
          <w:ilvl w:val="1"/>
          <w:numId w:val="1"/>
        </w:numPr>
        <w:tabs>
          <w:tab w:val="clear" w:pos="780"/>
          <w:tab w:val="num" w:pos="709"/>
        </w:tabs>
        <w:ind w:left="709" w:hanging="709"/>
        <w:jc w:val="both"/>
        <w:rPr>
          <w:lang w:val="en-GB" w:eastAsia="zh-CN"/>
        </w:rPr>
      </w:pPr>
      <w:r w:rsidRPr="00825798">
        <w:rPr>
          <w:lang w:val="en-GB" w:eastAsia="zh-CN"/>
        </w:rPr>
        <w:t xml:space="preserve">The management board of the credit institution or investment firm must clearly define </w:t>
      </w:r>
      <w:r w:rsidR="007F7401" w:rsidRPr="00825798">
        <w:rPr>
          <w:lang w:val="en-GB" w:eastAsia="zh-CN"/>
        </w:rPr>
        <w:t xml:space="preserve">the </w:t>
      </w:r>
      <w:r w:rsidRPr="00825798">
        <w:rPr>
          <w:lang w:val="en-GB" w:eastAsia="zh-CN"/>
        </w:rPr>
        <w:t>responsibility for carrying out stress testing and allocat</w:t>
      </w:r>
      <w:r w:rsidR="007F7401" w:rsidRPr="00825798">
        <w:rPr>
          <w:lang w:val="en-GB" w:eastAsia="zh-CN"/>
        </w:rPr>
        <w:t>e</w:t>
      </w:r>
      <w:r w:rsidRPr="00825798">
        <w:rPr>
          <w:lang w:val="en-GB" w:eastAsia="zh-CN"/>
        </w:rPr>
        <w:t xml:space="preserve"> sufficient resources for this purpose.</w:t>
      </w:r>
    </w:p>
    <w:p w14:paraId="5499842D" w14:textId="77777777" w:rsidR="00D7424D" w:rsidRPr="00825798" w:rsidRDefault="00D7424D" w:rsidP="00210381">
      <w:pPr>
        <w:jc w:val="both"/>
        <w:rPr>
          <w:lang w:val="en-GB" w:eastAsia="zh-CN"/>
        </w:rPr>
      </w:pPr>
    </w:p>
    <w:p w14:paraId="207083F2" w14:textId="07BC7493" w:rsidR="00D7424D" w:rsidRPr="00825798" w:rsidRDefault="004E0C12" w:rsidP="00E8612A">
      <w:pPr>
        <w:pStyle w:val="Loendilik"/>
        <w:numPr>
          <w:ilvl w:val="1"/>
          <w:numId w:val="1"/>
        </w:numPr>
        <w:tabs>
          <w:tab w:val="clear" w:pos="780"/>
          <w:tab w:val="num" w:pos="709"/>
        </w:tabs>
        <w:ind w:left="709" w:hanging="709"/>
        <w:jc w:val="both"/>
        <w:rPr>
          <w:lang w:val="en-GB" w:eastAsia="zh-CN"/>
        </w:rPr>
      </w:pPr>
      <w:r w:rsidRPr="00825798">
        <w:rPr>
          <w:lang w:val="en-GB" w:eastAsia="zh-CN"/>
        </w:rPr>
        <w:t xml:space="preserve">The stress testing must be integrated with the </w:t>
      </w:r>
      <w:r w:rsidR="00770F02" w:rsidRPr="00825798">
        <w:rPr>
          <w:lang w:val="en-GB" w:eastAsia="zh-CN"/>
        </w:rPr>
        <w:t>credit institution</w:t>
      </w:r>
      <w:r w:rsidR="007F7401" w:rsidRPr="00825798">
        <w:rPr>
          <w:lang w:val="en-GB" w:eastAsia="zh-CN"/>
        </w:rPr>
        <w:t>’s</w:t>
      </w:r>
      <w:r w:rsidR="00770F02" w:rsidRPr="00825798">
        <w:rPr>
          <w:lang w:val="en-GB" w:eastAsia="zh-CN"/>
        </w:rPr>
        <w:t xml:space="preserve"> or investment firm’s risk management framework, the functioning o</w:t>
      </w:r>
      <w:r w:rsidR="007F7401" w:rsidRPr="00825798">
        <w:rPr>
          <w:lang w:val="en-GB" w:eastAsia="zh-CN"/>
        </w:rPr>
        <w:t>f</w:t>
      </w:r>
      <w:r w:rsidR="00770F02" w:rsidRPr="00825798">
        <w:rPr>
          <w:lang w:val="en-GB" w:eastAsia="zh-CN"/>
        </w:rPr>
        <w:t xml:space="preserve"> which shall be supported by effective infrastructure.</w:t>
      </w:r>
    </w:p>
    <w:p w14:paraId="1782AD57" w14:textId="77777777" w:rsidR="00D7424D" w:rsidRPr="00825798" w:rsidRDefault="00D7424D" w:rsidP="000E0F5C">
      <w:pPr>
        <w:jc w:val="both"/>
        <w:rPr>
          <w:lang w:val="en-GB" w:eastAsia="zh-CN"/>
        </w:rPr>
      </w:pPr>
    </w:p>
    <w:p w14:paraId="49F32B8F" w14:textId="5F300CA6" w:rsidR="00D7424D" w:rsidRPr="00825798" w:rsidRDefault="00D7424D" w:rsidP="00E8612A">
      <w:pPr>
        <w:pStyle w:val="Loendilik"/>
        <w:numPr>
          <w:ilvl w:val="1"/>
          <w:numId w:val="1"/>
        </w:numPr>
        <w:tabs>
          <w:tab w:val="clear" w:pos="780"/>
          <w:tab w:val="num" w:pos="709"/>
        </w:tabs>
        <w:ind w:left="709" w:hanging="709"/>
        <w:jc w:val="both"/>
        <w:rPr>
          <w:lang w:val="en-GB" w:eastAsia="zh-CN"/>
        </w:rPr>
      </w:pPr>
      <w:r w:rsidRPr="00825798">
        <w:rPr>
          <w:lang w:val="en-GB" w:eastAsia="zh-CN"/>
        </w:rPr>
        <w:t xml:space="preserve"> </w:t>
      </w:r>
      <w:r w:rsidR="00494B19" w:rsidRPr="00825798">
        <w:rPr>
          <w:lang w:val="en-GB" w:eastAsia="zh-CN"/>
        </w:rPr>
        <w:t>The stress testing framework must enable, among othe</w:t>
      </w:r>
      <w:r w:rsidR="00A10E39" w:rsidRPr="00825798">
        <w:rPr>
          <w:lang w:val="en-GB" w:eastAsia="zh-CN"/>
        </w:rPr>
        <w:t>r</w:t>
      </w:r>
      <w:r w:rsidR="00494B19" w:rsidRPr="00825798">
        <w:rPr>
          <w:lang w:val="en-GB" w:eastAsia="zh-CN"/>
        </w:rPr>
        <w:t xml:space="preserve"> things</w:t>
      </w:r>
      <w:r w:rsidR="00770F02" w:rsidRPr="00825798">
        <w:rPr>
          <w:lang w:val="en-GB" w:eastAsia="zh-CN"/>
        </w:rPr>
        <w:t>:</w:t>
      </w:r>
    </w:p>
    <w:p w14:paraId="10DAEFA2" w14:textId="1330FBCF" w:rsidR="00D7424D" w:rsidRPr="00825798" w:rsidRDefault="006151E6" w:rsidP="00477146">
      <w:pPr>
        <w:pStyle w:val="Loendilik"/>
        <w:numPr>
          <w:ilvl w:val="2"/>
          <w:numId w:val="1"/>
        </w:numPr>
        <w:ind w:hanging="371"/>
        <w:jc w:val="both"/>
        <w:rPr>
          <w:lang w:val="en-GB" w:eastAsia="zh-CN"/>
        </w:rPr>
      </w:pPr>
      <w:r w:rsidRPr="00825798">
        <w:rPr>
          <w:lang w:val="en-GB" w:eastAsia="zh-CN"/>
        </w:rPr>
        <w:t>analysis of risks at the level of portfolios, risk positions, types of risks, business lines, important business units as well as in aggregated fashion at the level of credit institution or investment firm;</w:t>
      </w:r>
    </w:p>
    <w:p w14:paraId="3A27D5CB" w14:textId="07966722" w:rsidR="00D7424D" w:rsidRPr="00825798" w:rsidRDefault="00494B19" w:rsidP="00477146">
      <w:pPr>
        <w:pStyle w:val="Loendilik"/>
        <w:numPr>
          <w:ilvl w:val="2"/>
          <w:numId w:val="1"/>
        </w:numPr>
        <w:ind w:hanging="371"/>
        <w:jc w:val="both"/>
        <w:rPr>
          <w:lang w:val="en-GB" w:eastAsia="zh-CN"/>
        </w:rPr>
      </w:pPr>
      <w:r w:rsidRPr="00825798">
        <w:rPr>
          <w:lang w:val="en-GB" w:eastAsia="zh-CN"/>
        </w:rPr>
        <w:t>execution of both regular and ad hoc stress tests;</w:t>
      </w:r>
    </w:p>
    <w:p w14:paraId="2541B293" w14:textId="2604F5BD" w:rsidR="00D7424D" w:rsidRPr="00825798" w:rsidRDefault="00494B19" w:rsidP="00967C5C">
      <w:pPr>
        <w:pStyle w:val="Loendilik"/>
        <w:numPr>
          <w:ilvl w:val="2"/>
          <w:numId w:val="1"/>
        </w:numPr>
        <w:ind w:hanging="371"/>
        <w:jc w:val="both"/>
        <w:rPr>
          <w:lang w:val="en-GB" w:eastAsia="zh-CN"/>
        </w:rPr>
      </w:pPr>
      <w:r w:rsidRPr="00825798">
        <w:rPr>
          <w:lang w:val="en-GB" w:eastAsia="zh-CN"/>
        </w:rPr>
        <w:t>consideration of correlations between risks.</w:t>
      </w:r>
    </w:p>
    <w:p w14:paraId="646C8578" w14:textId="77777777" w:rsidR="00D7424D" w:rsidRPr="00825798" w:rsidRDefault="00D7424D" w:rsidP="00BC090C">
      <w:pPr>
        <w:jc w:val="both"/>
        <w:rPr>
          <w:lang w:val="en-GB" w:eastAsia="zh-CN"/>
        </w:rPr>
      </w:pPr>
    </w:p>
    <w:p w14:paraId="32494528" w14:textId="399B853F" w:rsidR="00D7424D" w:rsidRPr="00825798" w:rsidRDefault="00494B19" w:rsidP="00DC6883">
      <w:pPr>
        <w:pStyle w:val="Loendilik"/>
        <w:numPr>
          <w:ilvl w:val="1"/>
          <w:numId w:val="1"/>
        </w:numPr>
        <w:tabs>
          <w:tab w:val="clear" w:pos="780"/>
          <w:tab w:val="num" w:pos="709"/>
        </w:tabs>
        <w:ind w:left="709" w:hanging="709"/>
        <w:jc w:val="both"/>
        <w:rPr>
          <w:lang w:val="en-GB" w:eastAsia="zh-CN"/>
        </w:rPr>
      </w:pPr>
      <w:r w:rsidRPr="00825798">
        <w:rPr>
          <w:lang w:val="en-GB" w:eastAsia="zh-CN"/>
        </w:rPr>
        <w:t>Stress testing must be an integral part of the process of ensuring adequacy of internal capital of the credit institution or investment firm.</w:t>
      </w:r>
    </w:p>
    <w:p w14:paraId="3FEECCF9" w14:textId="77777777" w:rsidR="00D7424D" w:rsidRPr="00825798" w:rsidRDefault="00D7424D" w:rsidP="00DC6883">
      <w:pPr>
        <w:jc w:val="both"/>
        <w:rPr>
          <w:lang w:val="en-GB" w:eastAsia="zh-CN"/>
        </w:rPr>
      </w:pPr>
    </w:p>
    <w:p w14:paraId="473A4433" w14:textId="0E60893B" w:rsidR="00D7424D" w:rsidRPr="00825798" w:rsidRDefault="00494B19" w:rsidP="00DC6883">
      <w:pPr>
        <w:pStyle w:val="Loendilik"/>
        <w:numPr>
          <w:ilvl w:val="1"/>
          <w:numId w:val="1"/>
        </w:numPr>
        <w:tabs>
          <w:tab w:val="clear" w:pos="780"/>
          <w:tab w:val="num" w:pos="709"/>
        </w:tabs>
        <w:ind w:left="709" w:hanging="709"/>
        <w:jc w:val="both"/>
        <w:rPr>
          <w:lang w:val="en-GB" w:eastAsia="zh-CN"/>
        </w:rPr>
      </w:pPr>
      <w:r w:rsidRPr="00825798">
        <w:rPr>
          <w:lang w:val="en-GB"/>
        </w:rPr>
        <w:t>The stress testing framework must enable the making of relevant business and strategic decisions.</w:t>
      </w:r>
    </w:p>
    <w:p w14:paraId="215726E8" w14:textId="77777777" w:rsidR="00D7424D" w:rsidRPr="00825798" w:rsidRDefault="00D7424D" w:rsidP="001B2DB8">
      <w:pPr>
        <w:pStyle w:val="Loendilik"/>
        <w:rPr>
          <w:lang w:val="en-GB" w:eastAsia="zh-CN"/>
        </w:rPr>
      </w:pPr>
    </w:p>
    <w:p w14:paraId="277C459C" w14:textId="19F942DE" w:rsidR="00D7424D" w:rsidRPr="00825798" w:rsidRDefault="00494B19" w:rsidP="00DC6883">
      <w:pPr>
        <w:pStyle w:val="Loendilik"/>
        <w:numPr>
          <w:ilvl w:val="1"/>
          <w:numId w:val="1"/>
        </w:numPr>
        <w:tabs>
          <w:tab w:val="clear" w:pos="780"/>
          <w:tab w:val="num" w:pos="709"/>
        </w:tabs>
        <w:ind w:left="709" w:hanging="709"/>
        <w:jc w:val="both"/>
        <w:rPr>
          <w:lang w:val="en-GB" w:eastAsia="zh-CN"/>
        </w:rPr>
      </w:pPr>
      <w:r w:rsidRPr="00825798">
        <w:rPr>
          <w:lang w:val="en-GB" w:eastAsia="zh-CN"/>
        </w:rPr>
        <w:t xml:space="preserve">The management board of </w:t>
      </w:r>
      <w:r w:rsidR="007F7401" w:rsidRPr="00825798">
        <w:rPr>
          <w:lang w:val="en-GB" w:eastAsia="zh-CN"/>
        </w:rPr>
        <w:t xml:space="preserve">a </w:t>
      </w:r>
      <w:r w:rsidRPr="00825798">
        <w:rPr>
          <w:lang w:val="en-GB" w:eastAsia="zh-CN"/>
        </w:rPr>
        <w:t>credit institutions or investment firm shall be responsible for appropriateness of activities and measures implemented based on the stress test outcome.</w:t>
      </w:r>
      <w:r w:rsidR="00D7424D" w:rsidRPr="00825798">
        <w:rPr>
          <w:lang w:val="en-GB" w:eastAsia="zh-CN"/>
        </w:rPr>
        <w:t xml:space="preserve"> </w:t>
      </w:r>
      <w:r w:rsidR="00542DB6" w:rsidRPr="00825798">
        <w:rPr>
          <w:lang w:val="en-GB" w:eastAsia="zh-CN"/>
        </w:rPr>
        <w:t xml:space="preserve">Relevant activities and measures shall include, </w:t>
      </w:r>
      <w:r w:rsidR="007F7401" w:rsidRPr="003060AE">
        <w:rPr>
          <w:i/>
          <w:lang w:val="en-GB" w:eastAsia="zh-CN"/>
        </w:rPr>
        <w:t>inter alia</w:t>
      </w:r>
      <w:r w:rsidR="00542DB6" w:rsidRPr="00825798">
        <w:rPr>
          <w:lang w:val="en-GB" w:eastAsia="zh-CN"/>
        </w:rPr>
        <w:t>, the following</w:t>
      </w:r>
      <w:r w:rsidRPr="00825798">
        <w:rPr>
          <w:lang w:val="en-GB" w:eastAsia="zh-CN"/>
        </w:rPr>
        <w:t>:</w:t>
      </w:r>
    </w:p>
    <w:p w14:paraId="65873568" w14:textId="5C8F6CA9" w:rsidR="00D7424D" w:rsidRPr="00825798" w:rsidRDefault="00542DB6" w:rsidP="00DC6883">
      <w:pPr>
        <w:pStyle w:val="Loendilik"/>
        <w:numPr>
          <w:ilvl w:val="0"/>
          <w:numId w:val="2"/>
        </w:numPr>
        <w:ind w:hanging="371"/>
        <w:jc w:val="both"/>
        <w:rPr>
          <w:lang w:val="en-GB" w:eastAsia="zh-CN"/>
        </w:rPr>
      </w:pPr>
      <w:r w:rsidRPr="00825798">
        <w:rPr>
          <w:lang w:val="en-GB" w:eastAsia="zh-CN"/>
        </w:rPr>
        <w:t>review of the limits placed on risk positions;</w:t>
      </w:r>
    </w:p>
    <w:p w14:paraId="0F18B86B" w14:textId="2881CF07" w:rsidR="00D7424D" w:rsidRPr="00825798" w:rsidRDefault="00542DB6" w:rsidP="00477146">
      <w:pPr>
        <w:pStyle w:val="Loendilik"/>
        <w:numPr>
          <w:ilvl w:val="0"/>
          <w:numId w:val="2"/>
        </w:numPr>
        <w:ind w:hanging="371"/>
        <w:jc w:val="both"/>
        <w:rPr>
          <w:lang w:val="en-GB" w:eastAsia="zh-CN"/>
        </w:rPr>
      </w:pPr>
      <w:r w:rsidRPr="00825798">
        <w:rPr>
          <w:lang w:val="en-GB" w:eastAsia="zh-CN"/>
        </w:rPr>
        <w:t>use of risk-hedging techniques;</w:t>
      </w:r>
    </w:p>
    <w:p w14:paraId="426787FC" w14:textId="2EE90DEB" w:rsidR="00D7424D" w:rsidRPr="00825798" w:rsidRDefault="00542DB6" w:rsidP="00477146">
      <w:pPr>
        <w:pStyle w:val="Loendilik"/>
        <w:numPr>
          <w:ilvl w:val="0"/>
          <w:numId w:val="2"/>
        </w:numPr>
        <w:ind w:hanging="371"/>
        <w:jc w:val="both"/>
        <w:rPr>
          <w:lang w:val="en-GB" w:eastAsia="zh-CN"/>
        </w:rPr>
      </w:pPr>
      <w:r w:rsidRPr="00825798">
        <w:rPr>
          <w:lang w:val="en-GB" w:eastAsia="zh-CN"/>
        </w:rPr>
        <w:t>review of financing policy;</w:t>
      </w:r>
    </w:p>
    <w:p w14:paraId="18D8A158" w14:textId="46A987C3" w:rsidR="00D7424D" w:rsidRPr="00825798" w:rsidRDefault="00542DB6" w:rsidP="00477146">
      <w:pPr>
        <w:pStyle w:val="Loendilik"/>
        <w:numPr>
          <w:ilvl w:val="0"/>
          <w:numId w:val="2"/>
        </w:numPr>
        <w:ind w:hanging="371"/>
        <w:jc w:val="both"/>
        <w:rPr>
          <w:lang w:val="en-GB" w:eastAsia="zh-CN"/>
        </w:rPr>
      </w:pPr>
      <w:r w:rsidRPr="00825798">
        <w:rPr>
          <w:lang w:val="en-GB" w:eastAsia="zh-CN"/>
        </w:rPr>
        <w:t>review of capitalization and liquidity;</w:t>
      </w:r>
    </w:p>
    <w:p w14:paraId="49B27BCB" w14:textId="51D8F7D6" w:rsidR="00D7424D" w:rsidRPr="00825798" w:rsidRDefault="00470556" w:rsidP="00477146">
      <w:pPr>
        <w:pStyle w:val="Loendilik"/>
        <w:numPr>
          <w:ilvl w:val="0"/>
          <w:numId w:val="2"/>
        </w:numPr>
        <w:ind w:hanging="371"/>
        <w:jc w:val="both"/>
        <w:rPr>
          <w:lang w:val="en-GB" w:eastAsia="zh-CN"/>
        </w:rPr>
      </w:pPr>
      <w:r w:rsidRPr="00825798">
        <w:rPr>
          <w:lang w:val="en-GB" w:eastAsia="zh-CN"/>
        </w:rPr>
        <w:t xml:space="preserve">review of </w:t>
      </w:r>
      <w:r w:rsidR="00542DB6" w:rsidRPr="00825798">
        <w:rPr>
          <w:lang w:val="en-GB" w:eastAsia="zh-CN"/>
        </w:rPr>
        <w:t>strategic planning;</w:t>
      </w:r>
    </w:p>
    <w:p w14:paraId="5F43F7E1" w14:textId="6417BDF3" w:rsidR="00D7424D" w:rsidRPr="00825798" w:rsidRDefault="00542DB6" w:rsidP="00477146">
      <w:pPr>
        <w:pStyle w:val="Loendilik"/>
        <w:numPr>
          <w:ilvl w:val="0"/>
          <w:numId w:val="2"/>
        </w:numPr>
        <w:ind w:hanging="371"/>
        <w:jc w:val="both"/>
        <w:rPr>
          <w:lang w:val="en-GB" w:eastAsia="zh-CN"/>
        </w:rPr>
      </w:pPr>
      <w:r w:rsidRPr="00825798">
        <w:rPr>
          <w:lang w:val="en-GB" w:eastAsia="zh-CN"/>
        </w:rPr>
        <w:t>review of risk appetite;</w:t>
      </w:r>
    </w:p>
    <w:p w14:paraId="4D896A79" w14:textId="1EC79886" w:rsidR="00D7424D" w:rsidRPr="00825798" w:rsidRDefault="00542DB6" w:rsidP="00DC6883">
      <w:pPr>
        <w:pStyle w:val="Loendilik"/>
        <w:numPr>
          <w:ilvl w:val="0"/>
          <w:numId w:val="2"/>
        </w:numPr>
        <w:ind w:hanging="371"/>
        <w:jc w:val="both"/>
        <w:rPr>
          <w:lang w:val="en-GB" w:eastAsia="zh-CN"/>
        </w:rPr>
      </w:pPr>
      <w:r w:rsidRPr="00825798">
        <w:rPr>
          <w:lang w:val="en-GB" w:eastAsia="zh-CN"/>
        </w:rPr>
        <w:t>review or development of contingent activity plan.</w:t>
      </w:r>
    </w:p>
    <w:p w14:paraId="2BC687D7" w14:textId="77777777" w:rsidR="00D7424D" w:rsidRPr="00825798" w:rsidRDefault="00D7424D" w:rsidP="00E8612A">
      <w:pPr>
        <w:jc w:val="both"/>
        <w:rPr>
          <w:lang w:val="en-GB" w:eastAsia="zh-CN"/>
        </w:rPr>
      </w:pPr>
    </w:p>
    <w:p w14:paraId="7A55FB73" w14:textId="606E9607" w:rsidR="00D7424D" w:rsidRPr="00825798" w:rsidRDefault="002D2AA6" w:rsidP="00E8612A">
      <w:pPr>
        <w:numPr>
          <w:ilvl w:val="1"/>
          <w:numId w:val="1"/>
        </w:numPr>
        <w:tabs>
          <w:tab w:val="clear" w:pos="780"/>
          <w:tab w:val="num" w:pos="709"/>
        </w:tabs>
        <w:ind w:left="709" w:hanging="709"/>
        <w:jc w:val="both"/>
        <w:rPr>
          <w:lang w:val="en-GB" w:eastAsia="zh-CN"/>
        </w:rPr>
      </w:pPr>
      <w:r w:rsidRPr="00825798">
        <w:rPr>
          <w:lang w:val="en-GB" w:eastAsia="zh-CN"/>
        </w:rPr>
        <w:t>The credit institution or investment firm must establish written stress testing policies and procedures</w:t>
      </w:r>
      <w:r w:rsidR="00542DB6" w:rsidRPr="00825798">
        <w:rPr>
          <w:lang w:val="en-GB" w:eastAsia="zh-CN"/>
        </w:rPr>
        <w:t>.</w:t>
      </w:r>
    </w:p>
    <w:p w14:paraId="4F9C5B65" w14:textId="77777777" w:rsidR="00D7424D" w:rsidRPr="00825798" w:rsidRDefault="00D7424D" w:rsidP="001B2DB8">
      <w:pPr>
        <w:jc w:val="both"/>
        <w:rPr>
          <w:lang w:val="en-GB" w:eastAsia="zh-CN"/>
        </w:rPr>
      </w:pPr>
    </w:p>
    <w:p w14:paraId="3C6B0BD5" w14:textId="76451337" w:rsidR="00D7424D" w:rsidRPr="00825798" w:rsidRDefault="002D2AA6" w:rsidP="00E8612A">
      <w:pPr>
        <w:numPr>
          <w:ilvl w:val="1"/>
          <w:numId w:val="1"/>
        </w:numPr>
        <w:tabs>
          <w:tab w:val="clear" w:pos="780"/>
          <w:tab w:val="num" w:pos="709"/>
        </w:tabs>
        <w:ind w:left="709" w:hanging="709"/>
        <w:jc w:val="both"/>
        <w:rPr>
          <w:lang w:val="en-GB" w:eastAsia="zh-CN"/>
        </w:rPr>
      </w:pPr>
      <w:r w:rsidRPr="00825798">
        <w:rPr>
          <w:lang w:val="en-GB" w:eastAsia="zh-CN"/>
        </w:rPr>
        <w:t xml:space="preserve">The stress testing policies </w:t>
      </w:r>
      <w:r w:rsidR="006151E6" w:rsidRPr="00825798">
        <w:rPr>
          <w:lang w:val="en-GB" w:eastAsia="zh-CN"/>
        </w:rPr>
        <w:t>and</w:t>
      </w:r>
      <w:r w:rsidRPr="00825798">
        <w:rPr>
          <w:lang w:val="en-GB" w:eastAsia="zh-CN"/>
        </w:rPr>
        <w:t xml:space="preserve"> procedures must clearly treat, among other things, the following aspects:</w:t>
      </w:r>
    </w:p>
    <w:p w14:paraId="71B1B18F" w14:textId="0A86F247" w:rsidR="00D7424D" w:rsidRPr="00825798" w:rsidRDefault="00E779E9" w:rsidP="00E8769B">
      <w:pPr>
        <w:pStyle w:val="Loendilik"/>
        <w:numPr>
          <w:ilvl w:val="0"/>
          <w:numId w:val="4"/>
        </w:numPr>
        <w:ind w:hanging="371"/>
        <w:jc w:val="both"/>
        <w:rPr>
          <w:lang w:val="en-GB" w:eastAsia="zh-CN"/>
        </w:rPr>
      </w:pPr>
      <w:r w:rsidRPr="00825798">
        <w:rPr>
          <w:lang w:val="en-GB" w:eastAsia="zh-CN"/>
        </w:rPr>
        <w:t>t</w:t>
      </w:r>
      <w:r w:rsidR="002D2AA6" w:rsidRPr="00825798">
        <w:rPr>
          <w:lang w:val="en-GB" w:eastAsia="zh-CN"/>
        </w:rPr>
        <w:t>he use of different types of stress tests and their goal;</w:t>
      </w:r>
    </w:p>
    <w:p w14:paraId="48F5AA38" w14:textId="2FD13C0F" w:rsidR="00D7424D" w:rsidRPr="00825798" w:rsidRDefault="002D2AA6" w:rsidP="00E8769B">
      <w:pPr>
        <w:pStyle w:val="Loendilik"/>
        <w:numPr>
          <w:ilvl w:val="0"/>
          <w:numId w:val="4"/>
        </w:numPr>
        <w:ind w:hanging="371"/>
        <w:jc w:val="both"/>
        <w:rPr>
          <w:lang w:val="en-GB" w:eastAsia="zh-CN"/>
        </w:rPr>
      </w:pPr>
      <w:r w:rsidRPr="00825798">
        <w:rPr>
          <w:lang w:val="en-GB" w:eastAsia="zh-CN"/>
        </w:rPr>
        <w:t>frequency of carrying out stress testing;</w:t>
      </w:r>
    </w:p>
    <w:p w14:paraId="138FF625" w14:textId="41CEB866" w:rsidR="00D7424D" w:rsidRPr="00825798" w:rsidRDefault="002D2AA6" w:rsidP="00E8769B">
      <w:pPr>
        <w:pStyle w:val="Loendilik"/>
        <w:numPr>
          <w:ilvl w:val="0"/>
          <w:numId w:val="4"/>
        </w:numPr>
        <w:ind w:hanging="371"/>
        <w:jc w:val="both"/>
        <w:rPr>
          <w:lang w:val="en-GB" w:eastAsia="zh-CN"/>
        </w:rPr>
      </w:pPr>
      <w:r w:rsidRPr="00825798">
        <w:rPr>
          <w:lang w:val="en-GB" w:eastAsia="zh-CN"/>
        </w:rPr>
        <w:t>descriptions of methodology of stress tests, including the use of expert opinions;</w:t>
      </w:r>
    </w:p>
    <w:p w14:paraId="14E2AE14" w14:textId="06AC94B5" w:rsidR="00D7424D" w:rsidRPr="00825798" w:rsidRDefault="002D2AA6" w:rsidP="00E8769B">
      <w:pPr>
        <w:pStyle w:val="Loendilik"/>
        <w:numPr>
          <w:ilvl w:val="0"/>
          <w:numId w:val="4"/>
        </w:numPr>
        <w:ind w:hanging="371"/>
        <w:jc w:val="both"/>
        <w:rPr>
          <w:lang w:val="en-GB" w:eastAsia="zh-CN"/>
        </w:rPr>
      </w:pPr>
      <w:r w:rsidRPr="00825798">
        <w:rPr>
          <w:lang w:val="en-GB" w:eastAsia="zh-CN"/>
        </w:rPr>
        <w:t xml:space="preserve">preconditions </w:t>
      </w:r>
      <w:r w:rsidR="00293335" w:rsidRPr="00825798">
        <w:rPr>
          <w:lang w:val="en-GB" w:eastAsia="zh-CN"/>
        </w:rPr>
        <w:t xml:space="preserve">which are used in the stress tests and which are </w:t>
      </w:r>
      <w:r w:rsidRPr="00825798">
        <w:rPr>
          <w:lang w:val="en-GB" w:eastAsia="zh-CN"/>
        </w:rPr>
        <w:t>related to business activity and management de</w:t>
      </w:r>
      <w:r w:rsidR="00293335" w:rsidRPr="00825798">
        <w:rPr>
          <w:lang w:val="en-GB" w:eastAsia="zh-CN"/>
        </w:rPr>
        <w:t>cisions</w:t>
      </w:r>
      <w:r w:rsidRPr="00825798">
        <w:rPr>
          <w:color w:val="800080"/>
          <w:sz w:val="18"/>
          <w:lang w:val="en-GB" w:eastAsia="zh-CN"/>
        </w:rPr>
        <w:t>.</w:t>
      </w:r>
    </w:p>
    <w:p w14:paraId="573CF76D" w14:textId="77777777" w:rsidR="00D7424D" w:rsidRPr="00825798" w:rsidRDefault="00D7424D" w:rsidP="00E8769B">
      <w:pPr>
        <w:jc w:val="both"/>
        <w:rPr>
          <w:lang w:val="en-GB" w:eastAsia="zh-CN"/>
        </w:rPr>
      </w:pPr>
    </w:p>
    <w:p w14:paraId="58ECF959" w14:textId="74FE614F" w:rsidR="00D7424D" w:rsidRPr="00825798" w:rsidRDefault="002D2AA6" w:rsidP="00E8612A">
      <w:pPr>
        <w:numPr>
          <w:ilvl w:val="1"/>
          <w:numId w:val="1"/>
        </w:numPr>
        <w:tabs>
          <w:tab w:val="clear" w:pos="780"/>
          <w:tab w:val="num" w:pos="709"/>
        </w:tabs>
        <w:ind w:left="709" w:hanging="709"/>
        <w:jc w:val="both"/>
        <w:rPr>
          <w:lang w:val="en-GB"/>
        </w:rPr>
      </w:pPr>
      <w:r w:rsidRPr="00825798">
        <w:rPr>
          <w:lang w:val="en-GB" w:eastAsia="zh-CN"/>
        </w:rPr>
        <w:lastRenderedPageBreak/>
        <w:t>The credit institution or investment firm must involve an independent risk control function in developing and implementing a s</w:t>
      </w:r>
      <w:r w:rsidR="00293335" w:rsidRPr="00825798">
        <w:rPr>
          <w:lang w:val="en-GB" w:eastAsia="zh-CN"/>
        </w:rPr>
        <w:t>t</w:t>
      </w:r>
      <w:r w:rsidRPr="00825798">
        <w:rPr>
          <w:lang w:val="en-GB" w:eastAsia="zh-CN"/>
        </w:rPr>
        <w:t>ress testing framework.</w:t>
      </w:r>
    </w:p>
    <w:p w14:paraId="1626A2A0" w14:textId="77777777" w:rsidR="00D7424D" w:rsidRPr="00825798" w:rsidRDefault="00D7424D" w:rsidP="00210381">
      <w:pPr>
        <w:jc w:val="both"/>
        <w:rPr>
          <w:lang w:val="en-GB"/>
        </w:rPr>
      </w:pPr>
    </w:p>
    <w:p w14:paraId="63399F0D" w14:textId="5CF71BC7" w:rsidR="00D7424D" w:rsidRPr="00825798" w:rsidRDefault="004F434D" w:rsidP="00E8612A">
      <w:pPr>
        <w:numPr>
          <w:ilvl w:val="1"/>
          <w:numId w:val="1"/>
        </w:numPr>
        <w:tabs>
          <w:tab w:val="clear" w:pos="780"/>
          <w:tab w:val="num" w:pos="709"/>
        </w:tabs>
        <w:ind w:left="709" w:hanging="709"/>
        <w:jc w:val="both"/>
        <w:rPr>
          <w:lang w:val="en-GB"/>
        </w:rPr>
      </w:pPr>
      <w:r w:rsidRPr="00825798">
        <w:rPr>
          <w:lang w:val="en-GB" w:eastAsia="zh-CN"/>
        </w:rPr>
        <w:t xml:space="preserve">The credit institution or investment firm must periodically </w:t>
      </w:r>
      <w:r w:rsidR="00293335" w:rsidRPr="00825798">
        <w:rPr>
          <w:lang w:val="en-GB" w:eastAsia="zh-CN"/>
        </w:rPr>
        <w:t>evaluate</w:t>
      </w:r>
      <w:r w:rsidRPr="00825798">
        <w:rPr>
          <w:lang w:val="en-GB" w:eastAsia="zh-CN"/>
        </w:rPr>
        <w:t xml:space="preserve"> the </w:t>
      </w:r>
      <w:r w:rsidR="00C93B5C" w:rsidRPr="00825798">
        <w:rPr>
          <w:lang w:val="en-GB" w:eastAsia="zh-CN"/>
        </w:rPr>
        <w:t>appropriateness</w:t>
      </w:r>
      <w:r w:rsidRPr="00825798">
        <w:rPr>
          <w:lang w:val="en-GB" w:eastAsia="zh-CN"/>
        </w:rPr>
        <w:t xml:space="preserve"> of the </w:t>
      </w:r>
      <w:r w:rsidR="00C93B5C" w:rsidRPr="00825798">
        <w:rPr>
          <w:lang w:val="en-GB" w:eastAsia="zh-CN"/>
        </w:rPr>
        <w:t xml:space="preserve">organisation of </w:t>
      </w:r>
      <w:r w:rsidRPr="00825798">
        <w:rPr>
          <w:lang w:val="en-GB" w:eastAsia="zh-CN"/>
        </w:rPr>
        <w:t xml:space="preserve">stress testing, including devoting attention to the </w:t>
      </w:r>
      <w:r w:rsidR="009B3268" w:rsidRPr="00825798">
        <w:rPr>
          <w:lang w:val="en-GB" w:eastAsia="zh-CN"/>
        </w:rPr>
        <w:t>following aspects</w:t>
      </w:r>
      <w:r w:rsidR="002D2AA6" w:rsidRPr="00825798">
        <w:rPr>
          <w:lang w:val="en-GB" w:eastAsia="zh-CN"/>
        </w:rPr>
        <w:t>:</w:t>
      </w:r>
    </w:p>
    <w:p w14:paraId="3497A824" w14:textId="63B16018" w:rsidR="00D7424D" w:rsidRPr="00825798" w:rsidRDefault="009B3268" w:rsidP="00E773A9">
      <w:pPr>
        <w:numPr>
          <w:ilvl w:val="2"/>
          <w:numId w:val="1"/>
        </w:numPr>
        <w:ind w:hanging="371"/>
        <w:jc w:val="both"/>
        <w:rPr>
          <w:lang w:val="en-GB"/>
        </w:rPr>
      </w:pPr>
      <w:r w:rsidRPr="00825798">
        <w:rPr>
          <w:lang w:val="en-GB" w:eastAsia="zh-CN"/>
        </w:rPr>
        <w:t>effectiveness of the stress testing and conformity to the set goals;</w:t>
      </w:r>
    </w:p>
    <w:p w14:paraId="391A2E91" w14:textId="782CFB76" w:rsidR="00D7424D" w:rsidRPr="00825798" w:rsidRDefault="009B3268" w:rsidP="00E773A9">
      <w:pPr>
        <w:numPr>
          <w:ilvl w:val="2"/>
          <w:numId w:val="1"/>
        </w:numPr>
        <w:ind w:hanging="371"/>
        <w:jc w:val="both"/>
        <w:rPr>
          <w:lang w:val="en-GB"/>
        </w:rPr>
      </w:pPr>
      <w:r w:rsidRPr="00825798">
        <w:rPr>
          <w:lang w:val="en-GB"/>
        </w:rPr>
        <w:t>need for development;</w:t>
      </w:r>
    </w:p>
    <w:p w14:paraId="3C794113" w14:textId="01704498" w:rsidR="00D7424D" w:rsidRPr="00825798" w:rsidRDefault="009B3268" w:rsidP="00E773A9">
      <w:pPr>
        <w:numPr>
          <w:ilvl w:val="2"/>
          <w:numId w:val="1"/>
        </w:numPr>
        <w:ind w:hanging="371"/>
        <w:jc w:val="both"/>
        <w:rPr>
          <w:lang w:val="en-GB"/>
        </w:rPr>
      </w:pPr>
      <w:r w:rsidRPr="00825798">
        <w:rPr>
          <w:lang w:val="en-GB"/>
        </w:rPr>
        <w:t>level to which supervisory board and management board are informed;</w:t>
      </w:r>
    </w:p>
    <w:p w14:paraId="12C24BEC" w14:textId="764FEE73" w:rsidR="00D7424D" w:rsidRPr="00825798" w:rsidRDefault="009B3268" w:rsidP="00E773A9">
      <w:pPr>
        <w:numPr>
          <w:ilvl w:val="2"/>
          <w:numId w:val="1"/>
        </w:numPr>
        <w:ind w:hanging="371"/>
        <w:jc w:val="both"/>
        <w:rPr>
          <w:lang w:val="en-GB"/>
        </w:rPr>
      </w:pPr>
      <w:r w:rsidRPr="00825798">
        <w:rPr>
          <w:lang w:val="en-GB"/>
        </w:rPr>
        <w:t>quality of data used;</w:t>
      </w:r>
    </w:p>
    <w:p w14:paraId="42E7644B" w14:textId="7006B500" w:rsidR="00D7424D" w:rsidRPr="00825798" w:rsidRDefault="009B3268" w:rsidP="00E773A9">
      <w:pPr>
        <w:numPr>
          <w:ilvl w:val="2"/>
          <w:numId w:val="1"/>
        </w:numPr>
        <w:ind w:hanging="371"/>
        <w:jc w:val="both"/>
        <w:rPr>
          <w:lang w:val="en-GB"/>
        </w:rPr>
      </w:pPr>
      <w:r w:rsidRPr="00825798">
        <w:rPr>
          <w:lang w:val="en-GB"/>
        </w:rPr>
        <w:t xml:space="preserve">documentation of </w:t>
      </w:r>
      <w:r w:rsidR="006151E6" w:rsidRPr="00825798">
        <w:rPr>
          <w:lang w:val="en-GB"/>
        </w:rPr>
        <w:t>stress</w:t>
      </w:r>
      <w:r w:rsidRPr="00825798">
        <w:rPr>
          <w:lang w:val="en-GB"/>
        </w:rPr>
        <w:t xml:space="preserve"> testing results.</w:t>
      </w:r>
    </w:p>
    <w:p w14:paraId="41FF56A1" w14:textId="77777777" w:rsidR="00D7424D" w:rsidRPr="00825798" w:rsidRDefault="00D7424D" w:rsidP="00E773A9">
      <w:pPr>
        <w:jc w:val="both"/>
        <w:rPr>
          <w:lang w:val="en-GB"/>
        </w:rPr>
      </w:pPr>
    </w:p>
    <w:p w14:paraId="7BAB3FF7" w14:textId="0EF196B5" w:rsidR="00D7424D" w:rsidRPr="00825798" w:rsidRDefault="009B3268" w:rsidP="006272C2">
      <w:pPr>
        <w:numPr>
          <w:ilvl w:val="1"/>
          <w:numId w:val="1"/>
        </w:numPr>
        <w:tabs>
          <w:tab w:val="clear" w:pos="780"/>
          <w:tab w:val="num" w:pos="709"/>
        </w:tabs>
        <w:ind w:left="709" w:hanging="709"/>
        <w:jc w:val="both"/>
        <w:rPr>
          <w:lang w:val="en-GB" w:eastAsia="zh-CN"/>
        </w:rPr>
      </w:pPr>
      <w:r w:rsidRPr="00825798">
        <w:rPr>
          <w:lang w:val="en-GB" w:eastAsia="zh-CN"/>
        </w:rPr>
        <w:t>The credit institution or investment firm must periodically review the stress testing policies and procedures and adjust them as needed, taking into account changes in their risk appetite and operating environment.</w:t>
      </w:r>
    </w:p>
    <w:p w14:paraId="73C1F2FE" w14:textId="77777777" w:rsidR="00D7424D" w:rsidRPr="00825798" w:rsidRDefault="00D7424D" w:rsidP="006167E6">
      <w:pPr>
        <w:jc w:val="both"/>
        <w:rPr>
          <w:lang w:val="en-GB" w:eastAsia="zh-CN"/>
        </w:rPr>
      </w:pPr>
    </w:p>
    <w:p w14:paraId="7293FBAC" w14:textId="77777777" w:rsidR="00D7424D" w:rsidRPr="00825798" w:rsidRDefault="00D7424D" w:rsidP="006167E6">
      <w:pPr>
        <w:jc w:val="both"/>
        <w:rPr>
          <w:lang w:val="en-GB" w:eastAsia="zh-CN"/>
        </w:rPr>
      </w:pPr>
    </w:p>
    <w:p w14:paraId="322AEA00" w14:textId="16770BD8" w:rsidR="00D7424D" w:rsidRPr="00825798" w:rsidRDefault="009B3268" w:rsidP="00477146">
      <w:pPr>
        <w:numPr>
          <w:ilvl w:val="0"/>
          <w:numId w:val="1"/>
        </w:numPr>
        <w:ind w:hanging="720"/>
        <w:jc w:val="both"/>
        <w:rPr>
          <w:b/>
          <w:lang w:val="en-GB" w:eastAsia="zh-CN"/>
        </w:rPr>
      </w:pPr>
      <w:r w:rsidRPr="00825798">
        <w:rPr>
          <w:b/>
          <w:lang w:val="en-GB" w:eastAsia="zh-CN"/>
        </w:rPr>
        <w:t>Scope</w:t>
      </w:r>
    </w:p>
    <w:p w14:paraId="335FC6DC" w14:textId="77777777" w:rsidR="00D7424D" w:rsidRPr="00825798" w:rsidRDefault="00D7424D" w:rsidP="00477146">
      <w:pPr>
        <w:jc w:val="both"/>
        <w:rPr>
          <w:b/>
          <w:lang w:val="en-GB" w:eastAsia="zh-CN"/>
        </w:rPr>
      </w:pPr>
    </w:p>
    <w:p w14:paraId="7C5CBCFC" w14:textId="75B97654" w:rsidR="00D7424D" w:rsidRPr="00825798" w:rsidRDefault="009B3268" w:rsidP="00477146">
      <w:pPr>
        <w:numPr>
          <w:ilvl w:val="1"/>
          <w:numId w:val="1"/>
        </w:numPr>
        <w:tabs>
          <w:tab w:val="clear" w:pos="780"/>
        </w:tabs>
        <w:ind w:left="709" w:hanging="709"/>
        <w:jc w:val="both"/>
        <w:rPr>
          <w:lang w:val="en-GB" w:eastAsia="zh-CN"/>
        </w:rPr>
      </w:pPr>
      <w:r w:rsidRPr="00825798">
        <w:rPr>
          <w:lang w:val="en-GB" w:eastAsia="zh-CN"/>
        </w:rPr>
        <w:t>The credit institution or investment firm must subject to the stress test</w:t>
      </w:r>
      <w:r w:rsidR="00986A0B" w:rsidRPr="00825798">
        <w:rPr>
          <w:lang w:val="en-GB" w:eastAsia="zh-CN"/>
        </w:rPr>
        <w:t>ing</w:t>
      </w:r>
      <w:r w:rsidRPr="00825798">
        <w:rPr>
          <w:lang w:val="en-GB" w:eastAsia="zh-CN"/>
        </w:rPr>
        <w:t xml:space="preserve"> all material risk </w:t>
      </w:r>
      <w:r w:rsidR="006151E6" w:rsidRPr="00825798">
        <w:rPr>
          <w:lang w:val="en-GB" w:eastAsia="zh-CN"/>
        </w:rPr>
        <w:t>positions</w:t>
      </w:r>
      <w:r w:rsidRPr="00825798">
        <w:rPr>
          <w:lang w:val="en-GB" w:eastAsia="zh-CN"/>
        </w:rPr>
        <w:t xml:space="preserve"> arising from balance-sheet assets and off-balance-sheet obligations.</w:t>
      </w:r>
    </w:p>
    <w:p w14:paraId="0CCB124D" w14:textId="77777777" w:rsidR="00D7424D" w:rsidRPr="00825798" w:rsidRDefault="00D7424D" w:rsidP="00477146">
      <w:pPr>
        <w:jc w:val="both"/>
        <w:rPr>
          <w:lang w:val="en-GB" w:eastAsia="zh-CN"/>
        </w:rPr>
      </w:pPr>
    </w:p>
    <w:p w14:paraId="6589C619" w14:textId="79DC5352" w:rsidR="00D7424D" w:rsidRPr="00825798" w:rsidRDefault="009B3268" w:rsidP="00477146">
      <w:pPr>
        <w:numPr>
          <w:ilvl w:val="1"/>
          <w:numId w:val="1"/>
        </w:numPr>
        <w:tabs>
          <w:tab w:val="clear" w:pos="780"/>
        </w:tabs>
        <w:ind w:left="709" w:hanging="709"/>
        <w:jc w:val="both"/>
        <w:rPr>
          <w:lang w:val="en-GB" w:eastAsia="zh-CN"/>
        </w:rPr>
      </w:pPr>
      <w:r w:rsidRPr="00825798">
        <w:rPr>
          <w:lang w:val="en-GB" w:eastAsia="zh-CN"/>
        </w:rPr>
        <w:t>The credit institution or investment firm must conduct stress testing with regard to all material risk types and portfolios.</w:t>
      </w:r>
    </w:p>
    <w:p w14:paraId="71819AC6" w14:textId="77777777" w:rsidR="00D7424D" w:rsidRPr="00825798" w:rsidRDefault="00D7424D" w:rsidP="00477146">
      <w:pPr>
        <w:jc w:val="both"/>
        <w:rPr>
          <w:lang w:val="en-GB" w:eastAsia="zh-CN"/>
        </w:rPr>
      </w:pPr>
    </w:p>
    <w:p w14:paraId="141B9B23" w14:textId="0B31B45F" w:rsidR="00D7424D" w:rsidRPr="00825798" w:rsidRDefault="006151E6" w:rsidP="00477146">
      <w:pPr>
        <w:numPr>
          <w:ilvl w:val="1"/>
          <w:numId w:val="1"/>
        </w:numPr>
        <w:tabs>
          <w:tab w:val="clear" w:pos="780"/>
        </w:tabs>
        <w:ind w:left="709" w:hanging="709"/>
        <w:jc w:val="both"/>
        <w:rPr>
          <w:lang w:val="en-GB" w:eastAsia="zh-CN"/>
        </w:rPr>
      </w:pPr>
      <w:r w:rsidRPr="00825798">
        <w:rPr>
          <w:lang w:val="en-GB" w:eastAsia="zh-CN"/>
        </w:rPr>
        <w:t>The credit institution or investment firm must regularly execute stress tests encompassing the entirety of business activity, not limited only to simple aggregation of stress testing of individual portfolios and risks influencing them, but must rather take into consideration also the potential connections between risks, including concentrations among risks.</w:t>
      </w:r>
    </w:p>
    <w:p w14:paraId="021B5547" w14:textId="77777777" w:rsidR="00D7424D" w:rsidRPr="00825798" w:rsidRDefault="00D7424D" w:rsidP="00477146">
      <w:pPr>
        <w:jc w:val="both"/>
        <w:rPr>
          <w:lang w:val="en-GB" w:eastAsia="zh-CN"/>
        </w:rPr>
      </w:pPr>
    </w:p>
    <w:p w14:paraId="6DA323D0" w14:textId="1260E938" w:rsidR="00D7424D" w:rsidRPr="00825798" w:rsidRDefault="009B3268" w:rsidP="00477146">
      <w:pPr>
        <w:numPr>
          <w:ilvl w:val="1"/>
          <w:numId w:val="1"/>
        </w:numPr>
        <w:tabs>
          <w:tab w:val="clear" w:pos="780"/>
        </w:tabs>
        <w:ind w:left="709" w:hanging="709"/>
        <w:jc w:val="both"/>
        <w:rPr>
          <w:lang w:val="en-GB" w:eastAsia="zh-CN"/>
        </w:rPr>
      </w:pPr>
      <w:r w:rsidRPr="00825798">
        <w:rPr>
          <w:lang w:val="en-GB" w:eastAsia="zh-CN"/>
        </w:rPr>
        <w:t>Stress tests encompassing the entirety of business activity must be carried out both in consolidated fashion as well as by material business units.</w:t>
      </w:r>
      <w:r w:rsidR="00D7424D" w:rsidRPr="00825798">
        <w:rPr>
          <w:lang w:val="en-GB" w:eastAsia="zh-CN"/>
        </w:rPr>
        <w:t xml:space="preserve"> </w:t>
      </w:r>
      <w:r w:rsidRPr="00825798">
        <w:rPr>
          <w:lang w:val="en-GB" w:eastAsia="zh-CN"/>
        </w:rPr>
        <w:t>The stress test must, among other things, cover material business units not directly related to the primary area of activity, such as business units established for administering collateral assets.</w:t>
      </w:r>
    </w:p>
    <w:p w14:paraId="26A1C40C" w14:textId="77777777" w:rsidR="00D7424D" w:rsidRPr="00825798" w:rsidRDefault="00D7424D" w:rsidP="00D87C58">
      <w:pPr>
        <w:pStyle w:val="Loendilik"/>
        <w:rPr>
          <w:lang w:val="en-GB" w:eastAsia="zh-CN"/>
        </w:rPr>
      </w:pPr>
    </w:p>
    <w:p w14:paraId="26EAD6E7" w14:textId="2427E47B" w:rsidR="00D7424D" w:rsidRPr="00825798" w:rsidRDefault="009B3268" w:rsidP="00477146">
      <w:pPr>
        <w:numPr>
          <w:ilvl w:val="1"/>
          <w:numId w:val="1"/>
        </w:numPr>
        <w:tabs>
          <w:tab w:val="clear" w:pos="780"/>
        </w:tabs>
        <w:ind w:left="709" w:hanging="709"/>
        <w:jc w:val="both"/>
        <w:rPr>
          <w:lang w:val="en-GB" w:eastAsia="zh-CN"/>
        </w:rPr>
      </w:pPr>
      <w:r w:rsidRPr="00825798">
        <w:rPr>
          <w:lang w:val="en-GB" w:eastAsia="zh-CN"/>
        </w:rPr>
        <w:t xml:space="preserve">The credit institution or </w:t>
      </w:r>
      <w:r w:rsidR="00293335" w:rsidRPr="00825798">
        <w:rPr>
          <w:lang w:val="en-GB" w:eastAsia="zh-CN"/>
        </w:rPr>
        <w:t>investment firm</w:t>
      </w:r>
      <w:r w:rsidR="00857E29" w:rsidRPr="00825798">
        <w:rPr>
          <w:lang w:val="en-GB" w:eastAsia="zh-CN"/>
        </w:rPr>
        <w:t xml:space="preserve"> </w:t>
      </w:r>
      <w:r w:rsidRPr="00825798">
        <w:rPr>
          <w:lang w:val="en-GB" w:eastAsia="zh-CN"/>
        </w:rPr>
        <w:t xml:space="preserve">must, within the process of ensuring </w:t>
      </w:r>
      <w:r w:rsidR="006151E6" w:rsidRPr="00825798">
        <w:rPr>
          <w:lang w:val="en-GB" w:eastAsia="zh-CN"/>
        </w:rPr>
        <w:t>internal</w:t>
      </w:r>
      <w:r w:rsidRPr="00825798">
        <w:rPr>
          <w:lang w:val="en-GB" w:eastAsia="zh-CN"/>
        </w:rPr>
        <w:t xml:space="preserve"> capital adequacy, perform a stress test encompassing the entirety of its business activity and include all Pillar 1 risks (i.e. credit, market and operating risk) as well as the Pillar 2 risks (in particular, concentration risk).</w:t>
      </w:r>
    </w:p>
    <w:p w14:paraId="1A432DE4" w14:textId="77777777" w:rsidR="00D7424D" w:rsidRPr="00825798" w:rsidRDefault="00D7424D" w:rsidP="00477146">
      <w:pPr>
        <w:jc w:val="both"/>
        <w:rPr>
          <w:lang w:val="en-GB" w:eastAsia="zh-CN"/>
        </w:rPr>
      </w:pPr>
    </w:p>
    <w:p w14:paraId="1E4452BB" w14:textId="77777777" w:rsidR="00D7424D" w:rsidRPr="00825798" w:rsidRDefault="00D7424D" w:rsidP="00477146">
      <w:pPr>
        <w:jc w:val="both"/>
        <w:rPr>
          <w:lang w:val="en-GB" w:eastAsia="zh-CN"/>
        </w:rPr>
      </w:pPr>
    </w:p>
    <w:p w14:paraId="3E268DAD" w14:textId="2B86EF98" w:rsidR="00D7424D" w:rsidRPr="00825798" w:rsidRDefault="009B3268" w:rsidP="00E8612A">
      <w:pPr>
        <w:numPr>
          <w:ilvl w:val="0"/>
          <w:numId w:val="1"/>
        </w:numPr>
        <w:ind w:hanging="720"/>
        <w:jc w:val="both"/>
        <w:rPr>
          <w:b/>
          <w:lang w:val="en-GB" w:eastAsia="zh-CN"/>
        </w:rPr>
      </w:pPr>
      <w:r w:rsidRPr="00825798">
        <w:rPr>
          <w:b/>
          <w:lang w:val="en-GB" w:eastAsia="zh-CN"/>
        </w:rPr>
        <w:t>Methodology</w:t>
      </w:r>
    </w:p>
    <w:p w14:paraId="6815F319" w14:textId="77777777" w:rsidR="00D7424D" w:rsidRPr="00825798" w:rsidRDefault="00D7424D" w:rsidP="00E8612A">
      <w:pPr>
        <w:jc w:val="both"/>
        <w:rPr>
          <w:lang w:val="en-GB" w:eastAsia="zh-CN"/>
        </w:rPr>
      </w:pPr>
    </w:p>
    <w:p w14:paraId="2D1BEA56" w14:textId="6EAA2B4C" w:rsidR="00D7424D" w:rsidRPr="00825798" w:rsidRDefault="00A54A00" w:rsidP="00233673">
      <w:pPr>
        <w:numPr>
          <w:ilvl w:val="1"/>
          <w:numId w:val="1"/>
        </w:numPr>
        <w:tabs>
          <w:tab w:val="clear" w:pos="780"/>
          <w:tab w:val="num" w:pos="709"/>
        </w:tabs>
        <w:ind w:left="709" w:hanging="709"/>
        <w:jc w:val="both"/>
        <w:rPr>
          <w:lang w:val="en-GB" w:eastAsia="zh-CN"/>
        </w:rPr>
      </w:pPr>
      <w:r w:rsidRPr="00825798">
        <w:rPr>
          <w:lang w:val="en-GB" w:eastAsia="zh-CN"/>
        </w:rPr>
        <w:t xml:space="preserve">The credit institution or </w:t>
      </w:r>
      <w:r w:rsidR="00293335" w:rsidRPr="00825798">
        <w:rPr>
          <w:lang w:val="en-GB" w:eastAsia="zh-CN"/>
        </w:rPr>
        <w:t>investment firm</w:t>
      </w:r>
      <w:r w:rsidRPr="00825798">
        <w:rPr>
          <w:lang w:val="en-GB" w:eastAsia="zh-CN"/>
        </w:rPr>
        <w:t xml:space="preserve"> must use both quantitative and qualitative approaches in stress testing</w:t>
      </w:r>
      <w:r w:rsidR="009B3268" w:rsidRPr="00825798">
        <w:rPr>
          <w:lang w:val="en-GB" w:eastAsia="zh-CN"/>
        </w:rPr>
        <w:t>.</w:t>
      </w:r>
      <w:r w:rsidR="00D7424D" w:rsidRPr="00825798">
        <w:rPr>
          <w:lang w:val="en-GB" w:eastAsia="zh-CN"/>
        </w:rPr>
        <w:t xml:space="preserve"> </w:t>
      </w:r>
      <w:r w:rsidRPr="00825798">
        <w:rPr>
          <w:lang w:val="en-GB" w:eastAsia="zh-CN"/>
        </w:rPr>
        <w:t>Based on the principle of proportionality, the stress test may be based partially only on qualitative analysis.</w:t>
      </w:r>
    </w:p>
    <w:p w14:paraId="22F9C06F" w14:textId="77777777" w:rsidR="00D7424D" w:rsidRPr="00825798" w:rsidRDefault="00D7424D" w:rsidP="00233673">
      <w:pPr>
        <w:jc w:val="both"/>
        <w:rPr>
          <w:lang w:val="en-GB" w:eastAsia="zh-CN"/>
        </w:rPr>
      </w:pPr>
    </w:p>
    <w:p w14:paraId="625817F9" w14:textId="5C4DF9BD" w:rsidR="00D7424D" w:rsidRPr="00825798" w:rsidRDefault="00A54A00" w:rsidP="008A0FE1">
      <w:pPr>
        <w:numPr>
          <w:ilvl w:val="1"/>
          <w:numId w:val="1"/>
        </w:numPr>
        <w:tabs>
          <w:tab w:val="clear" w:pos="780"/>
          <w:tab w:val="num" w:pos="709"/>
        </w:tabs>
        <w:ind w:left="709" w:hanging="709"/>
        <w:jc w:val="both"/>
        <w:rPr>
          <w:lang w:val="en-GB" w:eastAsia="zh-CN"/>
        </w:rPr>
      </w:pPr>
      <w:r w:rsidRPr="00825798">
        <w:rPr>
          <w:lang w:val="en-GB" w:eastAsia="zh-CN"/>
        </w:rPr>
        <w:lastRenderedPageBreak/>
        <w:t xml:space="preserve">An effective </w:t>
      </w:r>
      <w:r w:rsidR="006151E6" w:rsidRPr="00825798">
        <w:rPr>
          <w:lang w:val="en-GB" w:eastAsia="zh-CN"/>
        </w:rPr>
        <w:t>stress</w:t>
      </w:r>
      <w:r w:rsidRPr="00825798">
        <w:rPr>
          <w:lang w:val="en-GB" w:eastAsia="zh-CN"/>
        </w:rPr>
        <w:t xml:space="preserve"> testing framework must include both sensitivity analysis of individual risk factors as well as a </w:t>
      </w:r>
      <w:r w:rsidR="006151E6" w:rsidRPr="00825798">
        <w:rPr>
          <w:lang w:val="en-GB" w:eastAsia="zh-CN"/>
        </w:rPr>
        <w:t>scenario</w:t>
      </w:r>
      <w:r w:rsidRPr="00825798">
        <w:rPr>
          <w:lang w:val="en-GB" w:eastAsia="zh-CN"/>
        </w:rPr>
        <w:t xml:space="preserve"> analysis of all material risks affecting business activity in its entirety.</w:t>
      </w:r>
    </w:p>
    <w:p w14:paraId="689C8764" w14:textId="77777777" w:rsidR="00D7424D" w:rsidRPr="00825798" w:rsidRDefault="00D7424D" w:rsidP="006E67CE">
      <w:pPr>
        <w:jc w:val="both"/>
        <w:rPr>
          <w:lang w:val="en-GB" w:eastAsia="zh-CN"/>
        </w:rPr>
      </w:pPr>
    </w:p>
    <w:p w14:paraId="580302A9" w14:textId="4E173307" w:rsidR="00D7424D" w:rsidRPr="00825798" w:rsidRDefault="00A54A00" w:rsidP="001E4A57">
      <w:pPr>
        <w:numPr>
          <w:ilvl w:val="1"/>
          <w:numId w:val="1"/>
        </w:numPr>
        <w:tabs>
          <w:tab w:val="clear" w:pos="780"/>
          <w:tab w:val="num" w:pos="709"/>
        </w:tabs>
        <w:ind w:left="709" w:hanging="709"/>
        <w:jc w:val="both"/>
        <w:rPr>
          <w:lang w:val="en-GB" w:eastAsia="zh-CN"/>
        </w:rPr>
      </w:pPr>
      <w:r w:rsidRPr="00825798">
        <w:rPr>
          <w:lang w:val="en-GB" w:eastAsia="zh-CN"/>
        </w:rPr>
        <w:t xml:space="preserve">The credit institution or </w:t>
      </w:r>
      <w:r w:rsidR="00293335" w:rsidRPr="00825798">
        <w:rPr>
          <w:lang w:val="en-GB" w:eastAsia="zh-CN"/>
        </w:rPr>
        <w:t>investment firm</w:t>
      </w:r>
      <w:r w:rsidRPr="00825798">
        <w:rPr>
          <w:lang w:val="en-GB" w:eastAsia="zh-CN"/>
        </w:rPr>
        <w:t xml:space="preserve"> must establish all material risk factors and test their impact with varying scope and severity.</w:t>
      </w:r>
    </w:p>
    <w:p w14:paraId="0689E67D" w14:textId="77777777" w:rsidR="00D7424D" w:rsidRPr="00825798" w:rsidRDefault="00D7424D" w:rsidP="00FE1D1F">
      <w:pPr>
        <w:jc w:val="both"/>
        <w:rPr>
          <w:lang w:val="en-GB" w:eastAsia="zh-CN"/>
        </w:rPr>
      </w:pPr>
    </w:p>
    <w:p w14:paraId="735BFBC2" w14:textId="66EC8C55" w:rsidR="00D7424D" w:rsidRPr="00825798" w:rsidRDefault="00A54A00" w:rsidP="00FE1D1F">
      <w:pPr>
        <w:numPr>
          <w:ilvl w:val="1"/>
          <w:numId w:val="1"/>
        </w:numPr>
        <w:tabs>
          <w:tab w:val="clear" w:pos="780"/>
          <w:tab w:val="num" w:pos="709"/>
        </w:tabs>
        <w:ind w:left="709" w:hanging="709"/>
        <w:jc w:val="both"/>
        <w:rPr>
          <w:lang w:val="en-GB" w:eastAsia="zh-CN"/>
        </w:rPr>
      </w:pPr>
      <w:r w:rsidRPr="00825798">
        <w:rPr>
          <w:lang w:val="en-GB" w:eastAsia="zh-CN"/>
        </w:rPr>
        <w:t xml:space="preserve">In selecting </w:t>
      </w:r>
      <w:r w:rsidR="006151E6" w:rsidRPr="00825798">
        <w:rPr>
          <w:lang w:val="en-GB" w:eastAsia="zh-CN"/>
        </w:rPr>
        <w:t>various</w:t>
      </w:r>
      <w:r w:rsidRPr="00825798">
        <w:rPr>
          <w:lang w:val="en-GB" w:eastAsia="zh-CN"/>
        </w:rPr>
        <w:t xml:space="preserve"> risk factors and their severity, the credit institution or </w:t>
      </w:r>
      <w:r w:rsidR="00293335" w:rsidRPr="00825798">
        <w:rPr>
          <w:lang w:val="en-GB" w:eastAsia="zh-CN"/>
        </w:rPr>
        <w:t>investment firm</w:t>
      </w:r>
      <w:r w:rsidRPr="00825798">
        <w:rPr>
          <w:lang w:val="en-GB" w:eastAsia="zh-CN"/>
        </w:rPr>
        <w:t xml:space="preserve"> must, in addition to historical experience, also take into consideration </w:t>
      </w:r>
      <w:r w:rsidR="006151E6" w:rsidRPr="00825798">
        <w:rPr>
          <w:lang w:val="en-GB" w:eastAsia="zh-CN"/>
        </w:rPr>
        <w:t>hypothetical</w:t>
      </w:r>
      <w:r w:rsidRPr="00825798">
        <w:rPr>
          <w:lang w:val="en-GB" w:eastAsia="zh-CN"/>
        </w:rPr>
        <w:t xml:space="preserve"> shocks and scenarios that take into account </w:t>
      </w:r>
      <w:r w:rsidR="00F4259D" w:rsidRPr="00825798">
        <w:rPr>
          <w:lang w:val="en-GB" w:eastAsia="zh-CN"/>
        </w:rPr>
        <w:t>appropriate</w:t>
      </w:r>
      <w:r w:rsidRPr="00825798">
        <w:rPr>
          <w:lang w:val="en-GB" w:eastAsia="zh-CN"/>
        </w:rPr>
        <w:t xml:space="preserve"> </w:t>
      </w:r>
      <w:r w:rsidR="006151E6" w:rsidRPr="00825798">
        <w:rPr>
          <w:lang w:val="en-GB" w:eastAsia="zh-CN"/>
        </w:rPr>
        <w:t>developments</w:t>
      </w:r>
      <w:r w:rsidRPr="00825798">
        <w:rPr>
          <w:lang w:val="en-GB" w:eastAsia="zh-CN"/>
        </w:rPr>
        <w:t xml:space="preserve"> and vulnerabilities based on both th</w:t>
      </w:r>
      <w:r w:rsidR="00F4259D" w:rsidRPr="00825798">
        <w:rPr>
          <w:lang w:val="en-GB" w:eastAsia="zh-CN"/>
        </w:rPr>
        <w:t>e</w:t>
      </w:r>
      <w:r w:rsidRPr="00825798">
        <w:rPr>
          <w:lang w:val="en-GB" w:eastAsia="zh-CN"/>
        </w:rPr>
        <w:t xml:space="preserve"> company’s business activity and the financial system.</w:t>
      </w:r>
    </w:p>
    <w:p w14:paraId="2AD64414" w14:textId="77777777" w:rsidR="00D7424D" w:rsidRPr="00825798" w:rsidRDefault="00D7424D" w:rsidP="00FE1D1F">
      <w:pPr>
        <w:jc w:val="both"/>
        <w:rPr>
          <w:lang w:val="en-GB" w:eastAsia="zh-CN"/>
        </w:rPr>
      </w:pPr>
    </w:p>
    <w:p w14:paraId="78FE7DD1" w14:textId="1BD07DE3" w:rsidR="00D7424D" w:rsidRPr="00825798" w:rsidRDefault="00A54A00" w:rsidP="00E8612A">
      <w:pPr>
        <w:numPr>
          <w:ilvl w:val="1"/>
          <w:numId w:val="1"/>
        </w:numPr>
        <w:tabs>
          <w:tab w:val="clear" w:pos="780"/>
          <w:tab w:val="num" w:pos="709"/>
        </w:tabs>
        <w:ind w:left="709" w:hanging="709"/>
        <w:jc w:val="both"/>
        <w:rPr>
          <w:lang w:val="en-GB" w:eastAsia="zh-CN"/>
        </w:rPr>
      </w:pPr>
      <w:r w:rsidRPr="00825798">
        <w:rPr>
          <w:lang w:val="en-GB" w:eastAsia="zh-CN"/>
        </w:rPr>
        <w:t xml:space="preserve">In particular, an investment firm conducting stress testing must, </w:t>
      </w:r>
      <w:r w:rsidRPr="003060AE">
        <w:rPr>
          <w:i/>
          <w:lang w:val="en-GB" w:eastAsia="zh-CN"/>
        </w:rPr>
        <w:t>inter alia</w:t>
      </w:r>
      <w:r w:rsidRPr="00825798">
        <w:rPr>
          <w:lang w:val="en-GB" w:eastAsia="zh-CN"/>
        </w:rPr>
        <w:t>, take into consideration the possibility of market disruptions and the resulting influences on liquidity.</w:t>
      </w:r>
    </w:p>
    <w:p w14:paraId="562DB0DD" w14:textId="77777777" w:rsidR="00D7424D" w:rsidRPr="00825798" w:rsidRDefault="00D7424D" w:rsidP="00E8612A">
      <w:pPr>
        <w:jc w:val="both"/>
        <w:rPr>
          <w:lang w:val="en-GB" w:eastAsia="zh-CN"/>
        </w:rPr>
      </w:pPr>
    </w:p>
    <w:p w14:paraId="31E6E487" w14:textId="271E05D8" w:rsidR="00D7424D" w:rsidRPr="00825798" w:rsidRDefault="00A54A00" w:rsidP="008C215C">
      <w:pPr>
        <w:numPr>
          <w:ilvl w:val="1"/>
          <w:numId w:val="1"/>
        </w:numPr>
        <w:tabs>
          <w:tab w:val="clear" w:pos="780"/>
          <w:tab w:val="num" w:pos="709"/>
        </w:tabs>
        <w:ind w:left="709" w:hanging="709"/>
        <w:jc w:val="both"/>
        <w:rPr>
          <w:lang w:val="en-GB" w:eastAsia="zh-CN"/>
        </w:rPr>
      </w:pPr>
      <w:r w:rsidRPr="00825798">
        <w:rPr>
          <w:lang w:val="en-GB" w:eastAsia="zh-CN"/>
        </w:rPr>
        <w:t>The selection of severity of risk factors must be in conformity with the credit institution</w:t>
      </w:r>
      <w:r w:rsidR="00A95EC6" w:rsidRPr="00825798">
        <w:rPr>
          <w:lang w:val="en-GB" w:eastAsia="zh-CN"/>
        </w:rPr>
        <w:t>’s</w:t>
      </w:r>
      <w:r w:rsidRPr="00825798">
        <w:rPr>
          <w:lang w:val="en-GB" w:eastAsia="zh-CN"/>
        </w:rPr>
        <w:t xml:space="preserve"> or </w:t>
      </w:r>
      <w:r w:rsidR="00293335" w:rsidRPr="00825798">
        <w:rPr>
          <w:lang w:val="en-GB" w:eastAsia="zh-CN"/>
        </w:rPr>
        <w:t>investment firm</w:t>
      </w:r>
      <w:r w:rsidRPr="00825798">
        <w:rPr>
          <w:lang w:val="en-GB" w:eastAsia="zh-CN"/>
        </w:rPr>
        <w:t>’s risk appetite and general strategy.</w:t>
      </w:r>
    </w:p>
    <w:p w14:paraId="01D9EB82" w14:textId="77777777" w:rsidR="00D7424D" w:rsidRPr="00825798" w:rsidRDefault="00D7424D" w:rsidP="0035700E">
      <w:pPr>
        <w:pStyle w:val="Loendilik"/>
        <w:rPr>
          <w:lang w:val="en-GB" w:eastAsia="zh-CN"/>
        </w:rPr>
      </w:pPr>
    </w:p>
    <w:p w14:paraId="202C9340" w14:textId="0AC8E9E4" w:rsidR="00D7424D" w:rsidRPr="00825798" w:rsidRDefault="00A54A00" w:rsidP="008C215C">
      <w:pPr>
        <w:numPr>
          <w:ilvl w:val="1"/>
          <w:numId w:val="1"/>
        </w:numPr>
        <w:tabs>
          <w:tab w:val="clear" w:pos="780"/>
          <w:tab w:val="num" w:pos="709"/>
        </w:tabs>
        <w:ind w:left="709" w:hanging="709"/>
        <w:jc w:val="both"/>
        <w:rPr>
          <w:lang w:val="en-GB" w:eastAsia="zh-CN"/>
        </w:rPr>
      </w:pPr>
      <w:r w:rsidRPr="00825798">
        <w:rPr>
          <w:lang w:val="en-GB" w:eastAsia="zh-CN"/>
        </w:rPr>
        <w:t xml:space="preserve">In selecting the severity of risk factors, the impact on business activity must be the primary consideration, along with the assumption that relying </w:t>
      </w:r>
      <w:r w:rsidR="006151E6" w:rsidRPr="00825798">
        <w:rPr>
          <w:lang w:val="en-GB" w:eastAsia="zh-CN"/>
        </w:rPr>
        <w:t>solely</w:t>
      </w:r>
      <w:r w:rsidRPr="00825798">
        <w:rPr>
          <w:lang w:val="en-GB" w:eastAsia="zh-CN"/>
        </w:rPr>
        <w:t xml:space="preserve"> on aggregated and individual </w:t>
      </w:r>
      <w:r w:rsidR="006151E6" w:rsidRPr="00825798">
        <w:rPr>
          <w:lang w:val="en-GB" w:eastAsia="zh-CN"/>
        </w:rPr>
        <w:t>macroeconomic</w:t>
      </w:r>
      <w:r w:rsidRPr="00825798">
        <w:rPr>
          <w:lang w:val="en-GB" w:eastAsia="zh-CN"/>
        </w:rPr>
        <w:t xml:space="preserve"> indicators is not sufficient for defining a change in</w:t>
      </w:r>
      <w:r w:rsidR="00857E29" w:rsidRPr="00825798">
        <w:rPr>
          <w:lang w:val="en-GB" w:eastAsia="zh-CN"/>
        </w:rPr>
        <w:t xml:space="preserve"> </w:t>
      </w:r>
      <w:r w:rsidRPr="00825798">
        <w:rPr>
          <w:lang w:val="en-GB" w:eastAsia="zh-CN"/>
        </w:rPr>
        <w:t>a risk factor or scenario.</w:t>
      </w:r>
    </w:p>
    <w:p w14:paraId="6919BA7E" w14:textId="77777777" w:rsidR="00D7424D" w:rsidRPr="00825798" w:rsidRDefault="00D7424D" w:rsidP="0035700E">
      <w:pPr>
        <w:pStyle w:val="Loendilik"/>
        <w:rPr>
          <w:lang w:val="en-GB" w:eastAsia="zh-CN"/>
        </w:rPr>
      </w:pPr>
    </w:p>
    <w:p w14:paraId="1B14661E" w14:textId="53F1E768" w:rsidR="00D7424D" w:rsidRPr="00825798" w:rsidRDefault="00A54A00" w:rsidP="008C215C">
      <w:pPr>
        <w:numPr>
          <w:ilvl w:val="1"/>
          <w:numId w:val="1"/>
        </w:numPr>
        <w:tabs>
          <w:tab w:val="clear" w:pos="780"/>
          <w:tab w:val="num" w:pos="709"/>
        </w:tabs>
        <w:ind w:left="709" w:hanging="709"/>
        <w:jc w:val="both"/>
        <w:rPr>
          <w:lang w:val="en-GB" w:eastAsia="zh-CN"/>
        </w:rPr>
      </w:pPr>
      <w:r w:rsidRPr="00825798">
        <w:rPr>
          <w:lang w:val="en-GB" w:eastAsia="zh-CN"/>
        </w:rPr>
        <w:t xml:space="preserve">In defining a change in a risk factor or scenario with an extraordinarily unfavourable influence, an </w:t>
      </w:r>
      <w:r w:rsidR="006151E6" w:rsidRPr="00825798">
        <w:rPr>
          <w:lang w:val="en-GB" w:eastAsia="zh-CN"/>
        </w:rPr>
        <w:t>unfavourable</w:t>
      </w:r>
      <w:r w:rsidRPr="00825798">
        <w:rPr>
          <w:lang w:val="en-GB" w:eastAsia="zh-CN"/>
        </w:rPr>
        <w:t xml:space="preserve"> consequence – such as a violation of </w:t>
      </w:r>
      <w:r w:rsidR="00CD7425" w:rsidRPr="003060AE">
        <w:rPr>
          <w:lang w:val="en-GB" w:eastAsia="zh-CN"/>
        </w:rPr>
        <w:t>prudential</w:t>
      </w:r>
      <w:r w:rsidRPr="00825798">
        <w:rPr>
          <w:lang w:val="en-GB" w:eastAsia="zh-CN"/>
        </w:rPr>
        <w:t xml:space="preserve"> </w:t>
      </w:r>
      <w:r w:rsidR="00CD7425" w:rsidRPr="003060AE">
        <w:rPr>
          <w:lang w:val="en-GB" w:eastAsia="zh-CN"/>
        </w:rPr>
        <w:t>norm</w:t>
      </w:r>
      <w:r w:rsidR="0070502B" w:rsidRPr="00825798">
        <w:rPr>
          <w:lang w:val="en-GB" w:eastAsia="zh-CN"/>
        </w:rPr>
        <w:t>s</w:t>
      </w:r>
      <w:r w:rsidRPr="00825798">
        <w:rPr>
          <w:lang w:val="en-GB" w:eastAsia="zh-CN"/>
        </w:rPr>
        <w:t xml:space="preserve"> </w:t>
      </w:r>
      <w:r w:rsidR="00700DD7" w:rsidRPr="00825798">
        <w:rPr>
          <w:lang w:val="en-GB" w:eastAsia="zh-CN"/>
        </w:rPr>
        <w:t>–</w:t>
      </w:r>
      <w:r w:rsidRPr="00825798">
        <w:rPr>
          <w:lang w:val="en-GB" w:eastAsia="zh-CN"/>
        </w:rPr>
        <w:t xml:space="preserve"> can be used as the initial basis</w:t>
      </w:r>
      <w:r w:rsidR="0070502B" w:rsidRPr="00825798">
        <w:rPr>
          <w:lang w:val="en-GB" w:eastAsia="zh-CN"/>
        </w:rPr>
        <w:t>,</w:t>
      </w:r>
      <w:r w:rsidRPr="00825798">
        <w:rPr>
          <w:lang w:val="en-GB" w:eastAsia="zh-CN"/>
        </w:rPr>
        <w:t xml:space="preserve"> and then proceed by establishing the extent of the change in the risk factor or events that could lead to such a consequence.</w:t>
      </w:r>
    </w:p>
    <w:p w14:paraId="789E476A" w14:textId="77777777" w:rsidR="00D7424D" w:rsidRPr="00825798" w:rsidRDefault="00D7424D" w:rsidP="00754CD0">
      <w:pPr>
        <w:pStyle w:val="Loendilik"/>
        <w:rPr>
          <w:lang w:val="en-GB" w:eastAsia="zh-CN"/>
        </w:rPr>
      </w:pPr>
    </w:p>
    <w:p w14:paraId="6B26A863" w14:textId="20E670BA" w:rsidR="00D7424D" w:rsidRPr="00825798" w:rsidRDefault="00A54A00" w:rsidP="00474F47">
      <w:pPr>
        <w:pStyle w:val="Loendilik"/>
        <w:numPr>
          <w:ilvl w:val="1"/>
          <w:numId w:val="1"/>
        </w:numPr>
        <w:tabs>
          <w:tab w:val="clear" w:pos="780"/>
          <w:tab w:val="num" w:pos="709"/>
        </w:tabs>
        <w:ind w:left="709" w:hanging="709"/>
        <w:jc w:val="both"/>
        <w:rPr>
          <w:lang w:val="en-GB" w:eastAsia="zh-CN"/>
        </w:rPr>
      </w:pPr>
      <w:r w:rsidRPr="00825798">
        <w:rPr>
          <w:lang w:val="en-GB" w:eastAsia="zh-CN"/>
        </w:rPr>
        <w:t xml:space="preserve">The credit institution or </w:t>
      </w:r>
      <w:r w:rsidR="00293335" w:rsidRPr="00825798">
        <w:rPr>
          <w:lang w:val="en-GB" w:eastAsia="zh-CN"/>
        </w:rPr>
        <w:t>investment firm</w:t>
      </w:r>
      <w:r w:rsidRPr="00825798">
        <w:rPr>
          <w:lang w:val="en-GB" w:eastAsia="zh-CN"/>
        </w:rPr>
        <w:t xml:space="preserve"> must develop relevant methods to express the changes in operating-</w:t>
      </w:r>
      <w:r w:rsidR="006151E6" w:rsidRPr="00825798">
        <w:rPr>
          <w:lang w:val="en-GB" w:eastAsia="zh-CN"/>
        </w:rPr>
        <w:t>environment</w:t>
      </w:r>
      <w:r w:rsidRPr="00825798">
        <w:rPr>
          <w:lang w:val="en-GB" w:eastAsia="zh-CN"/>
        </w:rPr>
        <w:t xml:space="preserve"> factors as internal risk parameters and use the methods consistently.</w:t>
      </w:r>
    </w:p>
    <w:p w14:paraId="4516D9F9" w14:textId="77777777" w:rsidR="00D7424D" w:rsidRPr="00825798" w:rsidRDefault="00D7424D" w:rsidP="00474F47">
      <w:pPr>
        <w:jc w:val="both"/>
        <w:rPr>
          <w:lang w:val="en-GB" w:eastAsia="zh-CN"/>
        </w:rPr>
      </w:pPr>
    </w:p>
    <w:p w14:paraId="18B4F09D" w14:textId="024758FA" w:rsidR="00D7424D" w:rsidRPr="00825798" w:rsidRDefault="00A54A00" w:rsidP="00474F47">
      <w:pPr>
        <w:pStyle w:val="Loendilik"/>
        <w:numPr>
          <w:ilvl w:val="1"/>
          <w:numId w:val="1"/>
        </w:numPr>
        <w:tabs>
          <w:tab w:val="clear" w:pos="780"/>
          <w:tab w:val="num" w:pos="709"/>
        </w:tabs>
        <w:ind w:left="709" w:hanging="709"/>
        <w:jc w:val="both"/>
        <w:rPr>
          <w:lang w:val="en-GB" w:eastAsia="zh-CN"/>
        </w:rPr>
      </w:pPr>
      <w:r w:rsidRPr="00825798">
        <w:rPr>
          <w:lang w:val="en-GB" w:eastAsia="zh-CN"/>
        </w:rPr>
        <w:t xml:space="preserve">If the credit institution or </w:t>
      </w:r>
      <w:r w:rsidR="00293335" w:rsidRPr="00825798">
        <w:rPr>
          <w:lang w:val="en-GB" w:eastAsia="zh-CN"/>
        </w:rPr>
        <w:t>investment firm</w:t>
      </w:r>
      <w:r w:rsidRPr="00825798">
        <w:rPr>
          <w:lang w:val="en-GB" w:eastAsia="zh-CN"/>
        </w:rPr>
        <w:t xml:space="preserve"> uses modelling in stress testing, it must take into account potential model risk.</w:t>
      </w:r>
      <w:r w:rsidR="00D7424D" w:rsidRPr="00825798">
        <w:rPr>
          <w:lang w:val="en-GB" w:eastAsia="zh-CN"/>
        </w:rPr>
        <w:t xml:space="preserve"> </w:t>
      </w:r>
      <w:r w:rsidRPr="00825798">
        <w:rPr>
          <w:lang w:val="en-GB" w:eastAsia="zh-CN"/>
        </w:rPr>
        <w:t xml:space="preserve">Model risk may stem, </w:t>
      </w:r>
      <w:r w:rsidRPr="003060AE">
        <w:rPr>
          <w:i/>
          <w:lang w:val="en-GB" w:eastAsia="zh-CN"/>
        </w:rPr>
        <w:t>inter alia</w:t>
      </w:r>
      <w:r w:rsidRPr="00825798">
        <w:rPr>
          <w:lang w:val="en-GB" w:eastAsia="zh-CN"/>
        </w:rPr>
        <w:t xml:space="preserve">, from </w:t>
      </w:r>
      <w:r w:rsidR="006151E6" w:rsidRPr="00825798">
        <w:rPr>
          <w:lang w:val="en-GB" w:eastAsia="zh-CN"/>
        </w:rPr>
        <w:t>models</w:t>
      </w:r>
      <w:r w:rsidRPr="00825798">
        <w:rPr>
          <w:lang w:val="en-GB" w:eastAsia="zh-CN"/>
        </w:rPr>
        <w:t xml:space="preserve"> developed for the purpose of regulative capital </w:t>
      </w:r>
      <w:r w:rsidR="006151E6" w:rsidRPr="00825798">
        <w:rPr>
          <w:lang w:val="en-GB" w:eastAsia="zh-CN"/>
        </w:rPr>
        <w:t>requirements</w:t>
      </w:r>
      <w:r w:rsidRPr="00825798">
        <w:rPr>
          <w:lang w:val="en-GB" w:eastAsia="zh-CN"/>
        </w:rPr>
        <w:t>, internal capital needs and for stress testing.</w:t>
      </w:r>
      <w:r w:rsidR="00D7424D" w:rsidRPr="00825798">
        <w:rPr>
          <w:lang w:val="en-GB" w:eastAsia="zh-CN"/>
        </w:rPr>
        <w:t xml:space="preserve"> </w:t>
      </w:r>
      <w:r w:rsidR="00F04C4A" w:rsidRPr="00825798">
        <w:rPr>
          <w:lang w:val="en-GB" w:eastAsia="zh-CN"/>
        </w:rPr>
        <w:t>Stress testing must proceed using conservatively assessed model correlations and parameters</w:t>
      </w:r>
      <w:r w:rsidRPr="00825798">
        <w:rPr>
          <w:lang w:val="en-GB" w:eastAsia="zh-CN"/>
        </w:rPr>
        <w:t>.</w:t>
      </w:r>
      <w:r w:rsidR="00D7424D" w:rsidRPr="00825798">
        <w:rPr>
          <w:lang w:val="en-GB" w:eastAsia="zh-CN"/>
        </w:rPr>
        <w:t xml:space="preserve"> </w:t>
      </w:r>
      <w:r w:rsidR="00F04C4A" w:rsidRPr="00825798">
        <w:rPr>
          <w:lang w:val="en-GB"/>
        </w:rPr>
        <w:t xml:space="preserve">Use of Value at Risk (VaR) type models in particular must take into consideration the model’s property, in certain cases of underestimating and inadequately </w:t>
      </w:r>
      <w:r w:rsidR="00CD7425" w:rsidRPr="00825798">
        <w:rPr>
          <w:lang w:val="en-GB"/>
        </w:rPr>
        <w:t>reflecting</w:t>
      </w:r>
      <w:r w:rsidR="00F04C4A" w:rsidRPr="00825798">
        <w:rPr>
          <w:lang w:val="en-GB"/>
        </w:rPr>
        <w:t xml:space="preserve"> risks with low probability but significant potential impact.</w:t>
      </w:r>
    </w:p>
    <w:p w14:paraId="707F71A0" w14:textId="77777777" w:rsidR="00D7424D" w:rsidRPr="00825798" w:rsidRDefault="00D7424D" w:rsidP="0088415F">
      <w:pPr>
        <w:pStyle w:val="Loendilik"/>
        <w:rPr>
          <w:lang w:val="en-GB" w:eastAsia="zh-CN"/>
        </w:rPr>
      </w:pPr>
    </w:p>
    <w:p w14:paraId="643708F9" w14:textId="2E237400" w:rsidR="00D7424D" w:rsidRPr="00825798" w:rsidRDefault="00F04C4A" w:rsidP="008C215C">
      <w:pPr>
        <w:numPr>
          <w:ilvl w:val="1"/>
          <w:numId w:val="1"/>
        </w:numPr>
        <w:tabs>
          <w:tab w:val="clear" w:pos="780"/>
          <w:tab w:val="num" w:pos="709"/>
        </w:tabs>
        <w:ind w:left="709" w:hanging="709"/>
        <w:jc w:val="both"/>
        <w:rPr>
          <w:lang w:val="en-GB" w:eastAsia="zh-CN"/>
        </w:rPr>
      </w:pPr>
      <w:r w:rsidRPr="00825798">
        <w:rPr>
          <w:lang w:val="en-GB" w:eastAsia="zh-CN"/>
        </w:rPr>
        <w:t xml:space="preserve">The stress </w:t>
      </w:r>
      <w:r w:rsidR="00293335" w:rsidRPr="00825798">
        <w:rPr>
          <w:lang w:val="en-GB" w:eastAsia="zh-CN"/>
        </w:rPr>
        <w:t xml:space="preserve">test </w:t>
      </w:r>
      <w:r w:rsidRPr="00825798">
        <w:rPr>
          <w:lang w:val="en-GB" w:eastAsia="zh-CN"/>
        </w:rPr>
        <w:t xml:space="preserve">scenario must be </w:t>
      </w:r>
      <w:r w:rsidR="00293335" w:rsidRPr="00825798">
        <w:rPr>
          <w:lang w:val="en-GB" w:eastAsia="zh-CN"/>
        </w:rPr>
        <w:t>forward-looking</w:t>
      </w:r>
      <w:r w:rsidRPr="00825798">
        <w:rPr>
          <w:lang w:val="en-GB" w:eastAsia="zh-CN"/>
        </w:rPr>
        <w:t>, taking into acco</w:t>
      </w:r>
      <w:r w:rsidR="00293335" w:rsidRPr="00825798">
        <w:rPr>
          <w:lang w:val="en-GB" w:eastAsia="zh-CN"/>
        </w:rPr>
        <w:t xml:space="preserve">unt indirect and direct impacts and </w:t>
      </w:r>
      <w:r w:rsidRPr="00825798">
        <w:rPr>
          <w:lang w:val="en-GB" w:eastAsia="zh-CN"/>
        </w:rPr>
        <w:t>analysing the impact of simultaneous events on business activity in its entirety.</w:t>
      </w:r>
      <w:r w:rsidR="00D7424D" w:rsidRPr="00825798">
        <w:rPr>
          <w:lang w:val="en-GB" w:eastAsia="zh-CN"/>
        </w:rPr>
        <w:t xml:space="preserve"> </w:t>
      </w:r>
      <w:r w:rsidRPr="00825798">
        <w:rPr>
          <w:lang w:val="en-GB" w:eastAsia="zh-CN"/>
        </w:rPr>
        <w:t>For instance, events affecting liquidity risk may simultaneously be risk factors for trading portfolio market risk, loan portfolio credit risk and operating activity reputation risk.</w:t>
      </w:r>
    </w:p>
    <w:p w14:paraId="2E60306B" w14:textId="77777777" w:rsidR="00D7424D" w:rsidRPr="00825798" w:rsidRDefault="00D7424D" w:rsidP="008C215C">
      <w:pPr>
        <w:pStyle w:val="Loendilik"/>
        <w:rPr>
          <w:lang w:val="en-GB" w:eastAsia="zh-CN"/>
        </w:rPr>
      </w:pPr>
    </w:p>
    <w:p w14:paraId="3B2E4B4B" w14:textId="062D1A48" w:rsidR="00D7424D" w:rsidRPr="00825798" w:rsidRDefault="00D00467" w:rsidP="008C215C">
      <w:pPr>
        <w:numPr>
          <w:ilvl w:val="1"/>
          <w:numId w:val="1"/>
        </w:numPr>
        <w:tabs>
          <w:tab w:val="clear" w:pos="780"/>
          <w:tab w:val="num" w:pos="709"/>
        </w:tabs>
        <w:ind w:left="709" w:hanging="709"/>
        <w:jc w:val="both"/>
        <w:rPr>
          <w:lang w:val="en-GB" w:eastAsia="zh-CN"/>
        </w:rPr>
      </w:pPr>
      <w:r w:rsidRPr="00825798">
        <w:rPr>
          <w:lang w:val="en-GB" w:eastAsia="zh-CN"/>
        </w:rPr>
        <w:t>The time horizon for the stress test scenario analysis must m</w:t>
      </w:r>
      <w:r w:rsidR="00293335" w:rsidRPr="00825798">
        <w:rPr>
          <w:lang w:val="en-GB" w:eastAsia="zh-CN"/>
        </w:rPr>
        <w:t xml:space="preserve">atch the purpose of the stress </w:t>
      </w:r>
      <w:r w:rsidRPr="00825798">
        <w:rPr>
          <w:lang w:val="en-GB" w:eastAsia="zh-CN"/>
        </w:rPr>
        <w:t>test</w:t>
      </w:r>
      <w:r w:rsidR="00F04C4A" w:rsidRPr="00825798">
        <w:rPr>
          <w:lang w:val="en-GB" w:eastAsia="zh-CN"/>
        </w:rPr>
        <w:t>.</w:t>
      </w:r>
      <w:r w:rsidR="00D7424D" w:rsidRPr="00825798">
        <w:rPr>
          <w:lang w:val="en-GB" w:eastAsia="zh-CN"/>
        </w:rPr>
        <w:t xml:space="preserve"> </w:t>
      </w:r>
      <w:r w:rsidRPr="00825798">
        <w:rPr>
          <w:lang w:val="en-GB" w:eastAsia="zh-CN"/>
        </w:rPr>
        <w:t xml:space="preserve">The time horizon of a stress test </w:t>
      </w:r>
      <w:r w:rsidR="006151E6" w:rsidRPr="00825798">
        <w:rPr>
          <w:lang w:val="en-GB" w:eastAsia="zh-CN"/>
        </w:rPr>
        <w:t>encompassing</w:t>
      </w:r>
      <w:r w:rsidRPr="00825798">
        <w:rPr>
          <w:lang w:val="en-GB" w:eastAsia="zh-CN"/>
        </w:rPr>
        <w:t xml:space="preserve"> </w:t>
      </w:r>
      <w:r w:rsidR="0020262B" w:rsidRPr="00825798">
        <w:rPr>
          <w:lang w:val="en-GB" w:eastAsia="zh-CN"/>
        </w:rPr>
        <w:t>business</w:t>
      </w:r>
      <w:r w:rsidRPr="00825798">
        <w:rPr>
          <w:lang w:val="en-GB" w:eastAsia="zh-CN"/>
        </w:rPr>
        <w:t xml:space="preserve"> activity in its </w:t>
      </w:r>
      <w:r w:rsidRPr="00825798">
        <w:rPr>
          <w:lang w:val="en-GB" w:eastAsia="zh-CN"/>
        </w:rPr>
        <w:lastRenderedPageBreak/>
        <w:t xml:space="preserve">entirety as part </w:t>
      </w:r>
      <w:r w:rsidR="00293335" w:rsidRPr="00825798">
        <w:rPr>
          <w:lang w:val="en-GB" w:eastAsia="zh-CN"/>
        </w:rPr>
        <w:t xml:space="preserve">of </w:t>
      </w:r>
      <w:r w:rsidRPr="00825798">
        <w:rPr>
          <w:lang w:val="en-GB" w:eastAsia="zh-CN"/>
        </w:rPr>
        <w:t>the process of ensuring internal capital adequacy must coincide with the time horizon for capital planning.</w:t>
      </w:r>
    </w:p>
    <w:p w14:paraId="7A0B4E97" w14:textId="77777777" w:rsidR="00D7424D" w:rsidRPr="00825798" w:rsidRDefault="00D7424D" w:rsidP="008C215C">
      <w:pPr>
        <w:jc w:val="both"/>
        <w:rPr>
          <w:lang w:val="en-GB" w:eastAsia="zh-CN"/>
        </w:rPr>
      </w:pPr>
    </w:p>
    <w:p w14:paraId="1ED2E899" w14:textId="77777777" w:rsidR="00D7424D" w:rsidRPr="00825798" w:rsidRDefault="00D7424D" w:rsidP="009B202D">
      <w:pPr>
        <w:pStyle w:val="Loendilik"/>
        <w:ind w:left="709"/>
        <w:jc w:val="both"/>
        <w:rPr>
          <w:lang w:val="en-GB" w:eastAsia="zh-CN"/>
        </w:rPr>
      </w:pPr>
    </w:p>
    <w:p w14:paraId="1C32053C" w14:textId="7C95B421" w:rsidR="00D7424D" w:rsidRPr="00825798" w:rsidRDefault="00D00467" w:rsidP="00E8612A">
      <w:pPr>
        <w:numPr>
          <w:ilvl w:val="0"/>
          <w:numId w:val="1"/>
        </w:numPr>
        <w:ind w:hanging="720"/>
        <w:jc w:val="both"/>
        <w:rPr>
          <w:b/>
          <w:lang w:val="en-GB" w:eastAsia="zh-CN"/>
        </w:rPr>
      </w:pPr>
      <w:r w:rsidRPr="00825798">
        <w:rPr>
          <w:b/>
          <w:lang w:val="en-GB" w:eastAsia="zh-CN"/>
        </w:rPr>
        <w:t>Outputs</w:t>
      </w:r>
    </w:p>
    <w:p w14:paraId="45FF857F" w14:textId="77777777" w:rsidR="00D7424D" w:rsidRPr="00825798" w:rsidRDefault="00D7424D" w:rsidP="00E8612A">
      <w:pPr>
        <w:jc w:val="both"/>
        <w:rPr>
          <w:b/>
          <w:lang w:val="en-GB" w:eastAsia="zh-CN"/>
        </w:rPr>
      </w:pPr>
    </w:p>
    <w:p w14:paraId="76B1238A" w14:textId="64CEC618" w:rsidR="00D7424D" w:rsidRPr="00825798" w:rsidRDefault="00D00467" w:rsidP="00E8612A">
      <w:pPr>
        <w:numPr>
          <w:ilvl w:val="1"/>
          <w:numId w:val="1"/>
        </w:numPr>
        <w:tabs>
          <w:tab w:val="clear" w:pos="780"/>
          <w:tab w:val="num" w:pos="709"/>
        </w:tabs>
        <w:ind w:left="709" w:hanging="709"/>
        <w:jc w:val="both"/>
        <w:rPr>
          <w:lang w:val="en-GB" w:eastAsia="zh-CN"/>
        </w:rPr>
      </w:pPr>
      <w:r w:rsidRPr="00825798">
        <w:rPr>
          <w:lang w:val="en-GB" w:eastAsia="zh-CN"/>
        </w:rPr>
        <w:t xml:space="preserve">The credit institution or </w:t>
      </w:r>
      <w:r w:rsidR="00293335" w:rsidRPr="00825798">
        <w:rPr>
          <w:lang w:val="en-GB" w:eastAsia="zh-CN"/>
        </w:rPr>
        <w:t>investment firm</w:t>
      </w:r>
      <w:r w:rsidRPr="00825798">
        <w:rPr>
          <w:lang w:val="en-GB" w:eastAsia="zh-CN"/>
        </w:rPr>
        <w:t xml:space="preserve"> must analyse the impact of the stress test on </w:t>
      </w:r>
      <w:r w:rsidR="00293335" w:rsidRPr="00825798">
        <w:rPr>
          <w:lang w:val="en-GB" w:eastAsia="zh-CN"/>
        </w:rPr>
        <w:t>prudential norms</w:t>
      </w:r>
      <w:r w:rsidRPr="00825798">
        <w:rPr>
          <w:lang w:val="en-GB" w:eastAsia="zh-CN"/>
        </w:rPr>
        <w:t xml:space="preserve"> as well as capital need and capital as well as liquidity as assessed in the framework of the process of ensuring internal capital ad</w:t>
      </w:r>
      <w:r w:rsidR="00293335" w:rsidRPr="00825798">
        <w:rPr>
          <w:lang w:val="en-GB" w:eastAsia="zh-CN"/>
        </w:rPr>
        <w:t>e</w:t>
      </w:r>
      <w:r w:rsidRPr="00825798">
        <w:rPr>
          <w:lang w:val="en-GB" w:eastAsia="zh-CN"/>
        </w:rPr>
        <w:t>quacy.</w:t>
      </w:r>
      <w:r w:rsidR="00D7424D" w:rsidRPr="00825798">
        <w:rPr>
          <w:lang w:val="en-GB" w:eastAsia="zh-CN"/>
        </w:rPr>
        <w:t xml:space="preserve"> </w:t>
      </w:r>
    </w:p>
    <w:p w14:paraId="04AD4D23" w14:textId="77777777" w:rsidR="00D7424D" w:rsidRPr="00825798" w:rsidRDefault="00D7424D" w:rsidP="00E8612A">
      <w:pPr>
        <w:jc w:val="both"/>
        <w:rPr>
          <w:lang w:val="en-GB" w:eastAsia="zh-CN"/>
        </w:rPr>
      </w:pPr>
    </w:p>
    <w:p w14:paraId="0774EFB1" w14:textId="0B55FD20" w:rsidR="00D7424D" w:rsidRPr="00825798" w:rsidRDefault="00D00467" w:rsidP="00E8612A">
      <w:pPr>
        <w:numPr>
          <w:ilvl w:val="1"/>
          <w:numId w:val="1"/>
        </w:numPr>
        <w:tabs>
          <w:tab w:val="clear" w:pos="780"/>
          <w:tab w:val="num" w:pos="709"/>
        </w:tabs>
        <w:ind w:left="709" w:hanging="709"/>
        <w:jc w:val="both"/>
        <w:rPr>
          <w:lang w:val="en-GB" w:eastAsia="zh-CN"/>
        </w:rPr>
      </w:pPr>
      <w:r w:rsidRPr="00825798">
        <w:rPr>
          <w:lang w:val="en-GB" w:eastAsia="zh-CN"/>
        </w:rPr>
        <w:t xml:space="preserve">The credit institution or </w:t>
      </w:r>
      <w:r w:rsidR="00293335" w:rsidRPr="00825798">
        <w:rPr>
          <w:lang w:val="en-GB" w:eastAsia="zh-CN"/>
        </w:rPr>
        <w:t>investment firm</w:t>
      </w:r>
      <w:r w:rsidRPr="00825798">
        <w:rPr>
          <w:lang w:val="en-GB" w:eastAsia="zh-CN"/>
        </w:rPr>
        <w:t xml:space="preserve"> must, in the framework of the process of ensuring internal capital </w:t>
      </w:r>
      <w:r w:rsidR="00293335" w:rsidRPr="00825798">
        <w:rPr>
          <w:lang w:val="en-GB" w:eastAsia="zh-CN"/>
        </w:rPr>
        <w:t>adequacy,</w:t>
      </w:r>
      <w:r w:rsidRPr="00825798">
        <w:rPr>
          <w:lang w:val="en-GB" w:eastAsia="zh-CN"/>
        </w:rPr>
        <w:t xml:space="preserve"> analyse the fiduciary activities and measures that ensure that </w:t>
      </w:r>
      <w:r w:rsidR="00293335" w:rsidRPr="00825798">
        <w:rPr>
          <w:lang w:val="en-GB" w:eastAsia="zh-CN"/>
        </w:rPr>
        <w:t>prudential norms</w:t>
      </w:r>
      <w:r w:rsidRPr="00825798">
        <w:rPr>
          <w:lang w:val="en-GB" w:eastAsia="zh-CN"/>
        </w:rPr>
        <w:t xml:space="preserve"> are complied with in the co</w:t>
      </w:r>
      <w:r w:rsidR="00293335" w:rsidRPr="00825798">
        <w:rPr>
          <w:lang w:val="en-GB" w:eastAsia="zh-CN"/>
        </w:rPr>
        <w:t>n</w:t>
      </w:r>
      <w:r w:rsidRPr="00825798">
        <w:rPr>
          <w:lang w:val="en-GB" w:eastAsia="zh-CN"/>
        </w:rPr>
        <w:t>ditions of the stress test.</w:t>
      </w:r>
    </w:p>
    <w:p w14:paraId="2C1C00B7" w14:textId="77777777" w:rsidR="00D7424D" w:rsidRPr="00825798" w:rsidRDefault="00D7424D" w:rsidP="00A71E11">
      <w:pPr>
        <w:pStyle w:val="Loendilik"/>
        <w:rPr>
          <w:lang w:val="en-GB" w:eastAsia="zh-CN"/>
        </w:rPr>
      </w:pPr>
    </w:p>
    <w:p w14:paraId="495434C9" w14:textId="6F5CB84E" w:rsidR="00D7424D" w:rsidRPr="00825798" w:rsidRDefault="00D00467" w:rsidP="00373D57">
      <w:pPr>
        <w:numPr>
          <w:ilvl w:val="1"/>
          <w:numId w:val="1"/>
        </w:numPr>
        <w:tabs>
          <w:tab w:val="clear" w:pos="780"/>
          <w:tab w:val="num" w:pos="709"/>
        </w:tabs>
        <w:ind w:left="709" w:hanging="709"/>
        <w:jc w:val="both"/>
        <w:rPr>
          <w:lang w:val="en-GB" w:eastAsia="zh-CN"/>
        </w:rPr>
      </w:pPr>
      <w:r w:rsidRPr="00825798">
        <w:rPr>
          <w:lang w:val="en-GB" w:eastAsia="zh-CN"/>
        </w:rPr>
        <w:t xml:space="preserve">The precondition for trustworthiness of activities and measures is that they are to be discussed at the supervisory board </w:t>
      </w:r>
      <w:r w:rsidR="00293335" w:rsidRPr="00825798">
        <w:rPr>
          <w:lang w:val="en-GB" w:eastAsia="zh-CN"/>
        </w:rPr>
        <w:t>and</w:t>
      </w:r>
      <w:r w:rsidRPr="00825798">
        <w:rPr>
          <w:lang w:val="en-GB" w:eastAsia="zh-CN"/>
        </w:rPr>
        <w:t xml:space="preserve"> management board level, and documented as a conditional </w:t>
      </w:r>
      <w:r w:rsidR="006151E6" w:rsidRPr="00825798">
        <w:rPr>
          <w:lang w:val="en-GB" w:eastAsia="zh-CN"/>
        </w:rPr>
        <w:t>activity</w:t>
      </w:r>
      <w:r w:rsidRPr="00825798">
        <w:rPr>
          <w:lang w:val="en-GB" w:eastAsia="zh-CN"/>
        </w:rPr>
        <w:t xml:space="preserve"> plan.</w:t>
      </w:r>
    </w:p>
    <w:p w14:paraId="3E79E7B9" w14:textId="77777777" w:rsidR="00D7424D" w:rsidRPr="00825798" w:rsidRDefault="00D7424D" w:rsidP="000D2A5B">
      <w:pPr>
        <w:jc w:val="both"/>
        <w:rPr>
          <w:lang w:val="en-GB"/>
        </w:rPr>
      </w:pPr>
    </w:p>
    <w:p w14:paraId="65BB82D7" w14:textId="3BA7B594" w:rsidR="00D7424D" w:rsidRPr="00825798" w:rsidRDefault="00D00467" w:rsidP="001A4066">
      <w:pPr>
        <w:numPr>
          <w:ilvl w:val="1"/>
          <w:numId w:val="1"/>
        </w:numPr>
        <w:tabs>
          <w:tab w:val="clear" w:pos="780"/>
          <w:tab w:val="num" w:pos="709"/>
        </w:tabs>
        <w:ind w:left="709" w:hanging="709"/>
        <w:jc w:val="both"/>
        <w:rPr>
          <w:lang w:val="en-GB"/>
        </w:rPr>
      </w:pPr>
      <w:r w:rsidRPr="00825798">
        <w:rPr>
          <w:lang w:val="en-GB" w:eastAsia="zh-CN"/>
        </w:rPr>
        <w:t xml:space="preserve">The credit institution or </w:t>
      </w:r>
      <w:r w:rsidR="00293335" w:rsidRPr="00825798">
        <w:rPr>
          <w:lang w:val="en-GB" w:eastAsia="zh-CN"/>
        </w:rPr>
        <w:t>investment firm</w:t>
      </w:r>
      <w:r w:rsidRPr="00825798">
        <w:rPr>
          <w:lang w:val="en-GB" w:eastAsia="zh-CN"/>
        </w:rPr>
        <w:t xml:space="preserve"> must assess the feasibility, potential influence and time and resource </w:t>
      </w:r>
      <w:r w:rsidR="006151E6" w:rsidRPr="00825798">
        <w:rPr>
          <w:lang w:val="en-GB" w:eastAsia="zh-CN"/>
        </w:rPr>
        <w:t>expenditure</w:t>
      </w:r>
      <w:r w:rsidRPr="00825798">
        <w:rPr>
          <w:lang w:val="en-GB" w:eastAsia="zh-CN"/>
        </w:rPr>
        <w:t xml:space="preserve"> of the actions and measure</w:t>
      </w:r>
      <w:r w:rsidR="0070502B" w:rsidRPr="00825798">
        <w:rPr>
          <w:lang w:val="en-GB" w:eastAsia="zh-CN"/>
        </w:rPr>
        <w:t>s</w:t>
      </w:r>
      <w:r w:rsidRPr="00825798">
        <w:rPr>
          <w:lang w:val="en-GB" w:eastAsia="zh-CN"/>
        </w:rPr>
        <w:t xml:space="preserve"> to be applied in the conditions of the stress testing scenario.</w:t>
      </w:r>
    </w:p>
    <w:p w14:paraId="65975BC1" w14:textId="77777777" w:rsidR="00D7424D" w:rsidRPr="00825798" w:rsidRDefault="00D7424D" w:rsidP="000D2A5B">
      <w:pPr>
        <w:jc w:val="both"/>
        <w:rPr>
          <w:lang w:val="en-GB"/>
        </w:rPr>
      </w:pPr>
    </w:p>
    <w:p w14:paraId="7AA7D94B" w14:textId="144118CF" w:rsidR="00D7424D" w:rsidRPr="00825798" w:rsidRDefault="00D00467" w:rsidP="000D2A5B">
      <w:pPr>
        <w:numPr>
          <w:ilvl w:val="1"/>
          <w:numId w:val="1"/>
        </w:numPr>
        <w:tabs>
          <w:tab w:val="clear" w:pos="780"/>
          <w:tab w:val="num" w:pos="709"/>
        </w:tabs>
        <w:ind w:left="709" w:hanging="709"/>
        <w:jc w:val="both"/>
        <w:rPr>
          <w:lang w:val="en-GB"/>
        </w:rPr>
      </w:pPr>
      <w:r w:rsidRPr="00825798">
        <w:rPr>
          <w:lang w:val="en-GB"/>
        </w:rPr>
        <w:t xml:space="preserve">The credit institution or </w:t>
      </w:r>
      <w:r w:rsidR="00293335" w:rsidRPr="00825798">
        <w:rPr>
          <w:lang w:val="en-GB"/>
        </w:rPr>
        <w:t>investment firm</w:t>
      </w:r>
      <w:r w:rsidRPr="00825798">
        <w:rPr>
          <w:lang w:val="en-GB"/>
        </w:rPr>
        <w:t xml:space="preserve"> must </w:t>
      </w:r>
      <w:r w:rsidR="00672E76" w:rsidRPr="00825798">
        <w:rPr>
          <w:lang w:val="en-GB"/>
        </w:rPr>
        <w:t xml:space="preserve">take into consideration that the </w:t>
      </w:r>
      <w:r w:rsidRPr="00825798">
        <w:rPr>
          <w:lang w:val="en-GB"/>
        </w:rPr>
        <w:t xml:space="preserve">feasibility, influence and time and resource </w:t>
      </w:r>
      <w:r w:rsidR="006151E6" w:rsidRPr="00825798">
        <w:rPr>
          <w:lang w:val="en-GB"/>
        </w:rPr>
        <w:t>expenditure</w:t>
      </w:r>
      <w:r w:rsidRPr="00825798">
        <w:rPr>
          <w:lang w:val="en-GB"/>
        </w:rPr>
        <w:t xml:space="preserve"> of the actions and measure</w:t>
      </w:r>
      <w:r w:rsidR="00672E76" w:rsidRPr="00825798">
        <w:rPr>
          <w:lang w:val="en-GB"/>
        </w:rPr>
        <w:t>s</w:t>
      </w:r>
      <w:r w:rsidRPr="00825798">
        <w:rPr>
          <w:lang w:val="en-GB"/>
        </w:rPr>
        <w:t xml:space="preserve"> </w:t>
      </w:r>
      <w:r w:rsidR="00672E76" w:rsidRPr="00825798">
        <w:rPr>
          <w:lang w:val="en-GB"/>
        </w:rPr>
        <w:t>may materially vary from the actions and measures applied in the ordinary operating environment</w:t>
      </w:r>
      <w:r w:rsidRPr="00825798">
        <w:rPr>
          <w:lang w:val="en-GB"/>
        </w:rPr>
        <w:t>.</w:t>
      </w:r>
    </w:p>
    <w:p w14:paraId="14481ED1" w14:textId="77777777" w:rsidR="00D7424D" w:rsidRPr="00825798" w:rsidRDefault="00D7424D" w:rsidP="005C11DC">
      <w:pPr>
        <w:pStyle w:val="Loendilik"/>
        <w:rPr>
          <w:lang w:val="en-GB"/>
        </w:rPr>
      </w:pPr>
    </w:p>
    <w:p w14:paraId="2DD2E21D" w14:textId="5814ED06" w:rsidR="00D7424D" w:rsidRPr="00825798" w:rsidRDefault="00672E76" w:rsidP="001A4066">
      <w:pPr>
        <w:numPr>
          <w:ilvl w:val="1"/>
          <w:numId w:val="1"/>
        </w:numPr>
        <w:tabs>
          <w:tab w:val="clear" w:pos="780"/>
          <w:tab w:val="num" w:pos="709"/>
        </w:tabs>
        <w:ind w:left="709" w:hanging="709"/>
        <w:jc w:val="both"/>
        <w:rPr>
          <w:lang w:val="en-GB"/>
        </w:rPr>
      </w:pPr>
      <w:r w:rsidRPr="00825798">
        <w:rPr>
          <w:lang w:val="en-GB" w:eastAsia="zh-CN"/>
        </w:rPr>
        <w:t xml:space="preserve">The credit institution or </w:t>
      </w:r>
      <w:r w:rsidR="00293335" w:rsidRPr="00825798">
        <w:rPr>
          <w:lang w:val="en-GB" w:eastAsia="zh-CN"/>
        </w:rPr>
        <w:t>investment firm</w:t>
      </w:r>
      <w:r w:rsidRPr="00825798">
        <w:rPr>
          <w:lang w:val="en-GB" w:eastAsia="zh-CN"/>
        </w:rPr>
        <w:t xml:space="preserve"> must analyse the stress test outputs both in the case </w:t>
      </w:r>
      <w:r w:rsidR="006151E6" w:rsidRPr="00825798">
        <w:rPr>
          <w:lang w:val="en-GB" w:eastAsia="zh-CN"/>
        </w:rPr>
        <w:t>that</w:t>
      </w:r>
      <w:r w:rsidRPr="00825798">
        <w:rPr>
          <w:lang w:val="en-GB" w:eastAsia="zh-CN"/>
        </w:rPr>
        <w:t xml:space="preserve"> potential actions and measures are implemented as well as without implementation of potential actions and measures.</w:t>
      </w:r>
    </w:p>
    <w:p w14:paraId="0E393021" w14:textId="77777777" w:rsidR="00D7424D" w:rsidRPr="00825798" w:rsidRDefault="00D7424D" w:rsidP="001A4066">
      <w:pPr>
        <w:jc w:val="both"/>
        <w:rPr>
          <w:lang w:val="en-GB"/>
        </w:rPr>
      </w:pPr>
    </w:p>
    <w:p w14:paraId="42F8214E" w14:textId="285C01EF" w:rsidR="00D7424D" w:rsidRPr="00825798" w:rsidRDefault="00672E76" w:rsidP="00E8612A">
      <w:pPr>
        <w:numPr>
          <w:ilvl w:val="1"/>
          <w:numId w:val="1"/>
        </w:numPr>
        <w:tabs>
          <w:tab w:val="clear" w:pos="780"/>
          <w:tab w:val="num" w:pos="709"/>
        </w:tabs>
        <w:ind w:left="709" w:hanging="709"/>
        <w:jc w:val="both"/>
        <w:rPr>
          <w:lang w:val="en-GB"/>
        </w:rPr>
      </w:pPr>
      <w:r w:rsidRPr="00825798">
        <w:rPr>
          <w:lang w:val="en-GB" w:eastAsia="zh-CN"/>
        </w:rPr>
        <w:t xml:space="preserve">The credit institution or investment firm must document the </w:t>
      </w:r>
      <w:r w:rsidR="006151E6" w:rsidRPr="00825798">
        <w:rPr>
          <w:lang w:val="en-GB" w:eastAsia="zh-CN"/>
        </w:rPr>
        <w:t>methodology</w:t>
      </w:r>
      <w:r w:rsidRPr="00825798">
        <w:rPr>
          <w:lang w:val="en-GB" w:eastAsia="zh-CN"/>
        </w:rPr>
        <w:t>, preconditions and analysis results used in the stress test.</w:t>
      </w:r>
    </w:p>
    <w:p w14:paraId="44227378" w14:textId="77777777" w:rsidR="00D7424D" w:rsidRPr="00825798" w:rsidRDefault="00D7424D" w:rsidP="00E8612A">
      <w:pPr>
        <w:pStyle w:val="Loendilik"/>
        <w:jc w:val="both"/>
        <w:rPr>
          <w:lang w:val="en-GB"/>
        </w:rPr>
      </w:pPr>
    </w:p>
    <w:p w14:paraId="78B49D07" w14:textId="77777777" w:rsidR="00D7424D" w:rsidRPr="00825798" w:rsidRDefault="00D7424D" w:rsidP="00E8612A">
      <w:pPr>
        <w:jc w:val="both"/>
        <w:rPr>
          <w:lang w:val="en-GB"/>
        </w:rPr>
      </w:pPr>
    </w:p>
    <w:p w14:paraId="43F91EF6" w14:textId="7E043CA2" w:rsidR="00D7424D" w:rsidRPr="00825798" w:rsidRDefault="00672E76" w:rsidP="006167E6">
      <w:pPr>
        <w:pStyle w:val="Loendilik"/>
        <w:numPr>
          <w:ilvl w:val="0"/>
          <w:numId w:val="1"/>
        </w:numPr>
        <w:ind w:hanging="720"/>
        <w:jc w:val="both"/>
        <w:rPr>
          <w:b/>
          <w:lang w:val="en-GB"/>
        </w:rPr>
      </w:pPr>
      <w:r w:rsidRPr="00825798">
        <w:rPr>
          <w:b/>
          <w:lang w:val="en-GB"/>
        </w:rPr>
        <w:t>Entry into force of the guidelines</w:t>
      </w:r>
    </w:p>
    <w:p w14:paraId="4725A24D" w14:textId="77777777" w:rsidR="00D7424D" w:rsidRPr="00825798" w:rsidRDefault="00D7424D" w:rsidP="006167E6">
      <w:pPr>
        <w:jc w:val="both"/>
        <w:rPr>
          <w:lang w:val="en-GB"/>
        </w:rPr>
      </w:pPr>
    </w:p>
    <w:p w14:paraId="09D04323" w14:textId="46028C92" w:rsidR="00D7424D" w:rsidRPr="00825798" w:rsidRDefault="00672E76" w:rsidP="006167E6">
      <w:pPr>
        <w:pStyle w:val="Loendilik"/>
        <w:numPr>
          <w:ilvl w:val="1"/>
          <w:numId w:val="1"/>
        </w:numPr>
        <w:tabs>
          <w:tab w:val="clear" w:pos="780"/>
          <w:tab w:val="num" w:pos="709"/>
        </w:tabs>
        <w:ind w:left="709" w:hanging="709"/>
        <w:jc w:val="both"/>
        <w:rPr>
          <w:lang w:val="en-GB"/>
        </w:rPr>
      </w:pPr>
      <w:r w:rsidRPr="00825798">
        <w:rPr>
          <w:lang w:val="en-GB"/>
        </w:rPr>
        <w:t>The Guidelines shall enter into force on 31 December 2011.</w:t>
      </w:r>
    </w:p>
    <w:p w14:paraId="15AC3D0E" w14:textId="77777777" w:rsidR="00D7424D" w:rsidRPr="00825798" w:rsidRDefault="00D7424D" w:rsidP="0048185A">
      <w:pPr>
        <w:jc w:val="both"/>
        <w:rPr>
          <w:lang w:val="en-GB"/>
        </w:rPr>
      </w:pPr>
    </w:p>
    <w:sectPr w:rsidR="00D7424D" w:rsidRPr="00825798" w:rsidSect="00D33B59">
      <w:head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59EC90" w14:textId="77777777" w:rsidR="009A4430" w:rsidRDefault="009A4430" w:rsidP="00575783">
      <w:r>
        <w:separator/>
      </w:r>
    </w:p>
  </w:endnote>
  <w:endnote w:type="continuationSeparator" w:id="0">
    <w:p w14:paraId="39917BF1" w14:textId="77777777" w:rsidR="009A4430" w:rsidRDefault="009A4430" w:rsidP="00575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6B81C3" w14:textId="77777777" w:rsidR="009A4430" w:rsidRDefault="009A4430" w:rsidP="00575783">
      <w:r>
        <w:separator/>
      </w:r>
    </w:p>
  </w:footnote>
  <w:footnote w:type="continuationSeparator" w:id="0">
    <w:p w14:paraId="0F59BF12" w14:textId="77777777" w:rsidR="009A4430" w:rsidRDefault="009A4430" w:rsidP="005757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C8453" w14:textId="77777777" w:rsidR="00362072" w:rsidRDefault="00362072">
    <w:pPr>
      <w:pStyle w:val="Pis"/>
      <w:jc w:val="center"/>
    </w:pPr>
    <w:r>
      <w:fldChar w:fldCharType="begin"/>
    </w:r>
    <w:r>
      <w:instrText xml:space="preserve"> PAGE   \* MERGEFORMAT </w:instrText>
    </w:r>
    <w:r>
      <w:fldChar w:fldCharType="separate"/>
    </w:r>
    <w:r w:rsidR="00C93024">
      <w:rPr>
        <w:noProof/>
      </w:rPr>
      <w:t>4</w:t>
    </w:r>
    <w:r>
      <w:rPr>
        <w:noProof/>
      </w:rPr>
      <w:fldChar w:fldCharType="end"/>
    </w:r>
  </w:p>
  <w:p w14:paraId="53ED53B8" w14:textId="77777777" w:rsidR="00362072" w:rsidRDefault="00362072" w:rsidP="00DE3AB2">
    <w:pPr>
      <w:pStyle w:val="Pi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35CA1"/>
    <w:multiLevelType w:val="multilevel"/>
    <w:tmpl w:val="CB061D92"/>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468774FD"/>
    <w:multiLevelType w:val="hybridMultilevel"/>
    <w:tmpl w:val="8DEAECD2"/>
    <w:lvl w:ilvl="0" w:tplc="D21AF002">
      <w:start w:val="1"/>
      <w:numFmt w:val="decimal"/>
      <w:lvlText w:val="%1)"/>
      <w:lvlJc w:val="left"/>
      <w:pPr>
        <w:ind w:left="1080" w:hanging="360"/>
      </w:pPr>
      <w:rPr>
        <w:rFonts w:ascii="Times New Roman" w:eastAsia="Times New Roman" w:hAnsi="Times New Roman" w:cs="Times New Roman"/>
      </w:rPr>
    </w:lvl>
    <w:lvl w:ilvl="1" w:tplc="04250003" w:tentative="1">
      <w:start w:val="1"/>
      <w:numFmt w:val="bullet"/>
      <w:lvlText w:val="o"/>
      <w:lvlJc w:val="left"/>
      <w:pPr>
        <w:ind w:left="1800" w:hanging="360"/>
      </w:pPr>
      <w:rPr>
        <w:rFonts w:ascii="Courier New" w:hAnsi="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2">
    <w:nsid w:val="62400427"/>
    <w:multiLevelType w:val="multilevel"/>
    <w:tmpl w:val="B4CC866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3)"/>
      <w:lvlJc w:val="left"/>
      <w:pPr>
        <w:tabs>
          <w:tab w:val="num" w:pos="1080"/>
        </w:tabs>
        <w:ind w:left="1080" w:hanging="720"/>
      </w:pPr>
      <w:rPr>
        <w:rFonts w:ascii="Times New Roman" w:eastAsia="Times New Roman" w:hAnsi="Times New Roman" w:cs="Times New Roman"/>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
    <w:nsid w:val="77D91307"/>
    <w:multiLevelType w:val="hybridMultilevel"/>
    <w:tmpl w:val="49C8D0DA"/>
    <w:lvl w:ilvl="0" w:tplc="67F6CAC2">
      <w:start w:val="1"/>
      <w:numFmt w:val="decimal"/>
      <w:lvlText w:val="%1)"/>
      <w:lvlJc w:val="left"/>
      <w:pPr>
        <w:ind w:left="1080" w:hanging="360"/>
      </w:pPr>
      <w:rPr>
        <w:rFonts w:ascii="Times New Roman" w:eastAsia="Times New Roman" w:hAnsi="Times New Roman"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fID" w:val="14o6A7DMDS8A0 (000000) Xx"/>
    <w:docVar w:name="WfMT" w:val="0"/>
  </w:docVars>
  <w:rsids>
    <w:rsidRoot w:val="00575783"/>
    <w:rsid w:val="00000FD1"/>
    <w:rsid w:val="0000428C"/>
    <w:rsid w:val="00012526"/>
    <w:rsid w:val="000143C4"/>
    <w:rsid w:val="00016252"/>
    <w:rsid w:val="00017086"/>
    <w:rsid w:val="000313AE"/>
    <w:rsid w:val="00036A33"/>
    <w:rsid w:val="00040543"/>
    <w:rsid w:val="00045316"/>
    <w:rsid w:val="00053784"/>
    <w:rsid w:val="00054526"/>
    <w:rsid w:val="0005662C"/>
    <w:rsid w:val="00060F0B"/>
    <w:rsid w:val="00062D5E"/>
    <w:rsid w:val="0006518B"/>
    <w:rsid w:val="00071415"/>
    <w:rsid w:val="000717C5"/>
    <w:rsid w:val="00080D76"/>
    <w:rsid w:val="0008117D"/>
    <w:rsid w:val="000853CB"/>
    <w:rsid w:val="000869B5"/>
    <w:rsid w:val="000879CB"/>
    <w:rsid w:val="0009065E"/>
    <w:rsid w:val="00090E88"/>
    <w:rsid w:val="00094640"/>
    <w:rsid w:val="000A1C29"/>
    <w:rsid w:val="000A1D84"/>
    <w:rsid w:val="000A2CCD"/>
    <w:rsid w:val="000A6731"/>
    <w:rsid w:val="000A7522"/>
    <w:rsid w:val="000B1A82"/>
    <w:rsid w:val="000B3183"/>
    <w:rsid w:val="000B3B38"/>
    <w:rsid w:val="000B7196"/>
    <w:rsid w:val="000B7CE6"/>
    <w:rsid w:val="000C0A87"/>
    <w:rsid w:val="000C2D62"/>
    <w:rsid w:val="000C2F55"/>
    <w:rsid w:val="000C492A"/>
    <w:rsid w:val="000C526E"/>
    <w:rsid w:val="000C6CD6"/>
    <w:rsid w:val="000C6D5E"/>
    <w:rsid w:val="000D16FD"/>
    <w:rsid w:val="000D2A5B"/>
    <w:rsid w:val="000D3289"/>
    <w:rsid w:val="000D41BE"/>
    <w:rsid w:val="000D4B8A"/>
    <w:rsid w:val="000D5C57"/>
    <w:rsid w:val="000E0F5C"/>
    <w:rsid w:val="000E22F6"/>
    <w:rsid w:val="000E580A"/>
    <w:rsid w:val="000F2064"/>
    <w:rsid w:val="000F2D65"/>
    <w:rsid w:val="000F3CB0"/>
    <w:rsid w:val="00103B4D"/>
    <w:rsid w:val="001069F5"/>
    <w:rsid w:val="00110A92"/>
    <w:rsid w:val="00120468"/>
    <w:rsid w:val="00124326"/>
    <w:rsid w:val="001326A6"/>
    <w:rsid w:val="0013616C"/>
    <w:rsid w:val="0013793B"/>
    <w:rsid w:val="00142BD9"/>
    <w:rsid w:val="00142DC7"/>
    <w:rsid w:val="00143CC6"/>
    <w:rsid w:val="00154EB6"/>
    <w:rsid w:val="001626EC"/>
    <w:rsid w:val="00162943"/>
    <w:rsid w:val="00163911"/>
    <w:rsid w:val="00167445"/>
    <w:rsid w:val="00172A46"/>
    <w:rsid w:val="00175032"/>
    <w:rsid w:val="00184D16"/>
    <w:rsid w:val="00186FED"/>
    <w:rsid w:val="001914E3"/>
    <w:rsid w:val="001936DB"/>
    <w:rsid w:val="001A0A6A"/>
    <w:rsid w:val="001A14CD"/>
    <w:rsid w:val="001A2035"/>
    <w:rsid w:val="001A3ED7"/>
    <w:rsid w:val="001A4066"/>
    <w:rsid w:val="001A5067"/>
    <w:rsid w:val="001A7753"/>
    <w:rsid w:val="001B00C3"/>
    <w:rsid w:val="001B1A97"/>
    <w:rsid w:val="001B2DB8"/>
    <w:rsid w:val="001B79C1"/>
    <w:rsid w:val="001C23E7"/>
    <w:rsid w:val="001C3C81"/>
    <w:rsid w:val="001C4DF7"/>
    <w:rsid w:val="001D1909"/>
    <w:rsid w:val="001D1FF8"/>
    <w:rsid w:val="001D2542"/>
    <w:rsid w:val="001D56A0"/>
    <w:rsid w:val="001D728D"/>
    <w:rsid w:val="001D7C72"/>
    <w:rsid w:val="001E1CBF"/>
    <w:rsid w:val="001E4A57"/>
    <w:rsid w:val="001E787E"/>
    <w:rsid w:val="001F49E7"/>
    <w:rsid w:val="001F5182"/>
    <w:rsid w:val="001F6417"/>
    <w:rsid w:val="0020262B"/>
    <w:rsid w:val="00205A2D"/>
    <w:rsid w:val="00210381"/>
    <w:rsid w:val="00212C42"/>
    <w:rsid w:val="00225C3D"/>
    <w:rsid w:val="0023177A"/>
    <w:rsid w:val="00231A7D"/>
    <w:rsid w:val="00231BE1"/>
    <w:rsid w:val="00233307"/>
    <w:rsid w:val="00233673"/>
    <w:rsid w:val="00246119"/>
    <w:rsid w:val="00246575"/>
    <w:rsid w:val="00250A27"/>
    <w:rsid w:val="00255626"/>
    <w:rsid w:val="00255A2A"/>
    <w:rsid w:val="00265473"/>
    <w:rsid w:val="0027064F"/>
    <w:rsid w:val="00273536"/>
    <w:rsid w:val="002743FD"/>
    <w:rsid w:val="0027495A"/>
    <w:rsid w:val="00275653"/>
    <w:rsid w:val="0027706B"/>
    <w:rsid w:val="002836AD"/>
    <w:rsid w:val="00285D3D"/>
    <w:rsid w:val="00292138"/>
    <w:rsid w:val="00292322"/>
    <w:rsid w:val="00293335"/>
    <w:rsid w:val="002B2B85"/>
    <w:rsid w:val="002B2CF5"/>
    <w:rsid w:val="002B551B"/>
    <w:rsid w:val="002B62A4"/>
    <w:rsid w:val="002B7528"/>
    <w:rsid w:val="002C2875"/>
    <w:rsid w:val="002C485E"/>
    <w:rsid w:val="002C7C12"/>
    <w:rsid w:val="002D1905"/>
    <w:rsid w:val="002D2AA6"/>
    <w:rsid w:val="002D60CD"/>
    <w:rsid w:val="002D6F32"/>
    <w:rsid w:val="002D7D82"/>
    <w:rsid w:val="002E0CCF"/>
    <w:rsid w:val="002E0E66"/>
    <w:rsid w:val="002E5992"/>
    <w:rsid w:val="002E6115"/>
    <w:rsid w:val="002E6D35"/>
    <w:rsid w:val="002F416E"/>
    <w:rsid w:val="002F763D"/>
    <w:rsid w:val="0030079E"/>
    <w:rsid w:val="00303E70"/>
    <w:rsid w:val="003060AE"/>
    <w:rsid w:val="00306AD0"/>
    <w:rsid w:val="003104B0"/>
    <w:rsid w:val="003120A0"/>
    <w:rsid w:val="0031304C"/>
    <w:rsid w:val="00315C26"/>
    <w:rsid w:val="00322080"/>
    <w:rsid w:val="00322A10"/>
    <w:rsid w:val="00324510"/>
    <w:rsid w:val="00333249"/>
    <w:rsid w:val="00336284"/>
    <w:rsid w:val="003502AC"/>
    <w:rsid w:val="003520D5"/>
    <w:rsid w:val="00354001"/>
    <w:rsid w:val="0035700E"/>
    <w:rsid w:val="00362072"/>
    <w:rsid w:val="0036207A"/>
    <w:rsid w:val="003631D1"/>
    <w:rsid w:val="00363EED"/>
    <w:rsid w:val="00367526"/>
    <w:rsid w:val="0036755B"/>
    <w:rsid w:val="00373343"/>
    <w:rsid w:val="003737D0"/>
    <w:rsid w:val="00373D57"/>
    <w:rsid w:val="003806A4"/>
    <w:rsid w:val="00381CD9"/>
    <w:rsid w:val="003840F4"/>
    <w:rsid w:val="00384773"/>
    <w:rsid w:val="00390F94"/>
    <w:rsid w:val="003956B5"/>
    <w:rsid w:val="003A040D"/>
    <w:rsid w:val="003A1BAB"/>
    <w:rsid w:val="003A4211"/>
    <w:rsid w:val="003A4B36"/>
    <w:rsid w:val="003A6551"/>
    <w:rsid w:val="003A74C6"/>
    <w:rsid w:val="003A7FEF"/>
    <w:rsid w:val="003B3623"/>
    <w:rsid w:val="003B4AD6"/>
    <w:rsid w:val="003C1D42"/>
    <w:rsid w:val="003C3751"/>
    <w:rsid w:val="003C4767"/>
    <w:rsid w:val="003D1CAA"/>
    <w:rsid w:val="003E0A9E"/>
    <w:rsid w:val="003F1E46"/>
    <w:rsid w:val="003F2C58"/>
    <w:rsid w:val="003F64D1"/>
    <w:rsid w:val="003F7544"/>
    <w:rsid w:val="00402DFD"/>
    <w:rsid w:val="00404094"/>
    <w:rsid w:val="00405B80"/>
    <w:rsid w:val="00406179"/>
    <w:rsid w:val="00407203"/>
    <w:rsid w:val="004107F5"/>
    <w:rsid w:val="00412648"/>
    <w:rsid w:val="00413ACC"/>
    <w:rsid w:val="00415DAD"/>
    <w:rsid w:val="004236C5"/>
    <w:rsid w:val="00424000"/>
    <w:rsid w:val="0043176F"/>
    <w:rsid w:val="00432F56"/>
    <w:rsid w:val="00433FCD"/>
    <w:rsid w:val="00454A98"/>
    <w:rsid w:val="004573F9"/>
    <w:rsid w:val="004603B6"/>
    <w:rsid w:val="0046140D"/>
    <w:rsid w:val="004655EC"/>
    <w:rsid w:val="00470556"/>
    <w:rsid w:val="00474F47"/>
    <w:rsid w:val="00477146"/>
    <w:rsid w:val="00480582"/>
    <w:rsid w:val="00481163"/>
    <w:rsid w:val="0048185A"/>
    <w:rsid w:val="00482285"/>
    <w:rsid w:val="00494014"/>
    <w:rsid w:val="00494B19"/>
    <w:rsid w:val="004960BB"/>
    <w:rsid w:val="00497A23"/>
    <w:rsid w:val="004A0E02"/>
    <w:rsid w:val="004A376D"/>
    <w:rsid w:val="004A705D"/>
    <w:rsid w:val="004A7852"/>
    <w:rsid w:val="004B0381"/>
    <w:rsid w:val="004B157B"/>
    <w:rsid w:val="004B26FD"/>
    <w:rsid w:val="004B3086"/>
    <w:rsid w:val="004B6DB9"/>
    <w:rsid w:val="004C00D0"/>
    <w:rsid w:val="004C666D"/>
    <w:rsid w:val="004E0C12"/>
    <w:rsid w:val="004E6178"/>
    <w:rsid w:val="004F2ECA"/>
    <w:rsid w:val="004F434D"/>
    <w:rsid w:val="004F6971"/>
    <w:rsid w:val="004F7061"/>
    <w:rsid w:val="005010EE"/>
    <w:rsid w:val="005017B1"/>
    <w:rsid w:val="00501946"/>
    <w:rsid w:val="005049D8"/>
    <w:rsid w:val="0050653F"/>
    <w:rsid w:val="00516017"/>
    <w:rsid w:val="0051650E"/>
    <w:rsid w:val="005348F7"/>
    <w:rsid w:val="00535D2B"/>
    <w:rsid w:val="00535E09"/>
    <w:rsid w:val="00542DB6"/>
    <w:rsid w:val="00545ED3"/>
    <w:rsid w:val="0055328A"/>
    <w:rsid w:val="005538CD"/>
    <w:rsid w:val="00560A5D"/>
    <w:rsid w:val="005653E2"/>
    <w:rsid w:val="005656D9"/>
    <w:rsid w:val="00575783"/>
    <w:rsid w:val="005763BF"/>
    <w:rsid w:val="00576B04"/>
    <w:rsid w:val="005775E7"/>
    <w:rsid w:val="00577DBE"/>
    <w:rsid w:val="00583E34"/>
    <w:rsid w:val="005842AE"/>
    <w:rsid w:val="005843CF"/>
    <w:rsid w:val="00586A84"/>
    <w:rsid w:val="005907FB"/>
    <w:rsid w:val="00592F80"/>
    <w:rsid w:val="005944B4"/>
    <w:rsid w:val="00597C4D"/>
    <w:rsid w:val="005A001C"/>
    <w:rsid w:val="005A270C"/>
    <w:rsid w:val="005A2B54"/>
    <w:rsid w:val="005A39B8"/>
    <w:rsid w:val="005A40ED"/>
    <w:rsid w:val="005A676C"/>
    <w:rsid w:val="005A7985"/>
    <w:rsid w:val="005B1E19"/>
    <w:rsid w:val="005C02AD"/>
    <w:rsid w:val="005C11DC"/>
    <w:rsid w:val="005C31BB"/>
    <w:rsid w:val="005C6BFD"/>
    <w:rsid w:val="005C7601"/>
    <w:rsid w:val="005D38A0"/>
    <w:rsid w:val="005D41AD"/>
    <w:rsid w:val="005D52DD"/>
    <w:rsid w:val="005D77FD"/>
    <w:rsid w:val="005E1B04"/>
    <w:rsid w:val="005E1C82"/>
    <w:rsid w:val="005E4E27"/>
    <w:rsid w:val="005F1489"/>
    <w:rsid w:val="005F7285"/>
    <w:rsid w:val="005F7773"/>
    <w:rsid w:val="00601162"/>
    <w:rsid w:val="006046BC"/>
    <w:rsid w:val="00605A22"/>
    <w:rsid w:val="0061182F"/>
    <w:rsid w:val="006151E6"/>
    <w:rsid w:val="006167E6"/>
    <w:rsid w:val="00616A3B"/>
    <w:rsid w:val="006204B8"/>
    <w:rsid w:val="00620AD2"/>
    <w:rsid w:val="00622D62"/>
    <w:rsid w:val="00623C3D"/>
    <w:rsid w:val="00625DC4"/>
    <w:rsid w:val="006272C2"/>
    <w:rsid w:val="006300D0"/>
    <w:rsid w:val="00633EB6"/>
    <w:rsid w:val="0063424C"/>
    <w:rsid w:val="00634E78"/>
    <w:rsid w:val="00643C18"/>
    <w:rsid w:val="0064409D"/>
    <w:rsid w:val="00644DFD"/>
    <w:rsid w:val="00646CE1"/>
    <w:rsid w:val="006500F6"/>
    <w:rsid w:val="00652B24"/>
    <w:rsid w:val="00663FBF"/>
    <w:rsid w:val="00666D8A"/>
    <w:rsid w:val="006711C5"/>
    <w:rsid w:val="00671900"/>
    <w:rsid w:val="00672E76"/>
    <w:rsid w:val="00673932"/>
    <w:rsid w:val="0067548C"/>
    <w:rsid w:val="00682011"/>
    <w:rsid w:val="00682628"/>
    <w:rsid w:val="0068535A"/>
    <w:rsid w:val="006969A7"/>
    <w:rsid w:val="0069778B"/>
    <w:rsid w:val="006A4451"/>
    <w:rsid w:val="006A4966"/>
    <w:rsid w:val="006A769D"/>
    <w:rsid w:val="006B2A8F"/>
    <w:rsid w:val="006B3DE6"/>
    <w:rsid w:val="006B4AFD"/>
    <w:rsid w:val="006B58B1"/>
    <w:rsid w:val="006B7198"/>
    <w:rsid w:val="006C56FB"/>
    <w:rsid w:val="006C74D7"/>
    <w:rsid w:val="006D0FD6"/>
    <w:rsid w:val="006D5ACA"/>
    <w:rsid w:val="006E0EB5"/>
    <w:rsid w:val="006E4852"/>
    <w:rsid w:val="006E4ED1"/>
    <w:rsid w:val="006E610B"/>
    <w:rsid w:val="006E67CE"/>
    <w:rsid w:val="006F5AF0"/>
    <w:rsid w:val="006F69ED"/>
    <w:rsid w:val="00700DD7"/>
    <w:rsid w:val="0070502B"/>
    <w:rsid w:val="00705063"/>
    <w:rsid w:val="00715AFA"/>
    <w:rsid w:val="00715DC3"/>
    <w:rsid w:val="00715FC3"/>
    <w:rsid w:val="00717F98"/>
    <w:rsid w:val="007202CE"/>
    <w:rsid w:val="0072036E"/>
    <w:rsid w:val="0072191B"/>
    <w:rsid w:val="00733517"/>
    <w:rsid w:val="0073621D"/>
    <w:rsid w:val="00736FC6"/>
    <w:rsid w:val="00742E51"/>
    <w:rsid w:val="007434AD"/>
    <w:rsid w:val="00750306"/>
    <w:rsid w:val="00750BEF"/>
    <w:rsid w:val="00754CD0"/>
    <w:rsid w:val="00755BFB"/>
    <w:rsid w:val="007608BA"/>
    <w:rsid w:val="00761D31"/>
    <w:rsid w:val="00763930"/>
    <w:rsid w:val="007662CE"/>
    <w:rsid w:val="00770F02"/>
    <w:rsid w:val="00772CF7"/>
    <w:rsid w:val="00775830"/>
    <w:rsid w:val="00781E97"/>
    <w:rsid w:val="00792BB3"/>
    <w:rsid w:val="00795158"/>
    <w:rsid w:val="00795C8D"/>
    <w:rsid w:val="00796746"/>
    <w:rsid w:val="007A121D"/>
    <w:rsid w:val="007A1FA7"/>
    <w:rsid w:val="007A48D5"/>
    <w:rsid w:val="007A4C51"/>
    <w:rsid w:val="007A6420"/>
    <w:rsid w:val="007B1063"/>
    <w:rsid w:val="007B25F8"/>
    <w:rsid w:val="007B551E"/>
    <w:rsid w:val="007B5693"/>
    <w:rsid w:val="007B6C7C"/>
    <w:rsid w:val="007C079E"/>
    <w:rsid w:val="007C07F9"/>
    <w:rsid w:val="007C4802"/>
    <w:rsid w:val="007C6891"/>
    <w:rsid w:val="007D043B"/>
    <w:rsid w:val="007D5B5A"/>
    <w:rsid w:val="007E6DDB"/>
    <w:rsid w:val="007E7C37"/>
    <w:rsid w:val="007F7401"/>
    <w:rsid w:val="00803010"/>
    <w:rsid w:val="00804E1C"/>
    <w:rsid w:val="00811404"/>
    <w:rsid w:val="00811F10"/>
    <w:rsid w:val="00812E45"/>
    <w:rsid w:val="00813137"/>
    <w:rsid w:val="00815D2B"/>
    <w:rsid w:val="00816C02"/>
    <w:rsid w:val="00823E11"/>
    <w:rsid w:val="00825798"/>
    <w:rsid w:val="00825FF8"/>
    <w:rsid w:val="00832A9D"/>
    <w:rsid w:val="00840896"/>
    <w:rsid w:val="00840ABA"/>
    <w:rsid w:val="00840B21"/>
    <w:rsid w:val="00847146"/>
    <w:rsid w:val="00850B51"/>
    <w:rsid w:val="008532AB"/>
    <w:rsid w:val="008533D8"/>
    <w:rsid w:val="00857E29"/>
    <w:rsid w:val="008630EC"/>
    <w:rsid w:val="00872421"/>
    <w:rsid w:val="00873034"/>
    <w:rsid w:val="00873C3E"/>
    <w:rsid w:val="00880E4B"/>
    <w:rsid w:val="008834E2"/>
    <w:rsid w:val="0088415F"/>
    <w:rsid w:val="00885756"/>
    <w:rsid w:val="00885B72"/>
    <w:rsid w:val="00890FB6"/>
    <w:rsid w:val="008970C0"/>
    <w:rsid w:val="008A0FE1"/>
    <w:rsid w:val="008A109A"/>
    <w:rsid w:val="008A3BC3"/>
    <w:rsid w:val="008A598A"/>
    <w:rsid w:val="008A6CC9"/>
    <w:rsid w:val="008A7E87"/>
    <w:rsid w:val="008B2387"/>
    <w:rsid w:val="008C07EC"/>
    <w:rsid w:val="008C215C"/>
    <w:rsid w:val="008C3DC4"/>
    <w:rsid w:val="008C5D5F"/>
    <w:rsid w:val="008C6DA0"/>
    <w:rsid w:val="008D1047"/>
    <w:rsid w:val="008D1582"/>
    <w:rsid w:val="008D15CC"/>
    <w:rsid w:val="008D18C6"/>
    <w:rsid w:val="008D2F81"/>
    <w:rsid w:val="008D40A5"/>
    <w:rsid w:val="008D7647"/>
    <w:rsid w:val="008E4404"/>
    <w:rsid w:val="008E7F05"/>
    <w:rsid w:val="008F0677"/>
    <w:rsid w:val="008F3CD5"/>
    <w:rsid w:val="008F66BB"/>
    <w:rsid w:val="008F6E66"/>
    <w:rsid w:val="008F781D"/>
    <w:rsid w:val="009024F0"/>
    <w:rsid w:val="00904919"/>
    <w:rsid w:val="00910E06"/>
    <w:rsid w:val="009123F3"/>
    <w:rsid w:val="00913749"/>
    <w:rsid w:val="009146FD"/>
    <w:rsid w:val="00914C58"/>
    <w:rsid w:val="00916764"/>
    <w:rsid w:val="00923FDC"/>
    <w:rsid w:val="00924259"/>
    <w:rsid w:val="00924923"/>
    <w:rsid w:val="00930315"/>
    <w:rsid w:val="009306A7"/>
    <w:rsid w:val="0093668B"/>
    <w:rsid w:val="00936B69"/>
    <w:rsid w:val="00940DE5"/>
    <w:rsid w:val="00941938"/>
    <w:rsid w:val="00941FCB"/>
    <w:rsid w:val="009460A1"/>
    <w:rsid w:val="00950F36"/>
    <w:rsid w:val="00951626"/>
    <w:rsid w:val="009534BC"/>
    <w:rsid w:val="00954175"/>
    <w:rsid w:val="00956CBB"/>
    <w:rsid w:val="0095717A"/>
    <w:rsid w:val="009611AD"/>
    <w:rsid w:val="00967C5C"/>
    <w:rsid w:val="009719E2"/>
    <w:rsid w:val="00971B2E"/>
    <w:rsid w:val="00975469"/>
    <w:rsid w:val="009756DC"/>
    <w:rsid w:val="009855EA"/>
    <w:rsid w:val="00985848"/>
    <w:rsid w:val="0098685E"/>
    <w:rsid w:val="00986A0B"/>
    <w:rsid w:val="00990DDC"/>
    <w:rsid w:val="00991E90"/>
    <w:rsid w:val="00996D7B"/>
    <w:rsid w:val="009A15CC"/>
    <w:rsid w:val="009A4430"/>
    <w:rsid w:val="009A44D4"/>
    <w:rsid w:val="009A4D78"/>
    <w:rsid w:val="009B202D"/>
    <w:rsid w:val="009B2F15"/>
    <w:rsid w:val="009B3268"/>
    <w:rsid w:val="009B7FF5"/>
    <w:rsid w:val="009C2A1B"/>
    <w:rsid w:val="009C3972"/>
    <w:rsid w:val="009C5BC1"/>
    <w:rsid w:val="009C6A5F"/>
    <w:rsid w:val="009C6B2B"/>
    <w:rsid w:val="009D5C67"/>
    <w:rsid w:val="009E10F1"/>
    <w:rsid w:val="009E3AB2"/>
    <w:rsid w:val="009F3DB3"/>
    <w:rsid w:val="009F5768"/>
    <w:rsid w:val="00A10E39"/>
    <w:rsid w:val="00A16165"/>
    <w:rsid w:val="00A204E6"/>
    <w:rsid w:val="00A23BA0"/>
    <w:rsid w:val="00A23D6C"/>
    <w:rsid w:val="00A25BD6"/>
    <w:rsid w:val="00A375DD"/>
    <w:rsid w:val="00A43253"/>
    <w:rsid w:val="00A432F3"/>
    <w:rsid w:val="00A433D6"/>
    <w:rsid w:val="00A44662"/>
    <w:rsid w:val="00A44A36"/>
    <w:rsid w:val="00A517AE"/>
    <w:rsid w:val="00A5297B"/>
    <w:rsid w:val="00A52EF2"/>
    <w:rsid w:val="00A54A00"/>
    <w:rsid w:val="00A5541A"/>
    <w:rsid w:val="00A62CFD"/>
    <w:rsid w:val="00A63FB7"/>
    <w:rsid w:val="00A646A4"/>
    <w:rsid w:val="00A659BD"/>
    <w:rsid w:val="00A70CE8"/>
    <w:rsid w:val="00A71E11"/>
    <w:rsid w:val="00A730D4"/>
    <w:rsid w:val="00A813A1"/>
    <w:rsid w:val="00A854A3"/>
    <w:rsid w:val="00A85FF6"/>
    <w:rsid w:val="00A8637E"/>
    <w:rsid w:val="00A86982"/>
    <w:rsid w:val="00A93D9B"/>
    <w:rsid w:val="00A95EC6"/>
    <w:rsid w:val="00AA108C"/>
    <w:rsid w:val="00AA1D58"/>
    <w:rsid w:val="00AA3F87"/>
    <w:rsid w:val="00AA6601"/>
    <w:rsid w:val="00AB1999"/>
    <w:rsid w:val="00AD0714"/>
    <w:rsid w:val="00AD25D5"/>
    <w:rsid w:val="00AD5EB8"/>
    <w:rsid w:val="00AE37B5"/>
    <w:rsid w:val="00AE57FB"/>
    <w:rsid w:val="00AE627E"/>
    <w:rsid w:val="00AF0E7E"/>
    <w:rsid w:val="00AF4B80"/>
    <w:rsid w:val="00AF6C3D"/>
    <w:rsid w:val="00AF6D54"/>
    <w:rsid w:val="00B00913"/>
    <w:rsid w:val="00B01CCA"/>
    <w:rsid w:val="00B03AD5"/>
    <w:rsid w:val="00B04CE4"/>
    <w:rsid w:val="00B1018D"/>
    <w:rsid w:val="00B16FA0"/>
    <w:rsid w:val="00B17CCF"/>
    <w:rsid w:val="00B20313"/>
    <w:rsid w:val="00B20B42"/>
    <w:rsid w:val="00B23BCC"/>
    <w:rsid w:val="00B26903"/>
    <w:rsid w:val="00B303FE"/>
    <w:rsid w:val="00B31DE3"/>
    <w:rsid w:val="00B341B4"/>
    <w:rsid w:val="00B34912"/>
    <w:rsid w:val="00B36926"/>
    <w:rsid w:val="00B36B5A"/>
    <w:rsid w:val="00B4111D"/>
    <w:rsid w:val="00B45694"/>
    <w:rsid w:val="00B47A0A"/>
    <w:rsid w:val="00B55D36"/>
    <w:rsid w:val="00B578C1"/>
    <w:rsid w:val="00B622C0"/>
    <w:rsid w:val="00B62DF1"/>
    <w:rsid w:val="00B674AD"/>
    <w:rsid w:val="00B710E4"/>
    <w:rsid w:val="00B739ED"/>
    <w:rsid w:val="00B73A0D"/>
    <w:rsid w:val="00B73A42"/>
    <w:rsid w:val="00B75B13"/>
    <w:rsid w:val="00B80FF4"/>
    <w:rsid w:val="00B826AE"/>
    <w:rsid w:val="00B84986"/>
    <w:rsid w:val="00B8794D"/>
    <w:rsid w:val="00B90915"/>
    <w:rsid w:val="00B92327"/>
    <w:rsid w:val="00B97651"/>
    <w:rsid w:val="00BA1076"/>
    <w:rsid w:val="00BA138A"/>
    <w:rsid w:val="00BA1CC8"/>
    <w:rsid w:val="00BA4348"/>
    <w:rsid w:val="00BB1800"/>
    <w:rsid w:val="00BB34D6"/>
    <w:rsid w:val="00BC090C"/>
    <w:rsid w:val="00BC1BBE"/>
    <w:rsid w:val="00BD07DF"/>
    <w:rsid w:val="00BD1BEC"/>
    <w:rsid w:val="00BD1E41"/>
    <w:rsid w:val="00BD3D7E"/>
    <w:rsid w:val="00BD5035"/>
    <w:rsid w:val="00BD58A6"/>
    <w:rsid w:val="00BD5FD2"/>
    <w:rsid w:val="00BD6AAC"/>
    <w:rsid w:val="00BE2910"/>
    <w:rsid w:val="00BE3C94"/>
    <w:rsid w:val="00BE3F75"/>
    <w:rsid w:val="00BE4949"/>
    <w:rsid w:val="00BF4F0C"/>
    <w:rsid w:val="00BF63CA"/>
    <w:rsid w:val="00C0156C"/>
    <w:rsid w:val="00C135DB"/>
    <w:rsid w:val="00C1456F"/>
    <w:rsid w:val="00C2046D"/>
    <w:rsid w:val="00C2121E"/>
    <w:rsid w:val="00C23657"/>
    <w:rsid w:val="00C24517"/>
    <w:rsid w:val="00C306E1"/>
    <w:rsid w:val="00C30F37"/>
    <w:rsid w:val="00C32939"/>
    <w:rsid w:val="00C3449B"/>
    <w:rsid w:val="00C453E8"/>
    <w:rsid w:val="00C46BAF"/>
    <w:rsid w:val="00C60562"/>
    <w:rsid w:val="00C60C06"/>
    <w:rsid w:val="00C61126"/>
    <w:rsid w:val="00C62BCE"/>
    <w:rsid w:val="00C678AE"/>
    <w:rsid w:val="00C70BD7"/>
    <w:rsid w:val="00C71C13"/>
    <w:rsid w:val="00C7215F"/>
    <w:rsid w:val="00C7373D"/>
    <w:rsid w:val="00C73AE9"/>
    <w:rsid w:val="00C76A04"/>
    <w:rsid w:val="00C8243C"/>
    <w:rsid w:val="00C93024"/>
    <w:rsid w:val="00C93696"/>
    <w:rsid w:val="00C93B5C"/>
    <w:rsid w:val="00C94D9E"/>
    <w:rsid w:val="00CA0771"/>
    <w:rsid w:val="00CA3299"/>
    <w:rsid w:val="00CA403E"/>
    <w:rsid w:val="00CB0DD0"/>
    <w:rsid w:val="00CB2B73"/>
    <w:rsid w:val="00CB4D1D"/>
    <w:rsid w:val="00CB56FC"/>
    <w:rsid w:val="00CC5214"/>
    <w:rsid w:val="00CD048C"/>
    <w:rsid w:val="00CD1E7A"/>
    <w:rsid w:val="00CD404F"/>
    <w:rsid w:val="00CD51AE"/>
    <w:rsid w:val="00CD7425"/>
    <w:rsid w:val="00CD7686"/>
    <w:rsid w:val="00CE4B8C"/>
    <w:rsid w:val="00CE5C11"/>
    <w:rsid w:val="00CF3FD9"/>
    <w:rsid w:val="00CF5DC4"/>
    <w:rsid w:val="00D00467"/>
    <w:rsid w:val="00D00DF2"/>
    <w:rsid w:val="00D0136E"/>
    <w:rsid w:val="00D13A24"/>
    <w:rsid w:val="00D20227"/>
    <w:rsid w:val="00D20EB3"/>
    <w:rsid w:val="00D21AC7"/>
    <w:rsid w:val="00D26456"/>
    <w:rsid w:val="00D268D2"/>
    <w:rsid w:val="00D26F7A"/>
    <w:rsid w:val="00D3151D"/>
    <w:rsid w:val="00D31B70"/>
    <w:rsid w:val="00D321F9"/>
    <w:rsid w:val="00D33B59"/>
    <w:rsid w:val="00D3603F"/>
    <w:rsid w:val="00D371F0"/>
    <w:rsid w:val="00D41A94"/>
    <w:rsid w:val="00D42344"/>
    <w:rsid w:val="00D47A58"/>
    <w:rsid w:val="00D47EBA"/>
    <w:rsid w:val="00D51AEB"/>
    <w:rsid w:val="00D51FBF"/>
    <w:rsid w:val="00D55B38"/>
    <w:rsid w:val="00D568D5"/>
    <w:rsid w:val="00D569E3"/>
    <w:rsid w:val="00D60E41"/>
    <w:rsid w:val="00D63751"/>
    <w:rsid w:val="00D65684"/>
    <w:rsid w:val="00D66E7D"/>
    <w:rsid w:val="00D72125"/>
    <w:rsid w:val="00D72D3A"/>
    <w:rsid w:val="00D7424D"/>
    <w:rsid w:val="00D81B7E"/>
    <w:rsid w:val="00D83472"/>
    <w:rsid w:val="00D85E41"/>
    <w:rsid w:val="00D87C58"/>
    <w:rsid w:val="00D918C3"/>
    <w:rsid w:val="00D9287B"/>
    <w:rsid w:val="00D97D2A"/>
    <w:rsid w:val="00DA3843"/>
    <w:rsid w:val="00DA57EA"/>
    <w:rsid w:val="00DB10AE"/>
    <w:rsid w:val="00DB1AE1"/>
    <w:rsid w:val="00DB1F45"/>
    <w:rsid w:val="00DC006D"/>
    <w:rsid w:val="00DC060A"/>
    <w:rsid w:val="00DC20BB"/>
    <w:rsid w:val="00DC61E1"/>
    <w:rsid w:val="00DC66E1"/>
    <w:rsid w:val="00DC6883"/>
    <w:rsid w:val="00DD1C49"/>
    <w:rsid w:val="00DD686B"/>
    <w:rsid w:val="00DD795E"/>
    <w:rsid w:val="00DE0045"/>
    <w:rsid w:val="00DE0AA8"/>
    <w:rsid w:val="00DE3551"/>
    <w:rsid w:val="00DE3AB2"/>
    <w:rsid w:val="00DE53D6"/>
    <w:rsid w:val="00DE6341"/>
    <w:rsid w:val="00DF271E"/>
    <w:rsid w:val="00E11142"/>
    <w:rsid w:val="00E16375"/>
    <w:rsid w:val="00E16A70"/>
    <w:rsid w:val="00E3459A"/>
    <w:rsid w:val="00E47DBD"/>
    <w:rsid w:val="00E51B81"/>
    <w:rsid w:val="00E52202"/>
    <w:rsid w:val="00E53DA0"/>
    <w:rsid w:val="00E55A84"/>
    <w:rsid w:val="00E55F7D"/>
    <w:rsid w:val="00E632D5"/>
    <w:rsid w:val="00E63887"/>
    <w:rsid w:val="00E63C64"/>
    <w:rsid w:val="00E71970"/>
    <w:rsid w:val="00E7634B"/>
    <w:rsid w:val="00E773A9"/>
    <w:rsid w:val="00E779E9"/>
    <w:rsid w:val="00E8114A"/>
    <w:rsid w:val="00E82E4F"/>
    <w:rsid w:val="00E82E80"/>
    <w:rsid w:val="00E833CC"/>
    <w:rsid w:val="00E85F86"/>
    <w:rsid w:val="00E8612A"/>
    <w:rsid w:val="00E8769B"/>
    <w:rsid w:val="00EA22C6"/>
    <w:rsid w:val="00EA4BA2"/>
    <w:rsid w:val="00EA5BAC"/>
    <w:rsid w:val="00EB7083"/>
    <w:rsid w:val="00EC1789"/>
    <w:rsid w:val="00EC1929"/>
    <w:rsid w:val="00ED7F96"/>
    <w:rsid w:val="00EE0CD5"/>
    <w:rsid w:val="00EE71FD"/>
    <w:rsid w:val="00EF2859"/>
    <w:rsid w:val="00EF4917"/>
    <w:rsid w:val="00F00959"/>
    <w:rsid w:val="00F00CA2"/>
    <w:rsid w:val="00F020AC"/>
    <w:rsid w:val="00F04B5E"/>
    <w:rsid w:val="00F04C4A"/>
    <w:rsid w:val="00F078EB"/>
    <w:rsid w:val="00F07F60"/>
    <w:rsid w:val="00F124C1"/>
    <w:rsid w:val="00F15470"/>
    <w:rsid w:val="00F174C7"/>
    <w:rsid w:val="00F22F47"/>
    <w:rsid w:val="00F258E6"/>
    <w:rsid w:val="00F4259D"/>
    <w:rsid w:val="00F444A4"/>
    <w:rsid w:val="00F444E1"/>
    <w:rsid w:val="00F44785"/>
    <w:rsid w:val="00F56A1D"/>
    <w:rsid w:val="00F57429"/>
    <w:rsid w:val="00F60B80"/>
    <w:rsid w:val="00F61F1A"/>
    <w:rsid w:val="00F67A8C"/>
    <w:rsid w:val="00F70346"/>
    <w:rsid w:val="00F715CB"/>
    <w:rsid w:val="00F76D5D"/>
    <w:rsid w:val="00F815D8"/>
    <w:rsid w:val="00F864D3"/>
    <w:rsid w:val="00F90FEA"/>
    <w:rsid w:val="00F9140A"/>
    <w:rsid w:val="00F92062"/>
    <w:rsid w:val="00F929DD"/>
    <w:rsid w:val="00F92DF0"/>
    <w:rsid w:val="00F94484"/>
    <w:rsid w:val="00F96FF5"/>
    <w:rsid w:val="00FA1B66"/>
    <w:rsid w:val="00FA6D0E"/>
    <w:rsid w:val="00FA72EF"/>
    <w:rsid w:val="00FB749C"/>
    <w:rsid w:val="00FC01C1"/>
    <w:rsid w:val="00FC3639"/>
    <w:rsid w:val="00FC4AA6"/>
    <w:rsid w:val="00FC6C2F"/>
    <w:rsid w:val="00FD02D8"/>
    <w:rsid w:val="00FD1256"/>
    <w:rsid w:val="00FD5DB6"/>
    <w:rsid w:val="00FD72C4"/>
    <w:rsid w:val="00FE1D1F"/>
    <w:rsid w:val="00FE64A4"/>
    <w:rsid w:val="00FE67A0"/>
    <w:rsid w:val="00FE683C"/>
    <w:rsid w:val="00FF18D0"/>
  </w:rsids>
  <m:mathPr>
    <m:mathFont m:val="Cambria Math"/>
    <m:brkBin m:val="before"/>
    <m:brkBinSub m:val="--"/>
    <m:smallFrac m:val="0"/>
    <m:dispDef/>
    <m:lMargin m:val="0"/>
    <m:rMargin m:val="0"/>
    <m:defJc m:val="centerGroup"/>
    <m:wrapIndent m:val="1440"/>
    <m:intLim m:val="subSup"/>
    <m:naryLim m:val="undOvr"/>
  </m:mathPr>
  <w:themeFontLang w:val="et-E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E9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575783"/>
    <w:rPr>
      <w:rFonts w:ascii="Times New Roman" w:eastAsia="Times New Roman" w:hAnsi="Times New Roman"/>
      <w:sz w:val="24"/>
      <w:szCs w:val="24"/>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Titrearticle">
    <w:name w:val="Titre article"/>
    <w:basedOn w:val="Normaallaad"/>
    <w:next w:val="Normaallaad"/>
    <w:uiPriority w:val="99"/>
    <w:rsid w:val="00575783"/>
    <w:pPr>
      <w:keepNext/>
      <w:spacing w:before="360" w:after="120" w:line="360" w:lineRule="auto"/>
      <w:jc w:val="center"/>
    </w:pPr>
    <w:rPr>
      <w:i/>
      <w:szCs w:val="20"/>
      <w:lang w:val="en-GB" w:eastAsia="zh-CN"/>
    </w:rPr>
  </w:style>
  <w:style w:type="character" w:styleId="Kommentaariviide">
    <w:name w:val="annotation reference"/>
    <w:basedOn w:val="Liguvaikefont"/>
    <w:uiPriority w:val="99"/>
    <w:rsid w:val="00575783"/>
    <w:rPr>
      <w:rFonts w:cs="Times New Roman"/>
      <w:sz w:val="16"/>
      <w:szCs w:val="16"/>
    </w:rPr>
  </w:style>
  <w:style w:type="paragraph" w:styleId="Kommentaaritekst">
    <w:name w:val="annotation text"/>
    <w:basedOn w:val="Normaallaad"/>
    <w:link w:val="KommentaaritekstMrk"/>
    <w:uiPriority w:val="99"/>
    <w:rsid w:val="00575783"/>
    <w:rPr>
      <w:sz w:val="20"/>
      <w:szCs w:val="20"/>
    </w:rPr>
  </w:style>
  <w:style w:type="character" w:customStyle="1" w:styleId="KommentaaritekstMrk">
    <w:name w:val="Kommentaari tekst Märk"/>
    <w:basedOn w:val="Liguvaikefont"/>
    <w:link w:val="Kommentaaritekst"/>
    <w:uiPriority w:val="99"/>
    <w:locked/>
    <w:rsid w:val="00575783"/>
    <w:rPr>
      <w:rFonts w:ascii="Times New Roman" w:hAnsi="Times New Roman" w:cs="Times New Roman"/>
      <w:sz w:val="20"/>
      <w:szCs w:val="20"/>
    </w:rPr>
  </w:style>
  <w:style w:type="paragraph" w:styleId="Jutumullitekst">
    <w:name w:val="Balloon Text"/>
    <w:basedOn w:val="Normaallaad"/>
    <w:link w:val="JutumullitekstMrk"/>
    <w:uiPriority w:val="99"/>
    <w:semiHidden/>
    <w:rsid w:val="00575783"/>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575783"/>
    <w:rPr>
      <w:rFonts w:ascii="Tahoma" w:hAnsi="Tahoma" w:cs="Tahoma"/>
      <w:sz w:val="16"/>
      <w:szCs w:val="16"/>
    </w:rPr>
  </w:style>
  <w:style w:type="paragraph" w:styleId="Pis">
    <w:name w:val="header"/>
    <w:basedOn w:val="Normaallaad"/>
    <w:link w:val="PisMrk"/>
    <w:uiPriority w:val="99"/>
    <w:rsid w:val="00575783"/>
    <w:pPr>
      <w:tabs>
        <w:tab w:val="center" w:pos="4513"/>
        <w:tab w:val="right" w:pos="9026"/>
      </w:tabs>
    </w:pPr>
  </w:style>
  <w:style w:type="character" w:customStyle="1" w:styleId="PisMrk">
    <w:name w:val="Päis Märk"/>
    <w:basedOn w:val="Liguvaikefont"/>
    <w:link w:val="Pis"/>
    <w:uiPriority w:val="99"/>
    <w:locked/>
    <w:rsid w:val="00575783"/>
    <w:rPr>
      <w:rFonts w:ascii="Times New Roman" w:hAnsi="Times New Roman" w:cs="Times New Roman"/>
      <w:sz w:val="24"/>
      <w:szCs w:val="24"/>
    </w:rPr>
  </w:style>
  <w:style w:type="paragraph" w:styleId="Jalus">
    <w:name w:val="footer"/>
    <w:basedOn w:val="Normaallaad"/>
    <w:link w:val="JalusMrk"/>
    <w:uiPriority w:val="99"/>
    <w:semiHidden/>
    <w:rsid w:val="00575783"/>
    <w:pPr>
      <w:tabs>
        <w:tab w:val="center" w:pos="4513"/>
        <w:tab w:val="right" w:pos="9026"/>
      </w:tabs>
    </w:pPr>
  </w:style>
  <w:style w:type="character" w:customStyle="1" w:styleId="JalusMrk">
    <w:name w:val="Jalus Märk"/>
    <w:basedOn w:val="Liguvaikefont"/>
    <w:link w:val="Jalus"/>
    <w:uiPriority w:val="99"/>
    <w:semiHidden/>
    <w:locked/>
    <w:rsid w:val="00575783"/>
    <w:rPr>
      <w:rFonts w:ascii="Times New Roman" w:hAnsi="Times New Roman" w:cs="Times New Roman"/>
      <w:sz w:val="24"/>
      <w:szCs w:val="24"/>
    </w:rPr>
  </w:style>
  <w:style w:type="paragraph" w:styleId="Loendilik">
    <w:name w:val="List Paragraph"/>
    <w:basedOn w:val="Normaallaad"/>
    <w:uiPriority w:val="99"/>
    <w:qFormat/>
    <w:rsid w:val="000B3183"/>
    <w:pPr>
      <w:ind w:left="720"/>
      <w:contextualSpacing/>
    </w:pPr>
  </w:style>
  <w:style w:type="paragraph" w:styleId="Lpumrkusetekst">
    <w:name w:val="endnote text"/>
    <w:basedOn w:val="Normaallaad"/>
    <w:link w:val="LpumrkusetekstMrk"/>
    <w:uiPriority w:val="99"/>
    <w:rsid w:val="00B00913"/>
    <w:rPr>
      <w:sz w:val="20"/>
      <w:szCs w:val="20"/>
    </w:rPr>
  </w:style>
  <w:style w:type="character" w:customStyle="1" w:styleId="LpumrkusetekstMrk">
    <w:name w:val="Lõpumärkuse tekst Märk"/>
    <w:basedOn w:val="Liguvaikefont"/>
    <w:link w:val="Lpumrkusetekst"/>
    <w:uiPriority w:val="99"/>
    <w:locked/>
    <w:rsid w:val="00B00913"/>
    <w:rPr>
      <w:rFonts w:ascii="Times New Roman" w:hAnsi="Times New Roman" w:cs="Times New Roman"/>
      <w:sz w:val="20"/>
      <w:szCs w:val="20"/>
    </w:rPr>
  </w:style>
  <w:style w:type="character" w:styleId="Lpumrkuseviide">
    <w:name w:val="endnote reference"/>
    <w:basedOn w:val="Liguvaikefont"/>
    <w:uiPriority w:val="99"/>
    <w:semiHidden/>
    <w:rsid w:val="00B00913"/>
    <w:rPr>
      <w:rFonts w:cs="Times New Roman"/>
      <w:vertAlign w:val="superscript"/>
    </w:rPr>
  </w:style>
  <w:style w:type="paragraph" w:styleId="Allmrkusetekst">
    <w:name w:val="footnote text"/>
    <w:basedOn w:val="Normaallaad"/>
    <w:link w:val="AllmrkusetekstMrk"/>
    <w:uiPriority w:val="99"/>
    <w:semiHidden/>
    <w:rsid w:val="00B00913"/>
    <w:rPr>
      <w:sz w:val="20"/>
      <w:szCs w:val="20"/>
    </w:rPr>
  </w:style>
  <w:style w:type="character" w:customStyle="1" w:styleId="AllmrkusetekstMrk">
    <w:name w:val="Allmärkuse tekst Märk"/>
    <w:basedOn w:val="Liguvaikefont"/>
    <w:link w:val="Allmrkusetekst"/>
    <w:uiPriority w:val="99"/>
    <w:semiHidden/>
    <w:locked/>
    <w:rsid w:val="00B00913"/>
    <w:rPr>
      <w:rFonts w:ascii="Times New Roman" w:hAnsi="Times New Roman" w:cs="Times New Roman"/>
      <w:sz w:val="20"/>
      <w:szCs w:val="20"/>
    </w:rPr>
  </w:style>
  <w:style w:type="character" w:styleId="Allmrkuseviide">
    <w:name w:val="footnote reference"/>
    <w:basedOn w:val="Liguvaikefont"/>
    <w:uiPriority w:val="99"/>
    <w:semiHidden/>
    <w:rsid w:val="00B00913"/>
    <w:rPr>
      <w:rFonts w:cs="Times New Roman"/>
      <w:vertAlign w:val="superscript"/>
    </w:rPr>
  </w:style>
  <w:style w:type="paragraph" w:customStyle="1" w:styleId="Default">
    <w:name w:val="Default"/>
    <w:uiPriority w:val="99"/>
    <w:rsid w:val="00E8612A"/>
    <w:pPr>
      <w:autoSpaceDE w:val="0"/>
      <w:autoSpaceDN w:val="0"/>
      <w:adjustRightInd w:val="0"/>
    </w:pPr>
    <w:rPr>
      <w:rFonts w:ascii="Times New Roman" w:hAnsi="Times New Roman"/>
      <w:color w:val="000000"/>
      <w:sz w:val="24"/>
      <w:szCs w:val="24"/>
      <w:lang w:val="et-EE"/>
    </w:rPr>
  </w:style>
  <w:style w:type="paragraph" w:styleId="Kommentaariteema">
    <w:name w:val="annotation subject"/>
    <w:basedOn w:val="Kommentaaritekst"/>
    <w:next w:val="Kommentaaritekst"/>
    <w:link w:val="KommentaariteemaMrk"/>
    <w:uiPriority w:val="99"/>
    <w:semiHidden/>
    <w:rsid w:val="00494014"/>
    <w:rPr>
      <w:b/>
      <w:bCs/>
    </w:rPr>
  </w:style>
  <w:style w:type="character" w:customStyle="1" w:styleId="KommentaariteemaMrk">
    <w:name w:val="Kommentaari teema Märk"/>
    <w:basedOn w:val="KommentaaritekstMrk"/>
    <w:link w:val="Kommentaariteema"/>
    <w:uiPriority w:val="99"/>
    <w:semiHidden/>
    <w:locked/>
    <w:rsid w:val="00494014"/>
    <w:rPr>
      <w:rFonts w:ascii="Times New Roman" w:hAnsi="Times New Roman" w:cs="Times New Roman"/>
      <w:b/>
      <w:bCs/>
      <w:sz w:val="20"/>
      <w:szCs w:val="20"/>
    </w:rPr>
  </w:style>
  <w:style w:type="paragraph" w:styleId="Redaktsioon">
    <w:name w:val="Revision"/>
    <w:hidden/>
    <w:uiPriority w:val="99"/>
    <w:semiHidden/>
    <w:rsid w:val="00C7215F"/>
    <w:rPr>
      <w:rFonts w:ascii="Times New Roman" w:eastAsia="Times New Roman" w:hAnsi="Times New Roman"/>
      <w:sz w:val="24"/>
      <w:szCs w:val="24"/>
      <w:lang w:val="et-EE"/>
    </w:rPr>
  </w:style>
  <w:style w:type="paragraph" w:customStyle="1" w:styleId="WfPopupBlank">
    <w:name w:val="WfPopupBlank"/>
    <w:basedOn w:val="Normaallaad"/>
    <w:rsid w:val="006151E6"/>
    <w:pPr>
      <w:pBdr>
        <w:top w:val="inset" w:sz="2" w:space="0" w:color="FFFFF5"/>
        <w:left w:val="inset" w:sz="2" w:space="0" w:color="FFFFF5"/>
        <w:bottom w:val="inset" w:sz="2" w:space="0" w:color="FFFFF5"/>
        <w:right w:val="inset" w:sz="2" w:space="0" w:color="FFFFF5"/>
      </w:pBdr>
      <w:shd w:val="clear" w:color="auto" w:fill="FFFFFF"/>
      <w:spacing w:after="20" w:line="160" w:lineRule="exact"/>
      <w:ind w:left="4700" w:right="3640"/>
    </w:pPr>
    <w:rPr>
      <w:rFonts w:ascii="Lucida Sans Unicode" w:hAnsi="Lucida Sans Unicode" w:cs="Lucida Sans Unicode"/>
      <w:noProof/>
      <w:color w:val="FFFFFF"/>
      <w:sz w:val="16"/>
      <w:lang w:eastAsia="zh-CN"/>
    </w:rPr>
  </w:style>
  <w:style w:type="paragraph" w:customStyle="1" w:styleId="WfPopupFill">
    <w:name w:val="WfPopupFill"/>
    <w:basedOn w:val="WfPopupBlank"/>
    <w:rsid w:val="0048185A"/>
    <w:pPr>
      <w:pBdr>
        <w:top w:val="inset" w:sz="2" w:space="0" w:color="FDFDFD"/>
        <w:left w:val="inset" w:sz="2" w:space="0" w:color="FDFDFD"/>
        <w:bottom w:val="inset" w:sz="2" w:space="0" w:color="FDFDFD"/>
        <w:right w:val="inset" w:sz="2" w:space="0" w:color="FDFDFD"/>
      </w:pBd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575783"/>
    <w:rPr>
      <w:rFonts w:ascii="Times New Roman" w:eastAsia="Times New Roman" w:hAnsi="Times New Roman"/>
      <w:sz w:val="24"/>
      <w:szCs w:val="24"/>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Titrearticle">
    <w:name w:val="Titre article"/>
    <w:basedOn w:val="Normaallaad"/>
    <w:next w:val="Normaallaad"/>
    <w:uiPriority w:val="99"/>
    <w:rsid w:val="00575783"/>
    <w:pPr>
      <w:keepNext/>
      <w:spacing w:before="360" w:after="120" w:line="360" w:lineRule="auto"/>
      <w:jc w:val="center"/>
    </w:pPr>
    <w:rPr>
      <w:i/>
      <w:szCs w:val="20"/>
      <w:lang w:val="en-GB" w:eastAsia="zh-CN"/>
    </w:rPr>
  </w:style>
  <w:style w:type="character" w:styleId="Kommentaariviide">
    <w:name w:val="annotation reference"/>
    <w:basedOn w:val="Liguvaikefont"/>
    <w:uiPriority w:val="99"/>
    <w:rsid w:val="00575783"/>
    <w:rPr>
      <w:rFonts w:cs="Times New Roman"/>
      <w:sz w:val="16"/>
      <w:szCs w:val="16"/>
    </w:rPr>
  </w:style>
  <w:style w:type="paragraph" w:styleId="Kommentaaritekst">
    <w:name w:val="annotation text"/>
    <w:basedOn w:val="Normaallaad"/>
    <w:link w:val="KommentaaritekstMrk"/>
    <w:uiPriority w:val="99"/>
    <w:rsid w:val="00575783"/>
    <w:rPr>
      <w:sz w:val="20"/>
      <w:szCs w:val="20"/>
    </w:rPr>
  </w:style>
  <w:style w:type="character" w:customStyle="1" w:styleId="KommentaaritekstMrk">
    <w:name w:val="Kommentaari tekst Märk"/>
    <w:basedOn w:val="Liguvaikefont"/>
    <w:link w:val="Kommentaaritekst"/>
    <w:uiPriority w:val="99"/>
    <w:locked/>
    <w:rsid w:val="00575783"/>
    <w:rPr>
      <w:rFonts w:ascii="Times New Roman" w:hAnsi="Times New Roman" w:cs="Times New Roman"/>
      <w:sz w:val="20"/>
      <w:szCs w:val="20"/>
    </w:rPr>
  </w:style>
  <w:style w:type="paragraph" w:styleId="Jutumullitekst">
    <w:name w:val="Balloon Text"/>
    <w:basedOn w:val="Normaallaad"/>
    <w:link w:val="JutumullitekstMrk"/>
    <w:uiPriority w:val="99"/>
    <w:semiHidden/>
    <w:rsid w:val="00575783"/>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575783"/>
    <w:rPr>
      <w:rFonts w:ascii="Tahoma" w:hAnsi="Tahoma" w:cs="Tahoma"/>
      <w:sz w:val="16"/>
      <w:szCs w:val="16"/>
    </w:rPr>
  </w:style>
  <w:style w:type="paragraph" w:styleId="Pis">
    <w:name w:val="header"/>
    <w:basedOn w:val="Normaallaad"/>
    <w:link w:val="PisMrk"/>
    <w:uiPriority w:val="99"/>
    <w:rsid w:val="00575783"/>
    <w:pPr>
      <w:tabs>
        <w:tab w:val="center" w:pos="4513"/>
        <w:tab w:val="right" w:pos="9026"/>
      </w:tabs>
    </w:pPr>
  </w:style>
  <w:style w:type="character" w:customStyle="1" w:styleId="PisMrk">
    <w:name w:val="Päis Märk"/>
    <w:basedOn w:val="Liguvaikefont"/>
    <w:link w:val="Pis"/>
    <w:uiPriority w:val="99"/>
    <w:locked/>
    <w:rsid w:val="00575783"/>
    <w:rPr>
      <w:rFonts w:ascii="Times New Roman" w:hAnsi="Times New Roman" w:cs="Times New Roman"/>
      <w:sz w:val="24"/>
      <w:szCs w:val="24"/>
    </w:rPr>
  </w:style>
  <w:style w:type="paragraph" w:styleId="Jalus">
    <w:name w:val="footer"/>
    <w:basedOn w:val="Normaallaad"/>
    <w:link w:val="JalusMrk"/>
    <w:uiPriority w:val="99"/>
    <w:semiHidden/>
    <w:rsid w:val="00575783"/>
    <w:pPr>
      <w:tabs>
        <w:tab w:val="center" w:pos="4513"/>
        <w:tab w:val="right" w:pos="9026"/>
      </w:tabs>
    </w:pPr>
  </w:style>
  <w:style w:type="character" w:customStyle="1" w:styleId="JalusMrk">
    <w:name w:val="Jalus Märk"/>
    <w:basedOn w:val="Liguvaikefont"/>
    <w:link w:val="Jalus"/>
    <w:uiPriority w:val="99"/>
    <w:semiHidden/>
    <w:locked/>
    <w:rsid w:val="00575783"/>
    <w:rPr>
      <w:rFonts w:ascii="Times New Roman" w:hAnsi="Times New Roman" w:cs="Times New Roman"/>
      <w:sz w:val="24"/>
      <w:szCs w:val="24"/>
    </w:rPr>
  </w:style>
  <w:style w:type="paragraph" w:styleId="Loendilik">
    <w:name w:val="List Paragraph"/>
    <w:basedOn w:val="Normaallaad"/>
    <w:uiPriority w:val="99"/>
    <w:qFormat/>
    <w:rsid w:val="000B3183"/>
    <w:pPr>
      <w:ind w:left="720"/>
      <w:contextualSpacing/>
    </w:pPr>
  </w:style>
  <w:style w:type="paragraph" w:styleId="Lpumrkusetekst">
    <w:name w:val="endnote text"/>
    <w:basedOn w:val="Normaallaad"/>
    <w:link w:val="LpumrkusetekstMrk"/>
    <w:uiPriority w:val="99"/>
    <w:rsid w:val="00B00913"/>
    <w:rPr>
      <w:sz w:val="20"/>
      <w:szCs w:val="20"/>
    </w:rPr>
  </w:style>
  <w:style w:type="character" w:customStyle="1" w:styleId="LpumrkusetekstMrk">
    <w:name w:val="Lõpumärkuse tekst Märk"/>
    <w:basedOn w:val="Liguvaikefont"/>
    <w:link w:val="Lpumrkusetekst"/>
    <w:uiPriority w:val="99"/>
    <w:locked/>
    <w:rsid w:val="00B00913"/>
    <w:rPr>
      <w:rFonts w:ascii="Times New Roman" w:hAnsi="Times New Roman" w:cs="Times New Roman"/>
      <w:sz w:val="20"/>
      <w:szCs w:val="20"/>
    </w:rPr>
  </w:style>
  <w:style w:type="character" w:styleId="Lpumrkuseviide">
    <w:name w:val="endnote reference"/>
    <w:basedOn w:val="Liguvaikefont"/>
    <w:uiPriority w:val="99"/>
    <w:semiHidden/>
    <w:rsid w:val="00B00913"/>
    <w:rPr>
      <w:rFonts w:cs="Times New Roman"/>
      <w:vertAlign w:val="superscript"/>
    </w:rPr>
  </w:style>
  <w:style w:type="paragraph" w:styleId="Allmrkusetekst">
    <w:name w:val="footnote text"/>
    <w:basedOn w:val="Normaallaad"/>
    <w:link w:val="AllmrkusetekstMrk"/>
    <w:uiPriority w:val="99"/>
    <w:semiHidden/>
    <w:rsid w:val="00B00913"/>
    <w:rPr>
      <w:sz w:val="20"/>
      <w:szCs w:val="20"/>
    </w:rPr>
  </w:style>
  <w:style w:type="character" w:customStyle="1" w:styleId="AllmrkusetekstMrk">
    <w:name w:val="Allmärkuse tekst Märk"/>
    <w:basedOn w:val="Liguvaikefont"/>
    <w:link w:val="Allmrkusetekst"/>
    <w:uiPriority w:val="99"/>
    <w:semiHidden/>
    <w:locked/>
    <w:rsid w:val="00B00913"/>
    <w:rPr>
      <w:rFonts w:ascii="Times New Roman" w:hAnsi="Times New Roman" w:cs="Times New Roman"/>
      <w:sz w:val="20"/>
      <w:szCs w:val="20"/>
    </w:rPr>
  </w:style>
  <w:style w:type="character" w:styleId="Allmrkuseviide">
    <w:name w:val="footnote reference"/>
    <w:basedOn w:val="Liguvaikefont"/>
    <w:uiPriority w:val="99"/>
    <w:semiHidden/>
    <w:rsid w:val="00B00913"/>
    <w:rPr>
      <w:rFonts w:cs="Times New Roman"/>
      <w:vertAlign w:val="superscript"/>
    </w:rPr>
  </w:style>
  <w:style w:type="paragraph" w:customStyle="1" w:styleId="Default">
    <w:name w:val="Default"/>
    <w:uiPriority w:val="99"/>
    <w:rsid w:val="00E8612A"/>
    <w:pPr>
      <w:autoSpaceDE w:val="0"/>
      <w:autoSpaceDN w:val="0"/>
      <w:adjustRightInd w:val="0"/>
    </w:pPr>
    <w:rPr>
      <w:rFonts w:ascii="Times New Roman" w:hAnsi="Times New Roman"/>
      <w:color w:val="000000"/>
      <w:sz w:val="24"/>
      <w:szCs w:val="24"/>
      <w:lang w:val="et-EE"/>
    </w:rPr>
  </w:style>
  <w:style w:type="paragraph" w:styleId="Kommentaariteema">
    <w:name w:val="annotation subject"/>
    <w:basedOn w:val="Kommentaaritekst"/>
    <w:next w:val="Kommentaaritekst"/>
    <w:link w:val="KommentaariteemaMrk"/>
    <w:uiPriority w:val="99"/>
    <w:semiHidden/>
    <w:rsid w:val="00494014"/>
    <w:rPr>
      <w:b/>
      <w:bCs/>
    </w:rPr>
  </w:style>
  <w:style w:type="character" w:customStyle="1" w:styleId="KommentaariteemaMrk">
    <w:name w:val="Kommentaari teema Märk"/>
    <w:basedOn w:val="KommentaaritekstMrk"/>
    <w:link w:val="Kommentaariteema"/>
    <w:uiPriority w:val="99"/>
    <w:semiHidden/>
    <w:locked/>
    <w:rsid w:val="00494014"/>
    <w:rPr>
      <w:rFonts w:ascii="Times New Roman" w:hAnsi="Times New Roman" w:cs="Times New Roman"/>
      <w:b/>
      <w:bCs/>
      <w:sz w:val="20"/>
      <w:szCs w:val="20"/>
    </w:rPr>
  </w:style>
  <w:style w:type="paragraph" w:styleId="Redaktsioon">
    <w:name w:val="Revision"/>
    <w:hidden/>
    <w:uiPriority w:val="99"/>
    <w:semiHidden/>
    <w:rsid w:val="00C7215F"/>
    <w:rPr>
      <w:rFonts w:ascii="Times New Roman" w:eastAsia="Times New Roman" w:hAnsi="Times New Roman"/>
      <w:sz w:val="24"/>
      <w:szCs w:val="24"/>
      <w:lang w:val="et-EE"/>
    </w:rPr>
  </w:style>
  <w:style w:type="paragraph" w:customStyle="1" w:styleId="WfPopupBlank">
    <w:name w:val="WfPopupBlank"/>
    <w:basedOn w:val="Normaallaad"/>
    <w:rsid w:val="006151E6"/>
    <w:pPr>
      <w:pBdr>
        <w:top w:val="inset" w:sz="2" w:space="0" w:color="FFFFF5"/>
        <w:left w:val="inset" w:sz="2" w:space="0" w:color="FFFFF5"/>
        <w:bottom w:val="inset" w:sz="2" w:space="0" w:color="FFFFF5"/>
        <w:right w:val="inset" w:sz="2" w:space="0" w:color="FFFFF5"/>
      </w:pBdr>
      <w:shd w:val="clear" w:color="auto" w:fill="FFFFFF"/>
      <w:spacing w:after="20" w:line="160" w:lineRule="exact"/>
      <w:ind w:left="4700" w:right="3640"/>
    </w:pPr>
    <w:rPr>
      <w:rFonts w:ascii="Lucida Sans Unicode" w:hAnsi="Lucida Sans Unicode" w:cs="Lucida Sans Unicode"/>
      <w:noProof/>
      <w:color w:val="FFFFFF"/>
      <w:sz w:val="16"/>
      <w:lang w:eastAsia="zh-CN"/>
    </w:rPr>
  </w:style>
  <w:style w:type="paragraph" w:customStyle="1" w:styleId="WfPopupFill">
    <w:name w:val="WfPopupFill"/>
    <w:basedOn w:val="WfPopupBlank"/>
    <w:rsid w:val="0048185A"/>
    <w:pPr>
      <w:pBdr>
        <w:top w:val="inset" w:sz="2" w:space="0" w:color="FDFDFD"/>
        <w:left w:val="inset" w:sz="2" w:space="0" w:color="FDFDFD"/>
        <w:bottom w:val="inset" w:sz="2" w:space="0" w:color="FDFDFD"/>
        <w:right w:val="inset" w:sz="2" w:space="0" w:color="FDFDFD"/>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2162</Words>
  <Characters>12326</Characters>
  <Application>Microsoft Office Word</Application>
  <DocSecurity>0</DocSecurity>
  <Lines>102</Lines>
  <Paragraphs>28</Paragraphs>
  <ScaleCrop>false</ScaleCrop>
  <HeadingPairs>
    <vt:vector size="2" baseType="variant">
      <vt:variant>
        <vt:lpstr>Tiitel</vt:lpstr>
      </vt:variant>
      <vt:variant>
        <vt:i4>1</vt:i4>
      </vt:variant>
    </vt:vector>
  </HeadingPairs>
  <TitlesOfParts>
    <vt:vector size="1" baseType="lpstr">
      <vt:lpstr>Stressitestimine</vt:lpstr>
    </vt:vector>
  </TitlesOfParts>
  <Company>FI</Company>
  <LinksUpToDate>false</LinksUpToDate>
  <CharactersWithSpaces>14460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Stressitestimine</dc:title>
  <dc:subject>FI soovituslik juhend</dc:subject>
  <dc:creator>A&amp;A Lingua OÜ</dc:creator>
  <cp:lastModifiedBy>Malle Aleksius</cp:lastModifiedBy>
  <cp:revision>2</cp:revision>
  <cp:lastPrinted>2010-12-20T07:01:00Z</cp:lastPrinted>
  <dcterms:created xsi:type="dcterms:W3CDTF">2013-01-16T08:33:00Z</dcterms:created>
  <dcterms:modified xsi:type="dcterms:W3CDTF">2013-01-16T08:33:00Z</dcterms:modified>
</cp:coreProperties>
</file>