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2EFA8" w14:textId="77777777" w:rsidR="00F562D6" w:rsidRPr="00CC2AEA" w:rsidRDefault="00F562D6" w:rsidP="00F562D6">
      <w:pPr>
        <w:pStyle w:val="Heading1"/>
      </w:pPr>
      <w:bookmarkStart w:id="0" w:name="_Toc486316604"/>
      <w:bookmarkStart w:id="1" w:name="_Toc491959816"/>
      <w:bookmarkStart w:id="2" w:name="_Toc489890510"/>
      <w:r>
        <w:rPr>
          <w:bCs/>
        </w:rPr>
        <w:t>Kokkuvõte</w:t>
      </w:r>
      <w:bookmarkEnd w:id="0"/>
      <w:bookmarkEnd w:id="1"/>
      <w:bookmarkEnd w:id="2"/>
    </w:p>
    <w:p w14:paraId="08B0D54E" w14:textId="77777777" w:rsidR="00F562D6" w:rsidRPr="00D6671D" w:rsidRDefault="002C4434" w:rsidP="00F562D6">
      <w:pPr>
        <w:pStyle w:val="Paragraph"/>
        <w:rPr>
          <w:sz w:val="16"/>
          <w:lang w:val="fi-FI"/>
        </w:rPr>
      </w:pPr>
      <w:r w:rsidRPr="00D6671D">
        <w:rPr>
          <w:sz w:val="16"/>
          <w:lang w:val="fi-FI"/>
        </w:rPr>
        <w:t xml:space="preserve">Käesolev kokkuvõte hõlmab prospektimääruse XXII lisa („Avalikustamisnõuded </w:t>
      </w:r>
      <w:proofErr w:type="gramStart"/>
      <w:r w:rsidRPr="00D6671D">
        <w:rPr>
          <w:sz w:val="16"/>
          <w:lang w:val="fi-FI"/>
        </w:rPr>
        <w:t>kokkuvõtetes“</w:t>
      </w:r>
      <w:proofErr w:type="gramEnd"/>
      <w:r w:rsidRPr="00D6671D">
        <w:rPr>
          <w:sz w:val="16"/>
          <w:lang w:val="fi-FI"/>
        </w:rPr>
        <w:t xml:space="preserve">) kohaseid elemente, mille suhtes kehtib avalikustamise nõue. Need elemendid on nummerdatult (A.1 – E.7) esitatud allpool jagudes A – E. Kokkuvõte hõlmab kõiki elemente, mis peavad sisalduma antud liiki väärtpaberit ja emitenti käsitlevas kokkuvõttes. Kuna mõne elemendi käsitlemine ei ole kohustuslik, võib elementide nummerduses olla lünki. Isegi juhul, kui kokkuvõte peab väärtpaberi ja emitendi liigi tõttu sisaldama teatud elementi, ei tarvitse kõnealust elementi puudutavat teavet olla võimalik anda. Sellisel juhul on kokkuvõttes esitatud elemendi lühikirjeldus ja lisatud märkus „ei ole </w:t>
      </w:r>
      <w:proofErr w:type="gramStart"/>
      <w:r w:rsidRPr="00D6671D">
        <w:rPr>
          <w:sz w:val="16"/>
          <w:lang w:val="fi-FI"/>
        </w:rPr>
        <w:t>kohaldatav“</w:t>
      </w:r>
      <w:proofErr w:type="gramEnd"/>
      <w:r w:rsidRPr="00D6671D">
        <w:rPr>
          <w:sz w:val="16"/>
          <w:lang w:val="fi-FI"/>
        </w:rPr>
        <w:t>.</w:t>
      </w:r>
    </w:p>
    <w:tbl>
      <w:tblPr>
        <w:tblW w:w="975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14"/>
        <w:gridCol w:w="1554"/>
        <w:gridCol w:w="7484"/>
      </w:tblGrid>
      <w:tr w:rsidR="00F562D6" w:rsidRPr="006E4666" w14:paraId="69759896" w14:textId="77777777" w:rsidTr="002B0EAB">
        <w:tc>
          <w:tcPr>
            <w:tcW w:w="9752" w:type="dxa"/>
            <w:gridSpan w:val="3"/>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C8501E"/>
          </w:tcPr>
          <w:p w14:paraId="02F3B994" w14:textId="77777777" w:rsidR="00F562D6" w:rsidRPr="00D6671D" w:rsidRDefault="00F562D6" w:rsidP="002B0EAB">
            <w:pPr>
              <w:tabs>
                <w:tab w:val="left" w:pos="0"/>
              </w:tabs>
              <w:jc w:val="center"/>
              <w:rPr>
                <w:rFonts w:ascii="Arial" w:hAnsi="Arial" w:cs="Arial"/>
                <w:b/>
                <w:color w:val="FFFFFF" w:themeColor="background1"/>
                <w:lang w:val="fi-FI"/>
              </w:rPr>
            </w:pPr>
          </w:p>
          <w:p w14:paraId="5B2304A2" w14:textId="77777777" w:rsidR="00F562D6" w:rsidRPr="00D6671D" w:rsidRDefault="00F562D6" w:rsidP="002B0EAB">
            <w:pPr>
              <w:tabs>
                <w:tab w:val="left" w:pos="0"/>
              </w:tabs>
              <w:jc w:val="center"/>
              <w:rPr>
                <w:rFonts w:ascii="Arial" w:hAnsi="Arial" w:cs="Arial"/>
                <w:b/>
                <w:bCs/>
                <w:color w:val="FFFFFF" w:themeColor="background1"/>
                <w:lang w:val="fi-FI"/>
              </w:rPr>
            </w:pPr>
            <w:r w:rsidRPr="00D6671D">
              <w:rPr>
                <w:rFonts w:ascii="Arial" w:hAnsi="Arial" w:cs="Arial"/>
                <w:b/>
                <w:bCs/>
                <w:color w:val="FFFFFF" w:themeColor="background1"/>
                <w:lang w:val="fi-FI"/>
              </w:rPr>
              <w:t>A jagu — sissejuhatus ja hoiatused</w:t>
            </w:r>
          </w:p>
        </w:tc>
      </w:tr>
      <w:tr w:rsidR="00F562D6" w:rsidRPr="00CC2AEA" w14:paraId="5BF5D7A3" w14:textId="77777777" w:rsidTr="002B0EAB">
        <w:tc>
          <w:tcPr>
            <w:tcW w:w="714" w:type="dxa"/>
            <w:tcBorders>
              <w:left w:val="single" w:sz="4" w:space="0" w:color="BFBFBF" w:themeColor="background1" w:themeShade="BF"/>
            </w:tcBorders>
          </w:tcPr>
          <w:p w14:paraId="5F6BAC40" w14:textId="77777777" w:rsidR="00F562D6" w:rsidRPr="00CC2AEA" w:rsidRDefault="00F562D6" w:rsidP="002B0EAB">
            <w:pPr>
              <w:rPr>
                <w:rFonts w:ascii="Arial" w:hAnsi="Arial" w:cs="Arial"/>
                <w:i/>
                <w:iCs/>
                <w:sz w:val="16"/>
                <w:szCs w:val="16"/>
              </w:rPr>
            </w:pPr>
            <w:r>
              <w:rPr>
                <w:rFonts w:ascii="Arial" w:hAnsi="Arial" w:cs="Arial"/>
                <w:i/>
                <w:iCs/>
                <w:sz w:val="16"/>
                <w:szCs w:val="16"/>
              </w:rPr>
              <w:t>Ele-ment</w:t>
            </w:r>
          </w:p>
        </w:tc>
        <w:tc>
          <w:tcPr>
            <w:tcW w:w="1554" w:type="dxa"/>
          </w:tcPr>
          <w:p w14:paraId="40BBF375" w14:textId="77777777" w:rsidR="00F562D6" w:rsidRPr="00CC2AEA" w:rsidRDefault="00F562D6" w:rsidP="002B0EAB">
            <w:pPr>
              <w:rPr>
                <w:rFonts w:ascii="Arial" w:hAnsi="Arial" w:cs="Arial"/>
                <w:i/>
                <w:iCs/>
                <w:sz w:val="16"/>
                <w:szCs w:val="16"/>
              </w:rPr>
            </w:pPr>
            <w:r>
              <w:rPr>
                <w:rFonts w:ascii="Arial" w:hAnsi="Arial" w:cs="Arial"/>
                <w:i/>
                <w:iCs/>
                <w:sz w:val="16"/>
                <w:szCs w:val="16"/>
              </w:rPr>
              <w:t>Nimetus</w:t>
            </w:r>
          </w:p>
        </w:tc>
        <w:tc>
          <w:tcPr>
            <w:tcW w:w="7484" w:type="dxa"/>
            <w:tcBorders>
              <w:right w:val="single" w:sz="4" w:space="0" w:color="BFBFBF" w:themeColor="background1" w:themeShade="BF"/>
            </w:tcBorders>
          </w:tcPr>
          <w:p w14:paraId="0577B20A" w14:textId="77777777" w:rsidR="00F562D6" w:rsidRPr="00CC2AEA" w:rsidRDefault="00F562D6" w:rsidP="002B0EAB">
            <w:pPr>
              <w:rPr>
                <w:rFonts w:ascii="Arial" w:hAnsi="Arial" w:cs="Arial"/>
                <w:i/>
                <w:iCs/>
                <w:sz w:val="16"/>
                <w:szCs w:val="16"/>
              </w:rPr>
            </w:pPr>
            <w:r>
              <w:rPr>
                <w:rFonts w:ascii="Arial" w:hAnsi="Arial" w:cs="Arial"/>
                <w:i/>
                <w:iCs/>
                <w:sz w:val="16"/>
                <w:szCs w:val="16"/>
              </w:rPr>
              <w:t>Avaldatav teave</w:t>
            </w:r>
          </w:p>
        </w:tc>
      </w:tr>
      <w:tr w:rsidR="00F562D6" w:rsidRPr="00CC2AEA" w14:paraId="69FD877E" w14:textId="77777777" w:rsidTr="002B0EAB">
        <w:tc>
          <w:tcPr>
            <w:tcW w:w="714" w:type="dxa"/>
            <w:tcBorders>
              <w:left w:val="single" w:sz="4" w:space="0" w:color="BFBFBF" w:themeColor="background1" w:themeShade="BF"/>
            </w:tcBorders>
          </w:tcPr>
          <w:p w14:paraId="015E764A" w14:textId="77777777" w:rsidR="00F562D6" w:rsidRPr="00CC2AEA" w:rsidRDefault="00F562D6" w:rsidP="002B0EAB">
            <w:pPr>
              <w:rPr>
                <w:rFonts w:ascii="Arial" w:hAnsi="Arial" w:cs="Arial"/>
                <w:sz w:val="16"/>
                <w:szCs w:val="16"/>
              </w:rPr>
            </w:pPr>
            <w:r>
              <w:rPr>
                <w:rFonts w:ascii="Arial" w:hAnsi="Arial" w:cs="Arial"/>
                <w:sz w:val="16"/>
                <w:szCs w:val="16"/>
              </w:rPr>
              <w:t>A.1</w:t>
            </w:r>
          </w:p>
        </w:tc>
        <w:tc>
          <w:tcPr>
            <w:tcW w:w="1554" w:type="dxa"/>
          </w:tcPr>
          <w:p w14:paraId="1FECA1D8" w14:textId="77777777" w:rsidR="00F562D6" w:rsidRPr="00CC2AEA" w:rsidRDefault="00F562D6" w:rsidP="002B0EAB">
            <w:pPr>
              <w:rPr>
                <w:rFonts w:ascii="Arial" w:hAnsi="Arial" w:cs="Arial"/>
                <w:sz w:val="16"/>
                <w:szCs w:val="16"/>
              </w:rPr>
            </w:pPr>
            <w:r>
              <w:rPr>
                <w:rFonts w:ascii="Arial" w:hAnsi="Arial" w:cs="Arial"/>
                <w:sz w:val="16"/>
                <w:szCs w:val="16"/>
              </w:rPr>
              <w:t>Sissejuhatus ja hoiatused</w:t>
            </w:r>
          </w:p>
        </w:tc>
        <w:tc>
          <w:tcPr>
            <w:tcW w:w="7484" w:type="dxa"/>
            <w:tcBorders>
              <w:right w:val="single" w:sz="4" w:space="0" w:color="BFBFBF" w:themeColor="background1" w:themeShade="BF"/>
            </w:tcBorders>
          </w:tcPr>
          <w:p w14:paraId="54098E58" w14:textId="52F7CE30" w:rsidR="00F562D6" w:rsidRPr="00CC2AEA" w:rsidRDefault="00F562D6" w:rsidP="002B0EAB">
            <w:pPr>
              <w:jc w:val="both"/>
              <w:rPr>
                <w:rFonts w:ascii="Arial" w:hAnsi="Arial" w:cs="Arial"/>
                <w:sz w:val="16"/>
                <w:szCs w:val="16"/>
              </w:rPr>
            </w:pPr>
            <w:r>
              <w:rPr>
                <w:rFonts w:ascii="Arial" w:hAnsi="Arial"/>
                <w:sz w:val="16"/>
                <w:szCs w:val="16"/>
              </w:rPr>
              <w:t xml:space="preserve">Käesolev kokkuvõte ei ole Prospekt Äriühingu nõukogu otsuse alusel emiteeritava </w:t>
            </w:r>
            <w:r w:rsidRPr="00E22875">
              <w:rPr>
                <w:rFonts w:ascii="Arial" w:hAnsi="Arial"/>
                <w:sz w:val="16"/>
                <w:szCs w:val="16"/>
              </w:rPr>
              <w:t xml:space="preserve">kuni </w:t>
            </w:r>
            <w:r w:rsidR="0075272A" w:rsidRPr="00D6671D">
              <w:rPr>
                <w:rFonts w:ascii="Arial" w:hAnsi="Arial"/>
                <w:sz w:val="16"/>
                <w:szCs w:val="16"/>
              </w:rPr>
              <w:t>6</w:t>
            </w:r>
            <w:r w:rsidR="0083191C">
              <w:rPr>
                <w:rFonts w:ascii="Arial" w:hAnsi="Arial"/>
                <w:sz w:val="16"/>
                <w:szCs w:val="16"/>
              </w:rPr>
              <w:t> </w:t>
            </w:r>
            <w:r w:rsidR="0075272A" w:rsidRPr="00D6671D">
              <w:rPr>
                <w:rFonts w:ascii="Arial" w:hAnsi="Arial"/>
                <w:sz w:val="16"/>
                <w:szCs w:val="16"/>
              </w:rPr>
              <w:t>000</w:t>
            </w:r>
            <w:r w:rsidR="0083191C">
              <w:rPr>
                <w:rFonts w:ascii="Arial" w:hAnsi="Arial"/>
                <w:sz w:val="16"/>
                <w:szCs w:val="16"/>
              </w:rPr>
              <w:t> </w:t>
            </w:r>
            <w:r w:rsidR="0075272A" w:rsidRPr="00D6671D">
              <w:rPr>
                <w:rFonts w:ascii="Arial" w:hAnsi="Arial"/>
                <w:sz w:val="16"/>
                <w:szCs w:val="16"/>
              </w:rPr>
              <w:t>000</w:t>
            </w:r>
            <w:r w:rsidRPr="00E22875">
              <w:rPr>
                <w:rFonts w:ascii="Arial" w:hAnsi="Arial"/>
                <w:sz w:val="16"/>
                <w:szCs w:val="16"/>
              </w:rPr>
              <w:t xml:space="preserve"> Äriühingu aktsia (ISIN kood EE3100006040, edaspidi „</w:t>
            </w:r>
            <w:proofErr w:type="gramStart"/>
            <w:r w:rsidRPr="00E22875">
              <w:rPr>
                <w:rFonts w:ascii="Arial" w:hAnsi="Arial"/>
                <w:b/>
                <w:bCs/>
                <w:sz w:val="16"/>
                <w:szCs w:val="16"/>
              </w:rPr>
              <w:t>Aktsiad</w:t>
            </w:r>
            <w:r w:rsidRPr="00E22875">
              <w:rPr>
                <w:rFonts w:ascii="Arial" w:hAnsi="Arial"/>
                <w:sz w:val="16"/>
                <w:szCs w:val="16"/>
              </w:rPr>
              <w:t>“</w:t>
            </w:r>
            <w:proofErr w:type="gramEnd"/>
            <w:r w:rsidRPr="00E22875">
              <w:rPr>
                <w:rFonts w:ascii="Arial" w:hAnsi="Arial"/>
                <w:sz w:val="16"/>
                <w:szCs w:val="16"/>
              </w:rPr>
              <w:t>) avalikuks pakkumiseks (edaspidi</w:t>
            </w:r>
            <w:r>
              <w:rPr>
                <w:rFonts w:ascii="Arial" w:hAnsi="Arial"/>
                <w:sz w:val="16"/>
                <w:szCs w:val="16"/>
              </w:rPr>
              <w:t xml:space="preserve"> „</w:t>
            </w:r>
            <w:r>
              <w:rPr>
                <w:rFonts w:ascii="Arial" w:hAnsi="Arial"/>
                <w:b/>
                <w:bCs/>
                <w:sz w:val="16"/>
                <w:szCs w:val="16"/>
              </w:rPr>
              <w:t>Pakkumine</w:t>
            </w:r>
            <w:r>
              <w:rPr>
                <w:rFonts w:ascii="Arial" w:hAnsi="Arial"/>
                <w:sz w:val="16"/>
                <w:szCs w:val="16"/>
              </w:rPr>
              <w:t>“) ja Nasdaq Tallinn ASi korraldatava reguleeritud turu Nasdaq Tallinn lisanimekirjas kauplemisele võtmiseks (edaspidi „</w:t>
            </w:r>
            <w:r>
              <w:rPr>
                <w:rFonts w:ascii="Arial" w:hAnsi="Arial"/>
                <w:b/>
                <w:bCs/>
                <w:sz w:val="16"/>
                <w:szCs w:val="16"/>
              </w:rPr>
              <w:t>Aktsiate kauplemisele võtmine</w:t>
            </w:r>
            <w:r>
              <w:rPr>
                <w:rFonts w:ascii="Arial" w:hAnsi="Arial"/>
                <w:sz w:val="16"/>
                <w:szCs w:val="16"/>
              </w:rPr>
              <w:t>“) ning seda tuleks käsitleda üksnes Prospekti sissejuhatusena. Käesolev kokkuvõte sisaldab fakte ja asjaolusid, mida Äriühing peab oluliseks seoses oma äritegevusega, Pakkumisega ja Aktsiate kauplemisele võtmisega ning see kujutab endast ülevaadet teatavast informatsioonist, mis on Prospektis üksikasjalikumalt esitatud. Aktsiatesse investeerimise üle otsustamisel peaks iga investor lähtuma kogu Prospektist (kaasa arvatud selle võimalikest muudatustest või täiendustest), mitte ainult käesolevast kokkuvõttest.</w:t>
            </w:r>
          </w:p>
          <w:p w14:paraId="0DA6B820" w14:textId="77777777" w:rsidR="00F562D6" w:rsidRPr="00CC2AEA" w:rsidRDefault="00F562D6" w:rsidP="002B0EAB">
            <w:pPr>
              <w:jc w:val="both"/>
              <w:rPr>
                <w:rFonts w:ascii="Arial" w:hAnsi="Arial" w:cs="Arial"/>
                <w:sz w:val="16"/>
                <w:szCs w:val="16"/>
              </w:rPr>
            </w:pPr>
          </w:p>
          <w:p w14:paraId="4FF25FDE" w14:textId="77777777" w:rsidR="00F562D6" w:rsidRPr="00CC2AEA" w:rsidRDefault="00F562D6" w:rsidP="002B0EAB">
            <w:pPr>
              <w:jc w:val="both"/>
              <w:rPr>
                <w:rFonts w:ascii="Arial" w:hAnsi="Arial" w:cs="Arial"/>
                <w:sz w:val="16"/>
                <w:szCs w:val="16"/>
              </w:rPr>
            </w:pPr>
            <w:r>
              <w:rPr>
                <w:rFonts w:ascii="Arial" w:hAnsi="Arial" w:cs="Arial"/>
                <w:sz w:val="16"/>
                <w:szCs w:val="16"/>
              </w:rPr>
              <w:t>Tulevasi investoreid hoiatatakse, et kohtule Prospektis (või käesolevas kokkuvõttes) sisalduvat teavet puudutava nõude esitamisel võib hagejast investoril asjaomase riigi siseriiklike õigusaktide alusel olla kohustus kanda kogu Prospekti tõlkimise kulud enne kohtumenetluse algatamist. Äriühing aktsepteerib tsiviilvastutust seoses käesoleva kokkuvõttega (sealhulgas selle mis tahes tõlkega) üksnes juhul, kui kokkuvõte osutub eksitavaks, ebatäpseks või Prospekti teiste osadega vastuolus olevaks või kui kokkuvõte, loetuna koos Prospekti teiste osadega, ei anna põhiteavet, mis aitaks investoritel otsustada Äriühingu aktsiatesse investeerimise üle.</w:t>
            </w:r>
          </w:p>
          <w:p w14:paraId="2054A2FD" w14:textId="77777777" w:rsidR="00F562D6" w:rsidRPr="00CC2AEA" w:rsidRDefault="00F562D6" w:rsidP="002B0EAB">
            <w:pPr>
              <w:jc w:val="both"/>
              <w:rPr>
                <w:rFonts w:ascii="Arial" w:hAnsi="Arial" w:cs="Arial"/>
                <w:sz w:val="16"/>
                <w:szCs w:val="16"/>
              </w:rPr>
            </w:pPr>
          </w:p>
        </w:tc>
      </w:tr>
      <w:tr w:rsidR="00F562D6" w:rsidRPr="00CC2AEA" w14:paraId="1A407BDC" w14:textId="77777777" w:rsidTr="002B0EAB">
        <w:tc>
          <w:tcPr>
            <w:tcW w:w="714" w:type="dxa"/>
            <w:tcBorders>
              <w:left w:val="single" w:sz="4" w:space="0" w:color="BFBFBF" w:themeColor="background1" w:themeShade="BF"/>
            </w:tcBorders>
          </w:tcPr>
          <w:p w14:paraId="3E43E6D5" w14:textId="77777777" w:rsidR="00F562D6" w:rsidRPr="00CC2AEA" w:rsidRDefault="00F562D6" w:rsidP="002B0EAB">
            <w:pPr>
              <w:rPr>
                <w:rFonts w:ascii="Arial" w:hAnsi="Arial" w:cs="Arial"/>
                <w:sz w:val="16"/>
                <w:szCs w:val="16"/>
              </w:rPr>
            </w:pPr>
            <w:r>
              <w:rPr>
                <w:rFonts w:ascii="Arial" w:hAnsi="Arial" w:cs="Arial"/>
                <w:sz w:val="16"/>
                <w:szCs w:val="16"/>
              </w:rPr>
              <w:t>A.2</w:t>
            </w:r>
          </w:p>
        </w:tc>
        <w:tc>
          <w:tcPr>
            <w:tcW w:w="1554" w:type="dxa"/>
          </w:tcPr>
          <w:p w14:paraId="4DFB4F19" w14:textId="77777777" w:rsidR="00F562D6" w:rsidRPr="00CC2AEA" w:rsidRDefault="00F562D6" w:rsidP="002B0EAB">
            <w:pPr>
              <w:rPr>
                <w:rFonts w:ascii="Arial" w:hAnsi="Arial" w:cs="Arial"/>
                <w:sz w:val="16"/>
                <w:szCs w:val="16"/>
              </w:rPr>
            </w:pPr>
          </w:p>
        </w:tc>
        <w:tc>
          <w:tcPr>
            <w:tcW w:w="7484" w:type="dxa"/>
            <w:tcBorders>
              <w:right w:val="single" w:sz="4" w:space="0" w:color="BFBFBF" w:themeColor="background1" w:themeShade="BF"/>
            </w:tcBorders>
          </w:tcPr>
          <w:p w14:paraId="3D164421" w14:textId="77777777" w:rsidR="00F562D6" w:rsidRPr="00CC2AEA" w:rsidRDefault="00F562D6" w:rsidP="002B0EAB">
            <w:pPr>
              <w:jc w:val="both"/>
              <w:rPr>
                <w:rFonts w:ascii="Arial" w:hAnsi="Arial" w:cs="Arial"/>
                <w:sz w:val="16"/>
                <w:szCs w:val="16"/>
              </w:rPr>
            </w:pPr>
            <w:r>
              <w:rPr>
                <w:rFonts w:ascii="Arial" w:hAnsi="Arial" w:cs="Arial"/>
                <w:sz w:val="16"/>
                <w:szCs w:val="16"/>
              </w:rPr>
              <w:t>Ei ole kohaldatav.</w:t>
            </w:r>
          </w:p>
        </w:tc>
      </w:tr>
      <w:tr w:rsidR="00F562D6" w:rsidRPr="00CC2AEA" w14:paraId="5A3CBFFE" w14:textId="77777777" w:rsidTr="002B0EAB">
        <w:tc>
          <w:tcPr>
            <w:tcW w:w="9752" w:type="dxa"/>
            <w:gridSpan w:val="3"/>
            <w:tcBorders>
              <w:left w:val="single" w:sz="4" w:space="0" w:color="BFBFBF" w:themeColor="background1" w:themeShade="BF"/>
              <w:right w:val="single" w:sz="4" w:space="0" w:color="BFBFBF" w:themeColor="background1" w:themeShade="BF"/>
            </w:tcBorders>
            <w:shd w:val="clear" w:color="auto" w:fill="C8501E"/>
          </w:tcPr>
          <w:p w14:paraId="36DC608B" w14:textId="77777777" w:rsidR="00F562D6" w:rsidRPr="00CC2AEA" w:rsidRDefault="00F562D6" w:rsidP="002B0EAB">
            <w:pPr>
              <w:jc w:val="center"/>
              <w:rPr>
                <w:rFonts w:ascii="Arial" w:hAnsi="Arial" w:cs="Arial"/>
                <w:b/>
                <w:color w:val="FFFFFF" w:themeColor="background1"/>
              </w:rPr>
            </w:pPr>
          </w:p>
          <w:p w14:paraId="3F70821F" w14:textId="77777777" w:rsidR="00F562D6" w:rsidRPr="00CC2AEA" w:rsidRDefault="00F562D6" w:rsidP="002B0EAB">
            <w:pPr>
              <w:jc w:val="center"/>
              <w:rPr>
                <w:rFonts w:ascii="Arial" w:hAnsi="Arial" w:cs="Arial"/>
                <w:b/>
                <w:bCs/>
                <w:color w:val="FFFFFF" w:themeColor="background1"/>
              </w:rPr>
            </w:pPr>
            <w:r>
              <w:rPr>
                <w:rFonts w:ascii="Arial" w:hAnsi="Arial" w:cs="Arial"/>
                <w:b/>
                <w:bCs/>
                <w:color w:val="FFFFFF" w:themeColor="background1"/>
              </w:rPr>
              <w:t>B jagu — emitent</w:t>
            </w:r>
          </w:p>
        </w:tc>
      </w:tr>
      <w:tr w:rsidR="00F562D6" w:rsidRPr="00CC2AEA" w14:paraId="3C6E48DF" w14:textId="77777777" w:rsidTr="002B0EAB">
        <w:tc>
          <w:tcPr>
            <w:tcW w:w="714" w:type="dxa"/>
            <w:tcBorders>
              <w:left w:val="single" w:sz="4" w:space="0" w:color="BFBFBF" w:themeColor="background1" w:themeShade="BF"/>
            </w:tcBorders>
          </w:tcPr>
          <w:p w14:paraId="679E6038" w14:textId="77777777" w:rsidR="00F562D6" w:rsidRPr="00CC2AEA" w:rsidRDefault="00F562D6" w:rsidP="002B0EAB">
            <w:pPr>
              <w:rPr>
                <w:rFonts w:ascii="Arial" w:hAnsi="Arial" w:cs="Arial"/>
                <w:i/>
                <w:iCs/>
                <w:sz w:val="16"/>
                <w:szCs w:val="16"/>
              </w:rPr>
            </w:pPr>
            <w:r>
              <w:rPr>
                <w:rFonts w:ascii="Arial" w:hAnsi="Arial" w:cs="Arial"/>
                <w:i/>
                <w:iCs/>
                <w:sz w:val="16"/>
                <w:szCs w:val="16"/>
              </w:rPr>
              <w:t>Ele-ment</w:t>
            </w:r>
          </w:p>
        </w:tc>
        <w:tc>
          <w:tcPr>
            <w:tcW w:w="1554" w:type="dxa"/>
          </w:tcPr>
          <w:p w14:paraId="41DE223B" w14:textId="77777777" w:rsidR="00F562D6" w:rsidRPr="00CC2AEA" w:rsidRDefault="00F562D6" w:rsidP="002B0EAB">
            <w:pPr>
              <w:rPr>
                <w:rFonts w:ascii="Arial" w:hAnsi="Arial" w:cs="Arial"/>
                <w:i/>
                <w:iCs/>
                <w:sz w:val="16"/>
                <w:szCs w:val="16"/>
              </w:rPr>
            </w:pPr>
            <w:r>
              <w:rPr>
                <w:rFonts w:ascii="Arial" w:hAnsi="Arial" w:cs="Arial"/>
                <w:i/>
                <w:iCs/>
                <w:sz w:val="16"/>
                <w:szCs w:val="16"/>
              </w:rPr>
              <w:t>Nimetus</w:t>
            </w:r>
          </w:p>
        </w:tc>
        <w:tc>
          <w:tcPr>
            <w:tcW w:w="7484" w:type="dxa"/>
            <w:tcBorders>
              <w:right w:val="single" w:sz="4" w:space="0" w:color="BFBFBF" w:themeColor="background1" w:themeShade="BF"/>
            </w:tcBorders>
          </w:tcPr>
          <w:p w14:paraId="01D3FBC4" w14:textId="77777777" w:rsidR="00F562D6" w:rsidRPr="00CC2AEA" w:rsidRDefault="00F562D6" w:rsidP="002B0EAB">
            <w:pPr>
              <w:rPr>
                <w:rFonts w:ascii="Arial" w:hAnsi="Arial" w:cs="Arial"/>
                <w:i/>
                <w:iCs/>
                <w:sz w:val="16"/>
                <w:szCs w:val="16"/>
              </w:rPr>
            </w:pPr>
            <w:r>
              <w:rPr>
                <w:rFonts w:ascii="Arial" w:hAnsi="Arial" w:cs="Arial"/>
                <w:i/>
                <w:iCs/>
                <w:sz w:val="16"/>
                <w:szCs w:val="16"/>
              </w:rPr>
              <w:t>Avaldatav teave</w:t>
            </w:r>
          </w:p>
        </w:tc>
      </w:tr>
      <w:tr w:rsidR="00F562D6" w:rsidRPr="00CC2AEA" w14:paraId="6A46AFAF" w14:textId="77777777" w:rsidTr="002B0EAB">
        <w:tc>
          <w:tcPr>
            <w:tcW w:w="714" w:type="dxa"/>
            <w:tcBorders>
              <w:left w:val="single" w:sz="4" w:space="0" w:color="BFBFBF" w:themeColor="background1" w:themeShade="BF"/>
            </w:tcBorders>
          </w:tcPr>
          <w:p w14:paraId="6DEE7578" w14:textId="77777777" w:rsidR="00F562D6" w:rsidRPr="00CC2AEA" w:rsidRDefault="00F562D6" w:rsidP="002B0EAB">
            <w:pPr>
              <w:rPr>
                <w:rFonts w:ascii="Arial" w:hAnsi="Arial" w:cs="Arial"/>
                <w:sz w:val="16"/>
                <w:szCs w:val="16"/>
              </w:rPr>
            </w:pPr>
            <w:r>
              <w:rPr>
                <w:rFonts w:ascii="Arial" w:hAnsi="Arial" w:cs="Arial"/>
                <w:sz w:val="16"/>
                <w:szCs w:val="16"/>
              </w:rPr>
              <w:t>B.1</w:t>
            </w:r>
          </w:p>
        </w:tc>
        <w:tc>
          <w:tcPr>
            <w:tcW w:w="1554" w:type="dxa"/>
          </w:tcPr>
          <w:p w14:paraId="701D60FF" w14:textId="77777777" w:rsidR="00F562D6" w:rsidRPr="00CC2AEA" w:rsidRDefault="00F562D6" w:rsidP="002B0EAB">
            <w:pPr>
              <w:rPr>
                <w:rFonts w:ascii="Arial" w:hAnsi="Arial" w:cs="Arial"/>
                <w:sz w:val="16"/>
                <w:szCs w:val="16"/>
              </w:rPr>
            </w:pPr>
            <w:r>
              <w:rPr>
                <w:rFonts w:ascii="Arial" w:hAnsi="Arial" w:cs="Arial"/>
                <w:sz w:val="16"/>
                <w:szCs w:val="16"/>
              </w:rPr>
              <w:t>Emitendi juriidiline ja ärinimi</w:t>
            </w:r>
          </w:p>
        </w:tc>
        <w:tc>
          <w:tcPr>
            <w:tcW w:w="7484" w:type="dxa"/>
            <w:tcBorders>
              <w:right w:val="single" w:sz="4" w:space="0" w:color="BFBFBF" w:themeColor="background1" w:themeShade="BF"/>
            </w:tcBorders>
          </w:tcPr>
          <w:p w14:paraId="321EFFC3" w14:textId="77777777" w:rsidR="00F562D6" w:rsidRPr="00CC2AEA" w:rsidRDefault="00F562D6" w:rsidP="002B0EAB">
            <w:pPr>
              <w:rPr>
                <w:rFonts w:ascii="Arial" w:hAnsi="Arial" w:cs="Arial"/>
                <w:sz w:val="16"/>
                <w:szCs w:val="16"/>
              </w:rPr>
            </w:pPr>
            <w:r>
              <w:rPr>
                <w:rFonts w:ascii="Arial" w:hAnsi="Arial" w:cs="Arial"/>
                <w:sz w:val="16"/>
                <w:szCs w:val="16"/>
              </w:rPr>
              <w:t>Äriühingu juriidiline (äri-)nimi on AS Pro Kapital Grupp.</w:t>
            </w:r>
          </w:p>
        </w:tc>
      </w:tr>
      <w:tr w:rsidR="00F562D6" w:rsidRPr="006E4666" w14:paraId="21A4563C" w14:textId="77777777" w:rsidTr="002B0EAB">
        <w:tc>
          <w:tcPr>
            <w:tcW w:w="714" w:type="dxa"/>
            <w:tcBorders>
              <w:left w:val="single" w:sz="4" w:space="0" w:color="BFBFBF" w:themeColor="background1" w:themeShade="BF"/>
            </w:tcBorders>
          </w:tcPr>
          <w:p w14:paraId="34CEB03B" w14:textId="77777777" w:rsidR="00F562D6" w:rsidRPr="00CC2AEA" w:rsidRDefault="00F562D6" w:rsidP="002B0EAB">
            <w:pPr>
              <w:rPr>
                <w:rFonts w:ascii="Arial" w:hAnsi="Arial" w:cs="Arial"/>
                <w:sz w:val="16"/>
                <w:szCs w:val="16"/>
              </w:rPr>
            </w:pPr>
            <w:r>
              <w:rPr>
                <w:rFonts w:ascii="Arial" w:hAnsi="Arial" w:cs="Arial"/>
                <w:sz w:val="16"/>
                <w:szCs w:val="16"/>
              </w:rPr>
              <w:t>B.2</w:t>
            </w:r>
          </w:p>
        </w:tc>
        <w:tc>
          <w:tcPr>
            <w:tcW w:w="1554" w:type="dxa"/>
          </w:tcPr>
          <w:p w14:paraId="784B913C" w14:textId="77777777" w:rsidR="00F562D6" w:rsidRPr="00D6671D" w:rsidRDefault="00F562D6" w:rsidP="002B0EAB">
            <w:pPr>
              <w:rPr>
                <w:rFonts w:ascii="Arial" w:hAnsi="Arial" w:cs="Arial"/>
                <w:sz w:val="16"/>
                <w:szCs w:val="16"/>
                <w:lang w:val="fi-FI"/>
              </w:rPr>
            </w:pPr>
            <w:r w:rsidRPr="00D6671D">
              <w:rPr>
                <w:rFonts w:ascii="Arial" w:hAnsi="Arial" w:cs="Arial"/>
                <w:sz w:val="16"/>
                <w:szCs w:val="16"/>
                <w:lang w:val="fi-FI"/>
              </w:rPr>
              <w:t>Emitendi alaline asukoht ja õiguslik vorm, emitendi tegevuse suhtes kohaldatav õigus ja tema asutamise riik</w:t>
            </w:r>
          </w:p>
        </w:tc>
        <w:tc>
          <w:tcPr>
            <w:tcW w:w="7484" w:type="dxa"/>
            <w:tcBorders>
              <w:right w:val="single" w:sz="4" w:space="0" w:color="BFBFBF" w:themeColor="background1" w:themeShade="BF"/>
            </w:tcBorders>
          </w:tcPr>
          <w:p w14:paraId="060FA7C8" w14:textId="77777777" w:rsidR="00F562D6" w:rsidRPr="00D6671D" w:rsidRDefault="00F562D6" w:rsidP="002B0EAB">
            <w:pPr>
              <w:jc w:val="both"/>
              <w:rPr>
                <w:rFonts w:ascii="Arial" w:hAnsi="Arial" w:cs="Arial"/>
                <w:sz w:val="16"/>
                <w:szCs w:val="16"/>
                <w:lang w:val="fi-FI"/>
              </w:rPr>
            </w:pPr>
            <w:r w:rsidRPr="00D6671D">
              <w:rPr>
                <w:rFonts w:ascii="Arial" w:hAnsi="Arial"/>
                <w:sz w:val="16"/>
                <w:szCs w:val="16"/>
                <w:lang w:val="fi-FI"/>
              </w:rPr>
              <w:t>Äriühing on aktsiaselts, mis on asutatud Eesti Vabariigi seaduste kohaselt. Äriühing on registreeritud Eesti Vabariigi äriregistris ja tema registrijärgne asukoht on Sõjakooli 11, Tallinn, Eesti.</w:t>
            </w:r>
          </w:p>
        </w:tc>
      </w:tr>
      <w:tr w:rsidR="00F562D6" w:rsidRPr="00CC2AEA" w14:paraId="09C039A2" w14:textId="77777777" w:rsidTr="002B0EAB">
        <w:tc>
          <w:tcPr>
            <w:tcW w:w="714" w:type="dxa"/>
            <w:tcBorders>
              <w:left w:val="single" w:sz="4" w:space="0" w:color="BFBFBF" w:themeColor="background1" w:themeShade="BF"/>
            </w:tcBorders>
          </w:tcPr>
          <w:p w14:paraId="388D0693" w14:textId="77777777" w:rsidR="00F562D6" w:rsidRPr="00CC2AEA" w:rsidRDefault="00F562D6" w:rsidP="002B0EAB">
            <w:pPr>
              <w:rPr>
                <w:rFonts w:ascii="Arial" w:hAnsi="Arial" w:cs="Arial"/>
                <w:sz w:val="16"/>
                <w:szCs w:val="16"/>
              </w:rPr>
            </w:pPr>
            <w:r>
              <w:rPr>
                <w:rFonts w:ascii="Arial" w:hAnsi="Arial" w:cs="Arial"/>
                <w:sz w:val="16"/>
                <w:szCs w:val="16"/>
              </w:rPr>
              <w:t>B.3</w:t>
            </w:r>
          </w:p>
        </w:tc>
        <w:tc>
          <w:tcPr>
            <w:tcW w:w="1554" w:type="dxa"/>
          </w:tcPr>
          <w:p w14:paraId="154219E2" w14:textId="77777777" w:rsidR="00F562D6" w:rsidRPr="00CC2AEA" w:rsidRDefault="00F562D6" w:rsidP="002B0EAB">
            <w:pPr>
              <w:rPr>
                <w:rFonts w:ascii="Arial" w:hAnsi="Arial" w:cs="Arial"/>
                <w:sz w:val="16"/>
                <w:szCs w:val="16"/>
              </w:rPr>
            </w:pPr>
            <w:r>
              <w:rPr>
                <w:rFonts w:ascii="Arial" w:hAnsi="Arial" w:cs="Arial"/>
                <w:sz w:val="16"/>
                <w:szCs w:val="16"/>
              </w:rPr>
              <w:t>Põhiandmed tegevuse kohta, põhitegevusalad, müüdavate toodete ja osutatavate teenuste kategooriad; põhiturud, kus emitent konkureerib</w:t>
            </w:r>
          </w:p>
        </w:tc>
        <w:tc>
          <w:tcPr>
            <w:tcW w:w="7484" w:type="dxa"/>
            <w:tcBorders>
              <w:bottom w:val="single" w:sz="4" w:space="0" w:color="auto"/>
              <w:right w:val="single" w:sz="4" w:space="0" w:color="BFBFBF" w:themeColor="background1" w:themeShade="BF"/>
            </w:tcBorders>
          </w:tcPr>
          <w:p w14:paraId="23E7BCD5" w14:textId="77777777" w:rsidR="00F562D6" w:rsidRPr="00CC2AEA" w:rsidRDefault="00F562D6" w:rsidP="002B0EAB">
            <w:pPr>
              <w:jc w:val="both"/>
              <w:rPr>
                <w:rFonts w:ascii="Arial" w:hAnsi="Arial" w:cs="Arial"/>
                <w:sz w:val="16"/>
                <w:szCs w:val="16"/>
              </w:rPr>
            </w:pPr>
            <w:r>
              <w:rPr>
                <w:rFonts w:ascii="Arial" w:hAnsi="Arial" w:cs="Arial"/>
                <w:sz w:val="16"/>
                <w:szCs w:val="16"/>
              </w:rPr>
              <w:t>Äriühingu ja tema tütarettevõtjate (edaspidi „</w:t>
            </w:r>
            <w:proofErr w:type="gramStart"/>
            <w:r>
              <w:rPr>
                <w:rFonts w:ascii="Arial" w:hAnsi="Arial" w:cs="Arial"/>
                <w:sz w:val="16"/>
                <w:szCs w:val="16"/>
              </w:rPr>
              <w:t>Grupp“</w:t>
            </w:r>
            <w:proofErr w:type="gramEnd"/>
            <w:r>
              <w:rPr>
                <w:rFonts w:ascii="Arial" w:hAnsi="Arial" w:cs="Arial"/>
                <w:sz w:val="16"/>
                <w:szCs w:val="16"/>
              </w:rPr>
              <w:t xml:space="preserve">) peamisteks tegevusaladeks on elamukinnisvara ja jaemüügipindade arendus ja müük, arendatud jaemüügipindade ja muu ärikinnisvara üürile andmine ning ühe Saksamaal asuva hotelli käitamine. </w:t>
            </w:r>
            <w:r w:rsidRPr="00D6671D">
              <w:rPr>
                <w:rFonts w:ascii="Arial" w:hAnsi="Arial" w:cs="Arial"/>
                <w:sz w:val="16"/>
                <w:szCs w:val="16"/>
                <w:lang w:val="fi-FI"/>
              </w:rPr>
              <w:t xml:space="preserve">Kinnisvaraportfelli kuuluvad Tallinnas, Riias ja Vilniuses asuvad kinnisvaraobjektid ning üks hotell Saksamaal Bad Kreuznach linnas. Grupp tegutseb neljas geograafilises piirkonnas: Eestis, Lätis, Leedus ja Saksamaal. </w:t>
            </w:r>
            <w:r>
              <w:rPr>
                <w:rFonts w:ascii="Arial" w:hAnsi="Arial" w:cs="Arial"/>
                <w:sz w:val="16"/>
                <w:szCs w:val="16"/>
              </w:rPr>
              <w:t xml:space="preserve">Grupp tegeleb: </w:t>
            </w:r>
          </w:p>
          <w:p w14:paraId="0C440708" w14:textId="77777777" w:rsidR="00F562D6" w:rsidRPr="00CC2AEA" w:rsidRDefault="00F562D6" w:rsidP="002B0EAB">
            <w:pPr>
              <w:pStyle w:val="ListParagraph"/>
              <w:numPr>
                <w:ilvl w:val="1"/>
                <w:numId w:val="54"/>
              </w:numPr>
              <w:spacing w:after="0" w:line="240" w:lineRule="auto"/>
              <w:ind w:left="315" w:hanging="284"/>
              <w:contextualSpacing w:val="0"/>
              <w:jc w:val="both"/>
              <w:rPr>
                <w:rFonts w:ascii="Arial" w:hAnsi="Arial" w:cs="Arial"/>
                <w:sz w:val="16"/>
                <w:szCs w:val="16"/>
              </w:rPr>
            </w:pPr>
            <w:r>
              <w:rPr>
                <w:rFonts w:ascii="Arial" w:hAnsi="Arial" w:cs="Arial"/>
                <w:sz w:val="16"/>
                <w:szCs w:val="16"/>
              </w:rPr>
              <w:t>Eestis peamiselt korterite arendamise ja müügiga kõrgelthinnatud elamukinnisvaraarendustes, jaemüügi- ja büroopindade arendamisega ning rahavoogu tootva jaemüügi- ja bürookinnisvara haldamisega;</w:t>
            </w:r>
          </w:p>
          <w:p w14:paraId="28CE749B" w14:textId="77777777" w:rsidR="00F562D6" w:rsidRPr="00CC2AEA" w:rsidRDefault="00F562D6" w:rsidP="002B0EAB">
            <w:pPr>
              <w:pStyle w:val="ListParagraph"/>
              <w:numPr>
                <w:ilvl w:val="1"/>
                <w:numId w:val="54"/>
              </w:numPr>
              <w:spacing w:after="0" w:line="240" w:lineRule="auto"/>
              <w:ind w:left="315" w:hanging="284"/>
              <w:contextualSpacing w:val="0"/>
              <w:jc w:val="both"/>
              <w:rPr>
                <w:rFonts w:ascii="Arial" w:hAnsi="Arial" w:cs="Arial"/>
                <w:sz w:val="16"/>
                <w:szCs w:val="16"/>
              </w:rPr>
            </w:pPr>
            <w:r>
              <w:rPr>
                <w:rFonts w:ascii="Arial" w:hAnsi="Arial" w:cs="Arial"/>
                <w:sz w:val="16"/>
                <w:szCs w:val="16"/>
              </w:rPr>
              <w:t>Lätis peamiselt korterite arendamise ja müügiga kõrgelthinnatud elamukinnisvaraarendustes ning büroopindade arendamise ja üürile andmisega;</w:t>
            </w:r>
          </w:p>
          <w:p w14:paraId="135C28B7" w14:textId="77777777" w:rsidR="00F562D6" w:rsidRPr="00CC2AEA" w:rsidRDefault="00F562D6" w:rsidP="002B0EAB">
            <w:pPr>
              <w:pStyle w:val="ListParagraph"/>
              <w:numPr>
                <w:ilvl w:val="1"/>
                <w:numId w:val="54"/>
              </w:numPr>
              <w:spacing w:after="0" w:line="240" w:lineRule="auto"/>
              <w:ind w:left="315" w:hanging="284"/>
              <w:contextualSpacing w:val="0"/>
              <w:jc w:val="both"/>
              <w:rPr>
                <w:rFonts w:ascii="Arial" w:hAnsi="Arial" w:cs="Arial"/>
                <w:sz w:val="16"/>
                <w:szCs w:val="16"/>
              </w:rPr>
            </w:pPr>
            <w:r>
              <w:rPr>
                <w:rFonts w:ascii="Arial" w:hAnsi="Arial" w:cs="Arial"/>
                <w:sz w:val="16"/>
                <w:szCs w:val="16"/>
              </w:rPr>
              <w:t xml:space="preserve">Leedus peamiselt korterite arendamise ja müügiga kõrgelthinnatud elamukinnisvaraarendustes; ning </w:t>
            </w:r>
          </w:p>
          <w:p w14:paraId="5192B61E" w14:textId="77777777" w:rsidR="00F562D6" w:rsidRPr="00CC2AEA" w:rsidRDefault="00F562D6" w:rsidP="002B0EAB">
            <w:pPr>
              <w:pStyle w:val="ListParagraph"/>
              <w:numPr>
                <w:ilvl w:val="1"/>
                <w:numId w:val="54"/>
              </w:numPr>
              <w:spacing w:after="0" w:line="240" w:lineRule="auto"/>
              <w:ind w:left="315" w:hanging="284"/>
              <w:contextualSpacing w:val="0"/>
              <w:jc w:val="both"/>
              <w:rPr>
                <w:rFonts w:ascii="Arial" w:hAnsi="Arial" w:cs="Arial"/>
                <w:sz w:val="16"/>
                <w:szCs w:val="16"/>
              </w:rPr>
            </w:pPr>
            <w:r>
              <w:rPr>
                <w:rFonts w:ascii="Arial" w:hAnsi="Arial" w:cs="Arial"/>
                <w:sz w:val="16"/>
                <w:szCs w:val="16"/>
              </w:rPr>
              <w:t>Saksamaal Bad Kreuznach linnas asuva PK Parkhotel Kurhaus käitamisega.</w:t>
            </w:r>
          </w:p>
          <w:p w14:paraId="04617B3D" w14:textId="77777777" w:rsidR="00F562D6" w:rsidRPr="00CC2AEA" w:rsidRDefault="00F562D6" w:rsidP="002B0EAB">
            <w:pPr>
              <w:jc w:val="both"/>
              <w:rPr>
                <w:rFonts w:ascii="Arial" w:hAnsi="Arial" w:cs="Arial"/>
                <w:sz w:val="16"/>
                <w:szCs w:val="16"/>
              </w:rPr>
            </w:pPr>
            <w:r w:rsidRPr="00D6671D">
              <w:rPr>
                <w:rFonts w:ascii="Arial" w:hAnsi="Arial" w:cs="Arial"/>
                <w:sz w:val="16"/>
                <w:szCs w:val="16"/>
                <w:lang w:val="fi-FI"/>
              </w:rPr>
              <w:t xml:space="preserve">Kuni viimase ajani käitas Äriühing hotelle ka Eestis ja Lätis, kuid need hotellid müüdi 2017. aasta juulis ja augustis. </w:t>
            </w:r>
            <w:r>
              <w:rPr>
                <w:rFonts w:ascii="Arial" w:hAnsi="Arial" w:cs="Arial"/>
                <w:sz w:val="16"/>
                <w:szCs w:val="16"/>
              </w:rPr>
              <w:t>Geograafiliste segmentide tulud on esitatud alljärgnevas tabelis:</w:t>
            </w:r>
          </w:p>
          <w:tbl>
            <w:tblPr>
              <w:tblStyle w:val="TableGrid"/>
              <w:tblpPr w:leftFromText="141" w:rightFromText="141" w:vertAnchor="text" w:horzAnchor="margin" w:tblpY="183"/>
              <w:tblOverlap w:val="never"/>
              <w:tblW w:w="72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ayout w:type="fixed"/>
              <w:tblLook w:val="04A0" w:firstRow="1" w:lastRow="0" w:firstColumn="1" w:lastColumn="0" w:noHBand="0" w:noVBand="1"/>
            </w:tblPr>
            <w:tblGrid>
              <w:gridCol w:w="2689"/>
              <w:gridCol w:w="907"/>
              <w:gridCol w:w="907"/>
              <w:gridCol w:w="907"/>
              <w:gridCol w:w="907"/>
              <w:gridCol w:w="908"/>
            </w:tblGrid>
            <w:tr w:rsidR="002B1D5D" w:rsidRPr="0016647D" w14:paraId="28375C5E" w14:textId="77777777" w:rsidTr="002B0EAB">
              <w:trPr>
                <w:trHeight w:val="170"/>
              </w:trPr>
              <w:tc>
                <w:tcPr>
                  <w:tcW w:w="2689" w:type="dxa"/>
                  <w:shd w:val="clear" w:color="auto" w:fill="C8501E"/>
                  <w:vAlign w:val="bottom"/>
                </w:tcPr>
                <w:p w14:paraId="2AC17A93" w14:textId="77777777" w:rsidR="00F562D6" w:rsidRPr="0016647D" w:rsidRDefault="00F562D6" w:rsidP="002B0EAB">
                  <w:pPr>
                    <w:pStyle w:val="Paragraph"/>
                    <w:spacing w:before="0" w:after="0"/>
                    <w:jc w:val="left"/>
                    <w:rPr>
                      <w:rFonts w:cs="Arial"/>
                      <w:i/>
                      <w:iCs/>
                      <w:color w:val="FFFFFF" w:themeColor="background1"/>
                      <w:sz w:val="16"/>
                      <w:szCs w:val="16"/>
                    </w:rPr>
                  </w:pPr>
                  <w:r w:rsidRPr="0016647D">
                    <w:rPr>
                      <w:rFonts w:cs="Arial"/>
                      <w:i/>
                      <w:iCs/>
                      <w:color w:val="FFFFFF" w:themeColor="background1"/>
                      <w:sz w:val="16"/>
                      <w:szCs w:val="16"/>
                    </w:rPr>
                    <w:t>tuhat eurot</w:t>
                  </w:r>
                </w:p>
              </w:tc>
              <w:tc>
                <w:tcPr>
                  <w:tcW w:w="1814" w:type="dxa"/>
                  <w:gridSpan w:val="2"/>
                  <w:shd w:val="clear" w:color="auto" w:fill="C8501E"/>
                  <w:vAlign w:val="bottom"/>
                </w:tcPr>
                <w:p w14:paraId="5B8821B5" w14:textId="77777777" w:rsidR="00F562D6" w:rsidRPr="0016647D" w:rsidRDefault="00F562D6" w:rsidP="002B0EAB">
                  <w:pPr>
                    <w:pStyle w:val="Paragraph"/>
                    <w:spacing w:before="0" w:after="0"/>
                    <w:jc w:val="center"/>
                    <w:rPr>
                      <w:rFonts w:cs="Arial"/>
                      <w:color w:val="FFFFFF" w:themeColor="background1"/>
                      <w:sz w:val="16"/>
                      <w:szCs w:val="16"/>
                    </w:rPr>
                  </w:pPr>
                  <w:r w:rsidRPr="0016647D">
                    <w:rPr>
                      <w:rFonts w:cs="Arial"/>
                      <w:color w:val="FFFFFF" w:themeColor="background1"/>
                      <w:sz w:val="16"/>
                      <w:szCs w:val="16"/>
                    </w:rPr>
                    <w:t>30. juunil lõppenud 6 kuud</w:t>
                  </w:r>
                </w:p>
              </w:tc>
              <w:tc>
                <w:tcPr>
                  <w:tcW w:w="2722" w:type="dxa"/>
                  <w:gridSpan w:val="3"/>
                  <w:shd w:val="clear" w:color="auto" w:fill="C8501E"/>
                  <w:vAlign w:val="bottom"/>
                </w:tcPr>
                <w:p w14:paraId="10820176" w14:textId="77777777" w:rsidR="00F562D6" w:rsidRPr="0016647D" w:rsidRDefault="00F562D6" w:rsidP="002B0EAB">
                  <w:pPr>
                    <w:pStyle w:val="Paragraph"/>
                    <w:spacing w:before="0" w:after="0"/>
                    <w:jc w:val="center"/>
                    <w:rPr>
                      <w:rFonts w:cs="Arial"/>
                      <w:color w:val="FFFFFF" w:themeColor="background1"/>
                      <w:sz w:val="16"/>
                      <w:szCs w:val="16"/>
                    </w:rPr>
                  </w:pPr>
                  <w:r w:rsidRPr="0016647D">
                    <w:rPr>
                      <w:rFonts w:cs="Arial"/>
                      <w:color w:val="FFFFFF" w:themeColor="background1"/>
                      <w:sz w:val="16"/>
                      <w:szCs w:val="16"/>
                    </w:rPr>
                    <w:t xml:space="preserve">31. detsembril lõppenud </w:t>
                  </w:r>
                </w:p>
                <w:p w14:paraId="667EC423" w14:textId="77777777" w:rsidR="00F562D6" w:rsidRPr="0016647D" w:rsidRDefault="00F562D6" w:rsidP="002B0EAB">
                  <w:pPr>
                    <w:pStyle w:val="Paragraph"/>
                    <w:spacing w:before="0" w:after="0"/>
                    <w:jc w:val="center"/>
                    <w:rPr>
                      <w:rFonts w:cs="Arial"/>
                      <w:color w:val="FFFFFF" w:themeColor="background1"/>
                      <w:sz w:val="16"/>
                      <w:szCs w:val="16"/>
                    </w:rPr>
                  </w:pPr>
                  <w:r w:rsidRPr="0016647D">
                    <w:rPr>
                      <w:rFonts w:cs="Arial"/>
                      <w:color w:val="FFFFFF" w:themeColor="background1"/>
                      <w:sz w:val="16"/>
                      <w:szCs w:val="16"/>
                    </w:rPr>
                    <w:t>12 kuud</w:t>
                  </w:r>
                </w:p>
              </w:tc>
            </w:tr>
            <w:tr w:rsidR="002B1D5D" w:rsidRPr="0016647D" w14:paraId="1A04CDD5" w14:textId="77777777" w:rsidTr="002B0EAB">
              <w:trPr>
                <w:trHeight w:val="170"/>
              </w:trPr>
              <w:tc>
                <w:tcPr>
                  <w:tcW w:w="2689" w:type="dxa"/>
                  <w:shd w:val="clear" w:color="auto" w:fill="C8501E"/>
                </w:tcPr>
                <w:p w14:paraId="6EDF39F8" w14:textId="77777777" w:rsidR="00F562D6" w:rsidRPr="0016647D" w:rsidRDefault="00F562D6" w:rsidP="002B0EAB">
                  <w:pPr>
                    <w:pStyle w:val="Paragraph"/>
                    <w:spacing w:before="0" w:after="0"/>
                    <w:rPr>
                      <w:rFonts w:cs="Arial"/>
                      <w:color w:val="FFFFFF" w:themeColor="background1"/>
                      <w:sz w:val="16"/>
                      <w:szCs w:val="16"/>
                    </w:rPr>
                  </w:pPr>
                </w:p>
              </w:tc>
              <w:tc>
                <w:tcPr>
                  <w:tcW w:w="907" w:type="dxa"/>
                  <w:shd w:val="clear" w:color="auto" w:fill="C8501E"/>
                </w:tcPr>
                <w:p w14:paraId="04BFC54D" w14:textId="77777777" w:rsidR="00F562D6" w:rsidRPr="0016647D" w:rsidRDefault="00F562D6" w:rsidP="002B0EAB">
                  <w:pPr>
                    <w:pStyle w:val="Paragraph"/>
                    <w:spacing w:before="0" w:after="0"/>
                    <w:jc w:val="right"/>
                    <w:rPr>
                      <w:rFonts w:cs="Arial"/>
                      <w:color w:val="FFFFFF" w:themeColor="background1"/>
                      <w:sz w:val="16"/>
                      <w:szCs w:val="16"/>
                    </w:rPr>
                  </w:pPr>
                  <w:r w:rsidRPr="0016647D">
                    <w:rPr>
                      <w:rFonts w:cs="Arial"/>
                      <w:color w:val="FFFFFF" w:themeColor="background1"/>
                      <w:sz w:val="16"/>
                      <w:szCs w:val="16"/>
                    </w:rPr>
                    <w:t>2017</w:t>
                  </w:r>
                </w:p>
              </w:tc>
              <w:tc>
                <w:tcPr>
                  <w:tcW w:w="907" w:type="dxa"/>
                  <w:shd w:val="clear" w:color="auto" w:fill="C8501E"/>
                </w:tcPr>
                <w:p w14:paraId="4C00C528" w14:textId="77777777" w:rsidR="00F562D6" w:rsidRPr="0016647D" w:rsidRDefault="00F562D6" w:rsidP="002B0EAB">
                  <w:pPr>
                    <w:pStyle w:val="Paragraph"/>
                    <w:spacing w:before="0" w:after="0"/>
                    <w:jc w:val="right"/>
                    <w:rPr>
                      <w:rFonts w:cs="Arial"/>
                      <w:color w:val="FFFFFF" w:themeColor="background1"/>
                      <w:sz w:val="16"/>
                      <w:szCs w:val="16"/>
                    </w:rPr>
                  </w:pPr>
                  <w:r w:rsidRPr="0016647D">
                    <w:rPr>
                      <w:rFonts w:cs="Arial"/>
                      <w:color w:val="FFFFFF" w:themeColor="background1"/>
                      <w:sz w:val="16"/>
                      <w:szCs w:val="16"/>
                    </w:rPr>
                    <w:t>2016</w:t>
                  </w:r>
                </w:p>
              </w:tc>
              <w:tc>
                <w:tcPr>
                  <w:tcW w:w="907" w:type="dxa"/>
                  <w:shd w:val="clear" w:color="auto" w:fill="C8501E"/>
                </w:tcPr>
                <w:p w14:paraId="5498737C" w14:textId="77777777" w:rsidR="00F562D6" w:rsidRPr="0016647D" w:rsidRDefault="00F562D6" w:rsidP="002B0EAB">
                  <w:pPr>
                    <w:pStyle w:val="Paragraph"/>
                    <w:spacing w:before="0" w:after="0"/>
                    <w:jc w:val="right"/>
                    <w:rPr>
                      <w:rFonts w:cs="Arial"/>
                      <w:color w:val="FFFFFF" w:themeColor="background1"/>
                      <w:sz w:val="16"/>
                      <w:szCs w:val="16"/>
                    </w:rPr>
                  </w:pPr>
                  <w:r w:rsidRPr="0016647D">
                    <w:rPr>
                      <w:rFonts w:cs="Arial"/>
                      <w:color w:val="FFFFFF" w:themeColor="background1"/>
                      <w:sz w:val="16"/>
                      <w:szCs w:val="16"/>
                    </w:rPr>
                    <w:t>2016</w:t>
                  </w:r>
                </w:p>
              </w:tc>
              <w:tc>
                <w:tcPr>
                  <w:tcW w:w="907" w:type="dxa"/>
                  <w:shd w:val="clear" w:color="auto" w:fill="C8501E"/>
                </w:tcPr>
                <w:p w14:paraId="779341B9" w14:textId="77777777" w:rsidR="00F562D6" w:rsidRPr="0016647D" w:rsidRDefault="00F562D6" w:rsidP="002B0EAB">
                  <w:pPr>
                    <w:pStyle w:val="Paragraph"/>
                    <w:spacing w:before="0" w:after="0"/>
                    <w:jc w:val="right"/>
                    <w:rPr>
                      <w:rFonts w:cs="Arial"/>
                      <w:color w:val="FFFFFF" w:themeColor="background1"/>
                      <w:sz w:val="16"/>
                      <w:szCs w:val="16"/>
                    </w:rPr>
                  </w:pPr>
                  <w:r w:rsidRPr="0016647D">
                    <w:rPr>
                      <w:rFonts w:cs="Arial"/>
                      <w:color w:val="FFFFFF" w:themeColor="background1"/>
                      <w:sz w:val="16"/>
                      <w:szCs w:val="16"/>
                    </w:rPr>
                    <w:t>2015</w:t>
                  </w:r>
                </w:p>
              </w:tc>
              <w:tc>
                <w:tcPr>
                  <w:tcW w:w="908" w:type="dxa"/>
                  <w:shd w:val="clear" w:color="auto" w:fill="C8501E"/>
                </w:tcPr>
                <w:p w14:paraId="674D42B3" w14:textId="77777777" w:rsidR="00F562D6" w:rsidRPr="0016647D" w:rsidRDefault="00F562D6" w:rsidP="002B0EAB">
                  <w:pPr>
                    <w:pStyle w:val="Paragraph"/>
                    <w:spacing w:before="0" w:after="0"/>
                    <w:jc w:val="right"/>
                    <w:rPr>
                      <w:rFonts w:cs="Arial"/>
                      <w:color w:val="FFFFFF" w:themeColor="background1"/>
                      <w:sz w:val="16"/>
                      <w:szCs w:val="16"/>
                    </w:rPr>
                  </w:pPr>
                  <w:r w:rsidRPr="0016647D">
                    <w:rPr>
                      <w:rFonts w:cs="Arial"/>
                      <w:color w:val="FFFFFF" w:themeColor="background1"/>
                      <w:sz w:val="16"/>
                      <w:szCs w:val="16"/>
                    </w:rPr>
                    <w:t>2014</w:t>
                  </w:r>
                </w:p>
              </w:tc>
            </w:tr>
            <w:tr w:rsidR="00F562D6" w:rsidRPr="0016647D" w14:paraId="60A79FA1" w14:textId="77777777" w:rsidTr="002B0EAB">
              <w:trPr>
                <w:trHeight w:val="170"/>
              </w:trPr>
              <w:tc>
                <w:tcPr>
                  <w:tcW w:w="2689" w:type="dxa"/>
                  <w:vAlign w:val="bottom"/>
                </w:tcPr>
                <w:p w14:paraId="45592112" w14:textId="77777777" w:rsidR="00F562D6" w:rsidRPr="0016647D" w:rsidRDefault="00F562D6" w:rsidP="002B0EAB">
                  <w:pPr>
                    <w:pStyle w:val="Paragraph"/>
                    <w:spacing w:before="0" w:after="0"/>
                    <w:rPr>
                      <w:rFonts w:cs="Arial"/>
                      <w:sz w:val="16"/>
                      <w:szCs w:val="16"/>
                    </w:rPr>
                  </w:pPr>
                  <w:r w:rsidRPr="0016647D">
                    <w:rPr>
                      <w:rFonts w:cs="Arial"/>
                      <w:sz w:val="16"/>
                      <w:szCs w:val="16"/>
                    </w:rPr>
                    <w:t>Konsolideeritud tulud</w:t>
                  </w:r>
                </w:p>
              </w:tc>
              <w:tc>
                <w:tcPr>
                  <w:tcW w:w="907" w:type="dxa"/>
                </w:tcPr>
                <w:p w14:paraId="07568E54" w14:textId="77777777" w:rsidR="00F562D6" w:rsidRPr="0016647D" w:rsidRDefault="00F562D6" w:rsidP="002B0EAB">
                  <w:pPr>
                    <w:pStyle w:val="Paragraph"/>
                    <w:spacing w:before="0" w:after="0"/>
                    <w:jc w:val="right"/>
                    <w:rPr>
                      <w:rFonts w:cs="Arial"/>
                      <w:sz w:val="16"/>
                      <w:szCs w:val="16"/>
                    </w:rPr>
                  </w:pPr>
                  <w:r w:rsidRPr="0016647D">
                    <w:rPr>
                      <w:sz w:val="16"/>
                      <w:szCs w:val="16"/>
                    </w:rPr>
                    <w:t>7 566</w:t>
                  </w:r>
                </w:p>
              </w:tc>
              <w:tc>
                <w:tcPr>
                  <w:tcW w:w="907" w:type="dxa"/>
                </w:tcPr>
                <w:p w14:paraId="1E9ED761" w14:textId="77777777" w:rsidR="00F562D6" w:rsidRPr="0016647D" w:rsidRDefault="00F562D6" w:rsidP="002B0EAB">
                  <w:pPr>
                    <w:pStyle w:val="Paragraph"/>
                    <w:spacing w:before="0" w:after="0"/>
                    <w:jc w:val="right"/>
                    <w:rPr>
                      <w:rFonts w:cs="Arial"/>
                      <w:sz w:val="16"/>
                      <w:szCs w:val="16"/>
                    </w:rPr>
                  </w:pPr>
                  <w:r w:rsidRPr="0016647D">
                    <w:rPr>
                      <w:rFonts w:cs="Arial"/>
                      <w:sz w:val="16"/>
                      <w:szCs w:val="16"/>
                    </w:rPr>
                    <w:t>8 203</w:t>
                  </w:r>
                </w:p>
              </w:tc>
              <w:tc>
                <w:tcPr>
                  <w:tcW w:w="907" w:type="dxa"/>
                  <w:vAlign w:val="bottom"/>
                </w:tcPr>
                <w:p w14:paraId="4EB953D1" w14:textId="77777777" w:rsidR="00F562D6" w:rsidRPr="0016647D" w:rsidRDefault="00F562D6" w:rsidP="002B0EAB">
                  <w:pPr>
                    <w:pStyle w:val="Paragraph"/>
                    <w:spacing w:before="0" w:after="0"/>
                    <w:jc w:val="right"/>
                    <w:rPr>
                      <w:rFonts w:cs="Arial"/>
                      <w:sz w:val="16"/>
                      <w:szCs w:val="16"/>
                    </w:rPr>
                  </w:pPr>
                  <w:r w:rsidRPr="0016647D">
                    <w:rPr>
                      <w:rFonts w:cs="Arial"/>
                      <w:color w:val="000000" w:themeColor="text1"/>
                      <w:sz w:val="16"/>
                      <w:szCs w:val="16"/>
                    </w:rPr>
                    <w:t>20 652</w:t>
                  </w:r>
                </w:p>
              </w:tc>
              <w:tc>
                <w:tcPr>
                  <w:tcW w:w="907" w:type="dxa"/>
                  <w:vAlign w:val="bottom"/>
                </w:tcPr>
                <w:p w14:paraId="36D15FE1" w14:textId="77777777" w:rsidR="00F562D6" w:rsidRPr="0016647D" w:rsidRDefault="00F562D6" w:rsidP="002B0EAB">
                  <w:pPr>
                    <w:pStyle w:val="Paragraph"/>
                    <w:spacing w:before="0" w:after="0"/>
                    <w:jc w:val="right"/>
                    <w:rPr>
                      <w:rFonts w:cs="Arial"/>
                      <w:sz w:val="16"/>
                      <w:szCs w:val="16"/>
                    </w:rPr>
                  </w:pPr>
                  <w:r w:rsidRPr="0016647D">
                    <w:rPr>
                      <w:rFonts w:cs="Arial"/>
                      <w:color w:val="000000" w:themeColor="text1"/>
                      <w:sz w:val="16"/>
                      <w:szCs w:val="16"/>
                    </w:rPr>
                    <w:t>18 322</w:t>
                  </w:r>
                </w:p>
              </w:tc>
              <w:tc>
                <w:tcPr>
                  <w:tcW w:w="908" w:type="dxa"/>
                  <w:vAlign w:val="bottom"/>
                </w:tcPr>
                <w:p w14:paraId="1958043F" w14:textId="77777777" w:rsidR="00F562D6" w:rsidRPr="0016647D" w:rsidRDefault="00F562D6" w:rsidP="002B0EAB">
                  <w:pPr>
                    <w:pStyle w:val="Paragraph"/>
                    <w:spacing w:before="0" w:after="0"/>
                    <w:jc w:val="right"/>
                    <w:rPr>
                      <w:rFonts w:cs="Arial"/>
                      <w:sz w:val="16"/>
                      <w:szCs w:val="16"/>
                    </w:rPr>
                  </w:pPr>
                  <w:r w:rsidRPr="0016647D">
                    <w:rPr>
                      <w:rFonts w:cs="Arial"/>
                      <w:color w:val="000000" w:themeColor="text1"/>
                      <w:sz w:val="16"/>
                      <w:szCs w:val="16"/>
                    </w:rPr>
                    <w:t>10 335</w:t>
                  </w:r>
                </w:p>
              </w:tc>
            </w:tr>
            <w:tr w:rsidR="00F562D6" w:rsidRPr="0016647D" w14:paraId="0427C573" w14:textId="77777777" w:rsidTr="002B0EAB">
              <w:trPr>
                <w:trHeight w:val="170"/>
              </w:trPr>
              <w:tc>
                <w:tcPr>
                  <w:tcW w:w="2689" w:type="dxa"/>
                  <w:vAlign w:val="bottom"/>
                </w:tcPr>
                <w:p w14:paraId="19A3CCEA" w14:textId="77777777" w:rsidR="00F562D6" w:rsidRPr="0016647D" w:rsidRDefault="00F562D6" w:rsidP="002B0EAB">
                  <w:pPr>
                    <w:pStyle w:val="Paragraph"/>
                    <w:spacing w:before="0" w:after="0"/>
                    <w:rPr>
                      <w:rFonts w:cs="Arial"/>
                      <w:sz w:val="16"/>
                      <w:szCs w:val="16"/>
                    </w:rPr>
                  </w:pPr>
                  <w:r w:rsidRPr="0016647D">
                    <w:rPr>
                      <w:rFonts w:cs="Arial"/>
                      <w:sz w:val="16"/>
                      <w:szCs w:val="16"/>
                    </w:rPr>
                    <w:t>* PKG osalus</w:t>
                  </w:r>
                </w:p>
              </w:tc>
              <w:tc>
                <w:tcPr>
                  <w:tcW w:w="907" w:type="dxa"/>
                </w:tcPr>
                <w:p w14:paraId="3BF8F64A" w14:textId="77777777" w:rsidR="00F562D6" w:rsidRPr="0016647D" w:rsidRDefault="00F562D6" w:rsidP="002B0EAB">
                  <w:pPr>
                    <w:pStyle w:val="Paragraph"/>
                    <w:spacing w:before="0" w:after="0"/>
                    <w:jc w:val="right"/>
                    <w:rPr>
                      <w:rFonts w:cs="Arial"/>
                      <w:sz w:val="16"/>
                      <w:szCs w:val="16"/>
                    </w:rPr>
                  </w:pPr>
                  <w:r w:rsidRPr="0016647D">
                    <w:rPr>
                      <w:sz w:val="16"/>
                      <w:szCs w:val="16"/>
                    </w:rPr>
                    <w:t>12</w:t>
                  </w:r>
                </w:p>
              </w:tc>
              <w:tc>
                <w:tcPr>
                  <w:tcW w:w="907" w:type="dxa"/>
                </w:tcPr>
                <w:p w14:paraId="590D4115" w14:textId="77777777" w:rsidR="00F562D6" w:rsidRPr="0016647D" w:rsidRDefault="00F562D6" w:rsidP="002B0EAB">
                  <w:pPr>
                    <w:pStyle w:val="Paragraph"/>
                    <w:spacing w:before="0" w:after="0"/>
                    <w:jc w:val="right"/>
                    <w:rPr>
                      <w:rFonts w:cs="Arial"/>
                      <w:sz w:val="16"/>
                      <w:szCs w:val="16"/>
                    </w:rPr>
                  </w:pPr>
                  <w:r w:rsidRPr="0016647D">
                    <w:rPr>
                      <w:rFonts w:cs="Arial"/>
                      <w:sz w:val="16"/>
                      <w:szCs w:val="16"/>
                    </w:rPr>
                    <w:t>0</w:t>
                  </w:r>
                </w:p>
              </w:tc>
              <w:tc>
                <w:tcPr>
                  <w:tcW w:w="907" w:type="dxa"/>
                  <w:vAlign w:val="bottom"/>
                </w:tcPr>
                <w:p w14:paraId="6C86B86A" w14:textId="77777777" w:rsidR="00F562D6" w:rsidRPr="0016647D" w:rsidRDefault="00F562D6" w:rsidP="002B0EAB">
                  <w:pPr>
                    <w:pStyle w:val="Paragraph"/>
                    <w:spacing w:before="0" w:after="0"/>
                    <w:jc w:val="right"/>
                    <w:rPr>
                      <w:rFonts w:cs="Arial"/>
                      <w:sz w:val="16"/>
                      <w:szCs w:val="16"/>
                    </w:rPr>
                  </w:pPr>
                  <w:r w:rsidRPr="0016647D">
                    <w:rPr>
                      <w:rFonts w:cs="Arial"/>
                      <w:color w:val="000000" w:themeColor="text1"/>
                      <w:sz w:val="16"/>
                      <w:szCs w:val="16"/>
                    </w:rPr>
                    <w:t>523</w:t>
                  </w:r>
                </w:p>
              </w:tc>
              <w:tc>
                <w:tcPr>
                  <w:tcW w:w="907" w:type="dxa"/>
                  <w:vAlign w:val="bottom"/>
                </w:tcPr>
                <w:p w14:paraId="075DA908" w14:textId="77777777" w:rsidR="00F562D6" w:rsidRPr="0016647D" w:rsidRDefault="00F562D6" w:rsidP="002B0EAB">
                  <w:pPr>
                    <w:pStyle w:val="Paragraph"/>
                    <w:spacing w:before="0" w:after="0"/>
                    <w:jc w:val="right"/>
                    <w:rPr>
                      <w:rFonts w:cs="Arial"/>
                      <w:sz w:val="16"/>
                      <w:szCs w:val="16"/>
                    </w:rPr>
                  </w:pPr>
                  <w:r w:rsidRPr="0016647D">
                    <w:rPr>
                      <w:rFonts w:cs="Arial"/>
                      <w:color w:val="000000" w:themeColor="text1"/>
                      <w:sz w:val="16"/>
                      <w:szCs w:val="16"/>
                    </w:rPr>
                    <w:t>386</w:t>
                  </w:r>
                </w:p>
              </w:tc>
              <w:tc>
                <w:tcPr>
                  <w:tcW w:w="908" w:type="dxa"/>
                  <w:vAlign w:val="bottom"/>
                </w:tcPr>
                <w:p w14:paraId="2F2A4863" w14:textId="77777777" w:rsidR="00F562D6" w:rsidRPr="0016647D" w:rsidRDefault="00F562D6" w:rsidP="002B0EAB">
                  <w:pPr>
                    <w:pStyle w:val="Paragraph"/>
                    <w:spacing w:before="0" w:after="0"/>
                    <w:jc w:val="right"/>
                    <w:rPr>
                      <w:rFonts w:cs="Arial"/>
                      <w:sz w:val="16"/>
                      <w:szCs w:val="16"/>
                    </w:rPr>
                  </w:pPr>
                  <w:r w:rsidRPr="0016647D">
                    <w:rPr>
                      <w:rFonts w:cs="Arial"/>
                      <w:color w:val="000000" w:themeColor="text1"/>
                      <w:sz w:val="16"/>
                      <w:szCs w:val="16"/>
                    </w:rPr>
                    <w:t>371</w:t>
                  </w:r>
                </w:p>
              </w:tc>
            </w:tr>
            <w:tr w:rsidR="00F562D6" w:rsidRPr="0016647D" w14:paraId="4A3DF194" w14:textId="77777777" w:rsidTr="002B0EAB">
              <w:trPr>
                <w:trHeight w:val="170"/>
              </w:trPr>
              <w:tc>
                <w:tcPr>
                  <w:tcW w:w="2689" w:type="dxa"/>
                  <w:vAlign w:val="bottom"/>
                </w:tcPr>
                <w:p w14:paraId="04CE8B32" w14:textId="77777777" w:rsidR="00F562D6" w:rsidRPr="0016647D" w:rsidDel="00FF6F60" w:rsidRDefault="00F562D6" w:rsidP="002B0EAB">
                  <w:pPr>
                    <w:pStyle w:val="Paragraph"/>
                    <w:spacing w:before="0" w:after="0"/>
                    <w:rPr>
                      <w:rFonts w:cs="Arial"/>
                      <w:sz w:val="16"/>
                      <w:szCs w:val="16"/>
                    </w:rPr>
                  </w:pPr>
                  <w:r w:rsidRPr="0016647D">
                    <w:rPr>
                      <w:rFonts w:cs="Arial"/>
                      <w:sz w:val="16"/>
                      <w:szCs w:val="16"/>
                    </w:rPr>
                    <w:t>* Eesti</w:t>
                  </w:r>
                </w:p>
              </w:tc>
              <w:tc>
                <w:tcPr>
                  <w:tcW w:w="907" w:type="dxa"/>
                </w:tcPr>
                <w:p w14:paraId="02BEBC68" w14:textId="77777777" w:rsidR="00F562D6" w:rsidRPr="0016647D" w:rsidRDefault="00F562D6" w:rsidP="002B0EAB">
                  <w:pPr>
                    <w:pStyle w:val="Paragraph"/>
                    <w:spacing w:before="0" w:after="0"/>
                    <w:jc w:val="right"/>
                    <w:rPr>
                      <w:rFonts w:cs="Arial"/>
                      <w:sz w:val="16"/>
                      <w:szCs w:val="16"/>
                    </w:rPr>
                  </w:pPr>
                  <w:r w:rsidRPr="0016647D">
                    <w:rPr>
                      <w:sz w:val="16"/>
                      <w:szCs w:val="16"/>
                    </w:rPr>
                    <w:t>3 612</w:t>
                  </w:r>
                </w:p>
              </w:tc>
              <w:tc>
                <w:tcPr>
                  <w:tcW w:w="907" w:type="dxa"/>
                </w:tcPr>
                <w:p w14:paraId="6A4EA0F2" w14:textId="77777777" w:rsidR="00F562D6" w:rsidRPr="0016647D" w:rsidRDefault="00F562D6" w:rsidP="002B0EAB">
                  <w:pPr>
                    <w:pStyle w:val="Paragraph"/>
                    <w:spacing w:before="0" w:after="0"/>
                    <w:jc w:val="right"/>
                    <w:rPr>
                      <w:rFonts w:cs="Arial"/>
                      <w:sz w:val="16"/>
                      <w:szCs w:val="16"/>
                    </w:rPr>
                  </w:pPr>
                  <w:r w:rsidRPr="0016647D">
                    <w:rPr>
                      <w:sz w:val="16"/>
                      <w:szCs w:val="16"/>
                    </w:rPr>
                    <w:t>4 602</w:t>
                  </w:r>
                </w:p>
              </w:tc>
              <w:tc>
                <w:tcPr>
                  <w:tcW w:w="907" w:type="dxa"/>
                  <w:vAlign w:val="bottom"/>
                </w:tcPr>
                <w:p w14:paraId="65814279" w14:textId="77777777" w:rsidR="00F562D6" w:rsidRPr="0016647D" w:rsidRDefault="00F562D6" w:rsidP="002B0EAB">
                  <w:pPr>
                    <w:pStyle w:val="Paragraph"/>
                    <w:spacing w:before="0" w:after="0"/>
                    <w:jc w:val="right"/>
                    <w:rPr>
                      <w:color w:val="000000" w:themeColor="text1"/>
                      <w:sz w:val="16"/>
                      <w:szCs w:val="16"/>
                    </w:rPr>
                  </w:pPr>
                  <w:r w:rsidRPr="0016647D">
                    <w:rPr>
                      <w:rFonts w:cs="Arial"/>
                      <w:sz w:val="16"/>
                      <w:szCs w:val="16"/>
                    </w:rPr>
                    <w:t>7 230</w:t>
                  </w:r>
                </w:p>
              </w:tc>
              <w:tc>
                <w:tcPr>
                  <w:tcW w:w="907" w:type="dxa"/>
                  <w:vAlign w:val="bottom"/>
                </w:tcPr>
                <w:p w14:paraId="2AE015A4" w14:textId="77777777" w:rsidR="00F562D6" w:rsidRPr="0016647D" w:rsidRDefault="00F562D6" w:rsidP="002B0EAB">
                  <w:pPr>
                    <w:pStyle w:val="Paragraph"/>
                    <w:spacing w:before="0" w:after="0"/>
                    <w:jc w:val="right"/>
                    <w:rPr>
                      <w:color w:val="000000" w:themeColor="text1"/>
                      <w:sz w:val="16"/>
                      <w:szCs w:val="16"/>
                    </w:rPr>
                  </w:pPr>
                  <w:r w:rsidRPr="0016647D">
                    <w:rPr>
                      <w:rFonts w:cs="Arial"/>
                      <w:sz w:val="16"/>
                      <w:szCs w:val="16"/>
                    </w:rPr>
                    <w:t>8 279</w:t>
                  </w:r>
                </w:p>
              </w:tc>
              <w:tc>
                <w:tcPr>
                  <w:tcW w:w="908" w:type="dxa"/>
                  <w:vAlign w:val="bottom"/>
                </w:tcPr>
                <w:p w14:paraId="71AB0DD1" w14:textId="77777777" w:rsidR="00F562D6" w:rsidRPr="0016647D" w:rsidRDefault="00F562D6" w:rsidP="002B0EAB">
                  <w:pPr>
                    <w:pStyle w:val="Paragraph"/>
                    <w:spacing w:before="0" w:after="0"/>
                    <w:jc w:val="right"/>
                    <w:rPr>
                      <w:color w:val="000000" w:themeColor="text1"/>
                      <w:sz w:val="16"/>
                      <w:szCs w:val="16"/>
                    </w:rPr>
                  </w:pPr>
                  <w:r w:rsidRPr="0016647D">
                    <w:rPr>
                      <w:rFonts w:cs="Arial"/>
                      <w:color w:val="000000"/>
                      <w:sz w:val="16"/>
                      <w:szCs w:val="16"/>
                    </w:rPr>
                    <w:t>3 382</w:t>
                  </w:r>
                </w:p>
              </w:tc>
            </w:tr>
            <w:tr w:rsidR="00F562D6" w:rsidRPr="0016647D" w14:paraId="5BD4099B" w14:textId="77777777" w:rsidTr="002B0EAB">
              <w:trPr>
                <w:trHeight w:val="170"/>
              </w:trPr>
              <w:tc>
                <w:tcPr>
                  <w:tcW w:w="2689" w:type="dxa"/>
                  <w:vAlign w:val="bottom"/>
                </w:tcPr>
                <w:p w14:paraId="45698EE9" w14:textId="77777777" w:rsidR="00F562D6" w:rsidRPr="0016647D" w:rsidRDefault="00F562D6" w:rsidP="002B0EAB">
                  <w:pPr>
                    <w:pStyle w:val="Paragraph"/>
                    <w:spacing w:before="0" w:after="0"/>
                    <w:rPr>
                      <w:rFonts w:cs="Arial"/>
                      <w:sz w:val="16"/>
                      <w:szCs w:val="16"/>
                    </w:rPr>
                  </w:pPr>
                  <w:r w:rsidRPr="0016647D">
                    <w:rPr>
                      <w:rFonts w:cs="Arial"/>
                      <w:sz w:val="16"/>
                      <w:szCs w:val="16"/>
                    </w:rPr>
                    <w:t>* Läti</w:t>
                  </w:r>
                </w:p>
              </w:tc>
              <w:tc>
                <w:tcPr>
                  <w:tcW w:w="907" w:type="dxa"/>
                </w:tcPr>
                <w:p w14:paraId="7D9C59CE" w14:textId="77777777" w:rsidR="00F562D6" w:rsidRPr="0016647D" w:rsidRDefault="00F562D6" w:rsidP="002B0EAB">
                  <w:pPr>
                    <w:pStyle w:val="Paragraph"/>
                    <w:spacing w:before="0" w:after="0"/>
                    <w:jc w:val="right"/>
                    <w:rPr>
                      <w:rFonts w:cs="Arial"/>
                      <w:sz w:val="16"/>
                      <w:szCs w:val="16"/>
                    </w:rPr>
                  </w:pPr>
                  <w:r w:rsidRPr="0016647D">
                    <w:rPr>
                      <w:sz w:val="16"/>
                      <w:szCs w:val="16"/>
                    </w:rPr>
                    <w:t>789</w:t>
                  </w:r>
                </w:p>
              </w:tc>
              <w:tc>
                <w:tcPr>
                  <w:tcW w:w="907" w:type="dxa"/>
                </w:tcPr>
                <w:p w14:paraId="722E39E1" w14:textId="77777777" w:rsidR="00F562D6" w:rsidRPr="0016647D" w:rsidRDefault="00F562D6" w:rsidP="002B0EAB">
                  <w:pPr>
                    <w:pStyle w:val="Paragraph"/>
                    <w:spacing w:before="0" w:after="0"/>
                    <w:jc w:val="right"/>
                    <w:rPr>
                      <w:rFonts w:cs="Arial"/>
                      <w:sz w:val="16"/>
                      <w:szCs w:val="16"/>
                    </w:rPr>
                  </w:pPr>
                  <w:r w:rsidRPr="0016647D">
                    <w:rPr>
                      <w:sz w:val="16"/>
                      <w:szCs w:val="16"/>
                    </w:rPr>
                    <w:t>735</w:t>
                  </w:r>
                </w:p>
              </w:tc>
              <w:tc>
                <w:tcPr>
                  <w:tcW w:w="907" w:type="dxa"/>
                  <w:vAlign w:val="bottom"/>
                </w:tcPr>
                <w:p w14:paraId="726F6B4A" w14:textId="77777777" w:rsidR="00F562D6" w:rsidRPr="0016647D" w:rsidRDefault="002C4434" w:rsidP="002B0EAB">
                  <w:pPr>
                    <w:pStyle w:val="Paragraph"/>
                    <w:spacing w:before="0" w:after="0"/>
                    <w:jc w:val="right"/>
                    <w:rPr>
                      <w:rFonts w:cs="Arial"/>
                      <w:sz w:val="16"/>
                      <w:szCs w:val="16"/>
                    </w:rPr>
                  </w:pPr>
                  <w:r w:rsidRPr="0016647D">
                    <w:rPr>
                      <w:sz w:val="16"/>
                      <w:szCs w:val="16"/>
                    </w:rPr>
                    <w:t>1 565</w:t>
                  </w:r>
                </w:p>
              </w:tc>
              <w:tc>
                <w:tcPr>
                  <w:tcW w:w="907" w:type="dxa"/>
                  <w:vAlign w:val="bottom"/>
                </w:tcPr>
                <w:p w14:paraId="3773EE25" w14:textId="77777777" w:rsidR="00F562D6" w:rsidRPr="0016647D" w:rsidRDefault="002C4434" w:rsidP="002B0EAB">
                  <w:pPr>
                    <w:pStyle w:val="Paragraph"/>
                    <w:spacing w:before="0" w:after="0"/>
                    <w:jc w:val="right"/>
                    <w:rPr>
                      <w:rFonts w:cs="Arial"/>
                      <w:sz w:val="16"/>
                      <w:szCs w:val="16"/>
                    </w:rPr>
                  </w:pPr>
                  <w:r w:rsidRPr="0016647D">
                    <w:rPr>
                      <w:sz w:val="16"/>
                      <w:szCs w:val="16"/>
                    </w:rPr>
                    <w:t>1 624</w:t>
                  </w:r>
                </w:p>
              </w:tc>
              <w:tc>
                <w:tcPr>
                  <w:tcW w:w="908" w:type="dxa"/>
                  <w:vAlign w:val="bottom"/>
                </w:tcPr>
                <w:p w14:paraId="7583C972" w14:textId="77777777" w:rsidR="00F562D6" w:rsidRPr="0016647D" w:rsidRDefault="002C4434" w:rsidP="002B0EAB">
                  <w:pPr>
                    <w:pStyle w:val="Paragraph"/>
                    <w:spacing w:before="0" w:after="0"/>
                    <w:jc w:val="right"/>
                    <w:rPr>
                      <w:rFonts w:cs="Arial"/>
                      <w:sz w:val="16"/>
                      <w:szCs w:val="16"/>
                    </w:rPr>
                  </w:pPr>
                  <w:r w:rsidRPr="0016647D">
                    <w:rPr>
                      <w:sz w:val="16"/>
                      <w:szCs w:val="16"/>
                    </w:rPr>
                    <w:t>1 585</w:t>
                  </w:r>
                </w:p>
              </w:tc>
            </w:tr>
            <w:tr w:rsidR="00F562D6" w:rsidRPr="0016647D" w14:paraId="71E8830E" w14:textId="77777777" w:rsidTr="002B0EAB">
              <w:trPr>
                <w:trHeight w:val="170"/>
              </w:trPr>
              <w:tc>
                <w:tcPr>
                  <w:tcW w:w="2689" w:type="dxa"/>
                  <w:vAlign w:val="bottom"/>
                </w:tcPr>
                <w:p w14:paraId="70816E6D" w14:textId="77777777" w:rsidR="00F562D6" w:rsidRPr="0016647D" w:rsidRDefault="00F562D6" w:rsidP="002B0EAB">
                  <w:pPr>
                    <w:pStyle w:val="Paragraph"/>
                    <w:spacing w:before="0" w:after="0"/>
                    <w:rPr>
                      <w:rFonts w:cs="Arial"/>
                      <w:sz w:val="16"/>
                      <w:szCs w:val="16"/>
                    </w:rPr>
                  </w:pPr>
                  <w:r w:rsidRPr="0016647D">
                    <w:rPr>
                      <w:rFonts w:cs="Arial"/>
                      <w:sz w:val="16"/>
                      <w:szCs w:val="16"/>
                    </w:rPr>
                    <w:t>* Leedu</w:t>
                  </w:r>
                </w:p>
              </w:tc>
              <w:tc>
                <w:tcPr>
                  <w:tcW w:w="907" w:type="dxa"/>
                </w:tcPr>
                <w:p w14:paraId="307633C0" w14:textId="77777777" w:rsidR="00F562D6" w:rsidRPr="0016647D" w:rsidRDefault="00F562D6" w:rsidP="002B0EAB">
                  <w:pPr>
                    <w:pStyle w:val="Paragraph"/>
                    <w:spacing w:before="0" w:after="0"/>
                    <w:jc w:val="right"/>
                    <w:rPr>
                      <w:rFonts w:cs="Arial"/>
                      <w:sz w:val="16"/>
                      <w:szCs w:val="16"/>
                    </w:rPr>
                  </w:pPr>
                  <w:r w:rsidRPr="0016647D">
                    <w:rPr>
                      <w:sz w:val="16"/>
                      <w:szCs w:val="16"/>
                    </w:rPr>
                    <w:t>1 546</w:t>
                  </w:r>
                </w:p>
              </w:tc>
              <w:tc>
                <w:tcPr>
                  <w:tcW w:w="907" w:type="dxa"/>
                </w:tcPr>
                <w:p w14:paraId="41AC12CF" w14:textId="77777777" w:rsidR="00F562D6" w:rsidRPr="0016647D" w:rsidRDefault="00F562D6" w:rsidP="002B0EAB">
                  <w:pPr>
                    <w:pStyle w:val="Paragraph"/>
                    <w:spacing w:before="0" w:after="0"/>
                    <w:jc w:val="right"/>
                    <w:rPr>
                      <w:rFonts w:cs="Arial"/>
                      <w:sz w:val="16"/>
                      <w:szCs w:val="16"/>
                    </w:rPr>
                  </w:pPr>
                  <w:r w:rsidRPr="0016647D">
                    <w:rPr>
                      <w:sz w:val="16"/>
                      <w:szCs w:val="16"/>
                    </w:rPr>
                    <w:t>1 335</w:t>
                  </w:r>
                </w:p>
              </w:tc>
              <w:tc>
                <w:tcPr>
                  <w:tcW w:w="907" w:type="dxa"/>
                  <w:vAlign w:val="bottom"/>
                </w:tcPr>
                <w:p w14:paraId="015A62AC" w14:textId="77777777" w:rsidR="00F562D6" w:rsidRPr="0016647D" w:rsidRDefault="00F562D6" w:rsidP="002B0EAB">
                  <w:pPr>
                    <w:pStyle w:val="Paragraph"/>
                    <w:spacing w:before="0" w:after="0"/>
                    <w:jc w:val="right"/>
                    <w:rPr>
                      <w:rFonts w:cs="Arial"/>
                      <w:color w:val="000000" w:themeColor="text1"/>
                      <w:sz w:val="16"/>
                      <w:szCs w:val="16"/>
                    </w:rPr>
                  </w:pPr>
                  <w:r w:rsidRPr="0016647D">
                    <w:rPr>
                      <w:rFonts w:cs="Arial"/>
                      <w:sz w:val="16"/>
                      <w:szCs w:val="16"/>
                    </w:rPr>
                    <w:t>8 965</w:t>
                  </w:r>
                </w:p>
              </w:tc>
              <w:tc>
                <w:tcPr>
                  <w:tcW w:w="907" w:type="dxa"/>
                  <w:vAlign w:val="bottom"/>
                </w:tcPr>
                <w:p w14:paraId="0388214D" w14:textId="77777777" w:rsidR="00F562D6" w:rsidRPr="0016647D" w:rsidRDefault="00F562D6" w:rsidP="002B0EAB">
                  <w:pPr>
                    <w:pStyle w:val="Paragraph"/>
                    <w:spacing w:before="0" w:after="0"/>
                    <w:jc w:val="right"/>
                    <w:rPr>
                      <w:rFonts w:cs="Arial"/>
                      <w:color w:val="000000" w:themeColor="text1"/>
                      <w:sz w:val="16"/>
                      <w:szCs w:val="16"/>
                    </w:rPr>
                  </w:pPr>
                  <w:r w:rsidRPr="0016647D">
                    <w:rPr>
                      <w:rFonts w:cs="Arial"/>
                      <w:sz w:val="16"/>
                      <w:szCs w:val="16"/>
                    </w:rPr>
                    <w:t>4 925</w:t>
                  </w:r>
                </w:p>
              </w:tc>
              <w:tc>
                <w:tcPr>
                  <w:tcW w:w="908" w:type="dxa"/>
                  <w:vAlign w:val="bottom"/>
                </w:tcPr>
                <w:p w14:paraId="18723F06" w14:textId="77777777" w:rsidR="00F562D6" w:rsidRPr="0016647D" w:rsidRDefault="00F562D6" w:rsidP="002B0EAB">
                  <w:pPr>
                    <w:pStyle w:val="Paragraph"/>
                    <w:spacing w:before="0" w:after="0"/>
                    <w:jc w:val="right"/>
                    <w:rPr>
                      <w:rFonts w:cs="Arial"/>
                      <w:color w:val="000000" w:themeColor="text1"/>
                      <w:sz w:val="16"/>
                      <w:szCs w:val="16"/>
                    </w:rPr>
                  </w:pPr>
                  <w:r w:rsidRPr="0016647D">
                    <w:rPr>
                      <w:rFonts w:cs="Arial"/>
                      <w:color w:val="000000"/>
                      <w:sz w:val="16"/>
                      <w:szCs w:val="16"/>
                    </w:rPr>
                    <w:t>2 441</w:t>
                  </w:r>
                </w:p>
              </w:tc>
            </w:tr>
            <w:tr w:rsidR="00F562D6" w:rsidRPr="0016647D" w14:paraId="3F26E753" w14:textId="77777777" w:rsidTr="002B0EAB">
              <w:trPr>
                <w:trHeight w:val="170"/>
              </w:trPr>
              <w:tc>
                <w:tcPr>
                  <w:tcW w:w="2689" w:type="dxa"/>
                  <w:vAlign w:val="bottom"/>
                </w:tcPr>
                <w:p w14:paraId="7FF8A1A8" w14:textId="77777777" w:rsidR="00F562D6" w:rsidRPr="0016647D" w:rsidRDefault="00F562D6" w:rsidP="002B0EAB">
                  <w:pPr>
                    <w:pStyle w:val="Paragraph"/>
                    <w:spacing w:before="0" w:after="0"/>
                    <w:rPr>
                      <w:rFonts w:cs="Arial"/>
                      <w:sz w:val="16"/>
                      <w:szCs w:val="16"/>
                    </w:rPr>
                  </w:pPr>
                  <w:r w:rsidRPr="0016647D">
                    <w:rPr>
                      <w:rFonts w:cs="Arial"/>
                      <w:sz w:val="16"/>
                      <w:szCs w:val="16"/>
                    </w:rPr>
                    <w:t>* Saksamaa</w:t>
                  </w:r>
                </w:p>
              </w:tc>
              <w:tc>
                <w:tcPr>
                  <w:tcW w:w="907" w:type="dxa"/>
                </w:tcPr>
                <w:p w14:paraId="005E99E7" w14:textId="77777777" w:rsidR="00F562D6" w:rsidRPr="0016647D" w:rsidRDefault="00F562D6" w:rsidP="002B0EAB">
                  <w:pPr>
                    <w:pStyle w:val="Paragraph"/>
                    <w:spacing w:before="0" w:after="0"/>
                    <w:jc w:val="right"/>
                    <w:rPr>
                      <w:rFonts w:cs="Arial"/>
                      <w:sz w:val="16"/>
                      <w:szCs w:val="16"/>
                    </w:rPr>
                  </w:pPr>
                  <w:r w:rsidRPr="0016647D">
                    <w:rPr>
                      <w:sz w:val="16"/>
                      <w:szCs w:val="16"/>
                    </w:rPr>
                    <w:t>1 841</w:t>
                  </w:r>
                </w:p>
              </w:tc>
              <w:tc>
                <w:tcPr>
                  <w:tcW w:w="907" w:type="dxa"/>
                </w:tcPr>
                <w:p w14:paraId="4842EDBD" w14:textId="77777777" w:rsidR="00F562D6" w:rsidRPr="0016647D" w:rsidRDefault="00F562D6" w:rsidP="002B0EAB">
                  <w:pPr>
                    <w:pStyle w:val="Paragraph"/>
                    <w:spacing w:before="0" w:after="0"/>
                    <w:jc w:val="right"/>
                    <w:rPr>
                      <w:rFonts w:cs="Arial"/>
                      <w:sz w:val="16"/>
                      <w:szCs w:val="16"/>
                    </w:rPr>
                  </w:pPr>
                  <w:r w:rsidRPr="0016647D">
                    <w:rPr>
                      <w:sz w:val="16"/>
                      <w:szCs w:val="16"/>
                    </w:rPr>
                    <w:t>1 775</w:t>
                  </w:r>
                </w:p>
              </w:tc>
              <w:tc>
                <w:tcPr>
                  <w:tcW w:w="907" w:type="dxa"/>
                  <w:vAlign w:val="bottom"/>
                </w:tcPr>
                <w:p w14:paraId="4AA735B1" w14:textId="77777777" w:rsidR="00F562D6" w:rsidRPr="0016647D" w:rsidRDefault="00F562D6" w:rsidP="002B0EAB">
                  <w:pPr>
                    <w:pStyle w:val="Paragraph"/>
                    <w:spacing w:before="0" w:after="0"/>
                    <w:jc w:val="right"/>
                    <w:rPr>
                      <w:rFonts w:cs="Arial"/>
                      <w:color w:val="000000" w:themeColor="text1"/>
                      <w:sz w:val="16"/>
                      <w:szCs w:val="16"/>
                    </w:rPr>
                  </w:pPr>
                  <w:r w:rsidRPr="0016647D">
                    <w:rPr>
                      <w:rFonts w:cs="Arial"/>
                      <w:sz w:val="16"/>
                      <w:szCs w:val="16"/>
                    </w:rPr>
                    <w:t>3 421</w:t>
                  </w:r>
                </w:p>
              </w:tc>
              <w:tc>
                <w:tcPr>
                  <w:tcW w:w="907" w:type="dxa"/>
                  <w:vAlign w:val="bottom"/>
                </w:tcPr>
                <w:p w14:paraId="0BC39AD9" w14:textId="77777777" w:rsidR="00F562D6" w:rsidRPr="0016647D" w:rsidRDefault="00F562D6" w:rsidP="002B0EAB">
                  <w:pPr>
                    <w:pStyle w:val="Paragraph"/>
                    <w:spacing w:before="0" w:after="0"/>
                    <w:jc w:val="right"/>
                    <w:rPr>
                      <w:rFonts w:cs="Arial"/>
                      <w:color w:val="000000" w:themeColor="text1"/>
                      <w:sz w:val="16"/>
                      <w:szCs w:val="16"/>
                    </w:rPr>
                  </w:pPr>
                  <w:r w:rsidRPr="0016647D">
                    <w:rPr>
                      <w:rFonts w:cs="Arial"/>
                      <w:sz w:val="16"/>
                      <w:szCs w:val="16"/>
                    </w:rPr>
                    <w:t>3 937</w:t>
                  </w:r>
                </w:p>
              </w:tc>
              <w:tc>
                <w:tcPr>
                  <w:tcW w:w="908" w:type="dxa"/>
                  <w:vAlign w:val="bottom"/>
                </w:tcPr>
                <w:p w14:paraId="6A183E9C" w14:textId="77777777" w:rsidR="00F562D6" w:rsidRPr="0016647D" w:rsidRDefault="00F562D6" w:rsidP="002B0EAB">
                  <w:pPr>
                    <w:pStyle w:val="Paragraph"/>
                    <w:spacing w:before="0" w:after="0"/>
                    <w:jc w:val="right"/>
                    <w:rPr>
                      <w:rFonts w:cs="Arial"/>
                      <w:color w:val="000000" w:themeColor="text1"/>
                      <w:sz w:val="16"/>
                      <w:szCs w:val="16"/>
                    </w:rPr>
                  </w:pPr>
                  <w:r w:rsidRPr="0016647D">
                    <w:rPr>
                      <w:rFonts w:cs="Arial"/>
                      <w:color w:val="000000"/>
                      <w:sz w:val="16"/>
                      <w:szCs w:val="16"/>
                    </w:rPr>
                    <w:t>3 363</w:t>
                  </w:r>
                </w:p>
              </w:tc>
            </w:tr>
            <w:tr w:rsidR="00F562D6" w:rsidRPr="0016647D" w14:paraId="1BBE4B52" w14:textId="77777777" w:rsidTr="002B0EAB">
              <w:trPr>
                <w:trHeight w:val="170"/>
              </w:trPr>
              <w:tc>
                <w:tcPr>
                  <w:tcW w:w="2689" w:type="dxa"/>
                  <w:vAlign w:val="bottom"/>
                </w:tcPr>
                <w:p w14:paraId="52853045" w14:textId="77777777" w:rsidR="00F562D6" w:rsidRPr="0016647D" w:rsidRDefault="00F562D6" w:rsidP="002B0EAB">
                  <w:pPr>
                    <w:pStyle w:val="Paragraph"/>
                    <w:spacing w:before="0" w:after="0"/>
                    <w:rPr>
                      <w:rFonts w:cs="Arial"/>
                      <w:sz w:val="16"/>
                      <w:szCs w:val="16"/>
                    </w:rPr>
                  </w:pPr>
                  <w:r w:rsidRPr="0016647D">
                    <w:rPr>
                      <w:rFonts w:cs="Arial"/>
                      <w:i/>
                      <w:iCs/>
                      <w:sz w:val="16"/>
                      <w:szCs w:val="16"/>
                    </w:rPr>
                    <w:lastRenderedPageBreak/>
                    <w:t>* elimineerimised</w:t>
                  </w:r>
                </w:p>
              </w:tc>
              <w:tc>
                <w:tcPr>
                  <w:tcW w:w="907" w:type="dxa"/>
                </w:tcPr>
                <w:p w14:paraId="5A99AE17" w14:textId="77777777" w:rsidR="00F562D6" w:rsidRPr="0016647D" w:rsidRDefault="00F562D6" w:rsidP="002B0EAB">
                  <w:pPr>
                    <w:pStyle w:val="Paragraph"/>
                    <w:spacing w:before="0" w:after="0"/>
                    <w:jc w:val="right"/>
                    <w:rPr>
                      <w:rFonts w:cs="Arial"/>
                      <w:sz w:val="16"/>
                      <w:szCs w:val="16"/>
                    </w:rPr>
                  </w:pPr>
                  <w:r w:rsidRPr="0016647D">
                    <w:rPr>
                      <w:i/>
                      <w:iCs/>
                      <w:sz w:val="16"/>
                      <w:szCs w:val="16"/>
                    </w:rPr>
                    <w:t>-234</w:t>
                  </w:r>
                </w:p>
              </w:tc>
              <w:tc>
                <w:tcPr>
                  <w:tcW w:w="907" w:type="dxa"/>
                </w:tcPr>
                <w:p w14:paraId="54B89F31" w14:textId="77777777" w:rsidR="00F562D6" w:rsidRPr="0016647D" w:rsidRDefault="00F562D6" w:rsidP="002B0EAB">
                  <w:pPr>
                    <w:pStyle w:val="Paragraph"/>
                    <w:spacing w:before="0" w:after="0"/>
                    <w:jc w:val="right"/>
                    <w:rPr>
                      <w:rFonts w:cs="Arial"/>
                      <w:sz w:val="16"/>
                      <w:szCs w:val="16"/>
                    </w:rPr>
                  </w:pPr>
                  <w:r w:rsidRPr="0016647D">
                    <w:rPr>
                      <w:i/>
                      <w:iCs/>
                      <w:sz w:val="16"/>
                      <w:szCs w:val="16"/>
                    </w:rPr>
                    <w:t>-244</w:t>
                  </w:r>
                </w:p>
              </w:tc>
              <w:tc>
                <w:tcPr>
                  <w:tcW w:w="907" w:type="dxa"/>
                  <w:vAlign w:val="bottom"/>
                </w:tcPr>
                <w:p w14:paraId="49BFF7C9" w14:textId="77777777" w:rsidR="00F562D6" w:rsidRPr="0016647D" w:rsidRDefault="00F562D6" w:rsidP="002B0EAB">
                  <w:pPr>
                    <w:pStyle w:val="Paragraph"/>
                    <w:spacing w:before="0" w:after="0"/>
                    <w:jc w:val="right"/>
                    <w:rPr>
                      <w:rFonts w:cs="Arial"/>
                      <w:sz w:val="16"/>
                      <w:szCs w:val="16"/>
                    </w:rPr>
                  </w:pPr>
                  <w:r w:rsidRPr="0016647D">
                    <w:rPr>
                      <w:rFonts w:cs="Arial"/>
                      <w:i/>
                      <w:iCs/>
                      <w:sz w:val="16"/>
                      <w:szCs w:val="16"/>
                    </w:rPr>
                    <w:t>-1 052</w:t>
                  </w:r>
                </w:p>
              </w:tc>
              <w:tc>
                <w:tcPr>
                  <w:tcW w:w="907" w:type="dxa"/>
                  <w:vAlign w:val="bottom"/>
                </w:tcPr>
                <w:p w14:paraId="6491C3D1" w14:textId="77777777" w:rsidR="00F562D6" w:rsidRPr="0016647D" w:rsidRDefault="00F562D6" w:rsidP="002B0EAB">
                  <w:pPr>
                    <w:pStyle w:val="Paragraph"/>
                    <w:spacing w:before="0" w:after="0"/>
                    <w:jc w:val="right"/>
                    <w:rPr>
                      <w:rFonts w:cs="Arial"/>
                      <w:sz w:val="16"/>
                      <w:szCs w:val="16"/>
                    </w:rPr>
                  </w:pPr>
                  <w:r w:rsidRPr="0016647D">
                    <w:rPr>
                      <w:rFonts w:cs="Arial"/>
                      <w:i/>
                      <w:iCs/>
                      <w:sz w:val="16"/>
                      <w:szCs w:val="16"/>
                    </w:rPr>
                    <w:t>-829</w:t>
                  </w:r>
                </w:p>
              </w:tc>
              <w:tc>
                <w:tcPr>
                  <w:tcW w:w="908" w:type="dxa"/>
                  <w:vAlign w:val="bottom"/>
                </w:tcPr>
                <w:p w14:paraId="4712150C" w14:textId="77777777" w:rsidR="00F562D6" w:rsidRPr="0016647D" w:rsidRDefault="00F562D6" w:rsidP="002B0EAB">
                  <w:pPr>
                    <w:pStyle w:val="Paragraph"/>
                    <w:spacing w:before="0" w:after="0"/>
                    <w:jc w:val="right"/>
                    <w:rPr>
                      <w:rFonts w:cs="Arial"/>
                      <w:sz w:val="16"/>
                      <w:szCs w:val="16"/>
                    </w:rPr>
                  </w:pPr>
                  <w:r w:rsidRPr="0016647D">
                    <w:rPr>
                      <w:rFonts w:cs="Arial"/>
                      <w:i/>
                      <w:iCs/>
                      <w:color w:val="000000"/>
                      <w:sz w:val="16"/>
                      <w:szCs w:val="16"/>
                    </w:rPr>
                    <w:t>-807</w:t>
                  </w:r>
                </w:p>
              </w:tc>
            </w:tr>
            <w:tr w:rsidR="00F562D6" w:rsidRPr="0016647D" w14:paraId="67F8DAE7" w14:textId="77777777" w:rsidTr="002B0EAB">
              <w:trPr>
                <w:trHeight w:val="170"/>
              </w:trPr>
              <w:tc>
                <w:tcPr>
                  <w:tcW w:w="7225" w:type="dxa"/>
                  <w:gridSpan w:val="6"/>
                  <w:vAlign w:val="bottom"/>
                </w:tcPr>
                <w:p w14:paraId="6E5C5A15" w14:textId="77777777" w:rsidR="00F562D6" w:rsidRPr="0016647D" w:rsidRDefault="002C4434" w:rsidP="002B0EAB">
                  <w:pPr>
                    <w:pStyle w:val="Paragraph"/>
                    <w:spacing w:before="0" w:after="0"/>
                    <w:rPr>
                      <w:i/>
                      <w:color w:val="000000" w:themeColor="text1"/>
                      <w:sz w:val="16"/>
                      <w:szCs w:val="16"/>
                    </w:rPr>
                  </w:pPr>
                  <w:r w:rsidRPr="0016647D">
                    <w:rPr>
                      <w:i/>
                      <w:iCs/>
                      <w:color w:val="000000" w:themeColor="text1"/>
                      <w:sz w:val="16"/>
                      <w:szCs w:val="16"/>
                    </w:rPr>
                    <w:t>Allikas: Aruanded, Äriühing</w:t>
                  </w:r>
                </w:p>
              </w:tc>
            </w:tr>
          </w:tbl>
          <w:p w14:paraId="50F2B2BF" w14:textId="77777777" w:rsidR="00F562D6" w:rsidRPr="00CC2AEA" w:rsidRDefault="00F562D6" w:rsidP="002B0EAB">
            <w:pPr>
              <w:ind w:left="31"/>
              <w:jc w:val="both"/>
              <w:rPr>
                <w:rFonts w:ascii="Arial" w:hAnsi="Arial" w:cs="Arial"/>
                <w:sz w:val="16"/>
                <w:szCs w:val="16"/>
              </w:rPr>
            </w:pPr>
          </w:p>
        </w:tc>
      </w:tr>
      <w:tr w:rsidR="00F562D6" w:rsidRPr="00CC2AEA" w14:paraId="1678F262" w14:textId="77777777" w:rsidTr="002B0EAB">
        <w:tc>
          <w:tcPr>
            <w:tcW w:w="714" w:type="dxa"/>
            <w:tcBorders>
              <w:left w:val="single" w:sz="4" w:space="0" w:color="BFBFBF" w:themeColor="background1" w:themeShade="BF"/>
            </w:tcBorders>
          </w:tcPr>
          <w:p w14:paraId="2E6FB313" w14:textId="77777777" w:rsidR="00F562D6" w:rsidRPr="00CC2AEA" w:rsidRDefault="00F562D6" w:rsidP="002B0EAB">
            <w:pPr>
              <w:rPr>
                <w:rFonts w:ascii="Arial" w:hAnsi="Arial" w:cs="Arial"/>
                <w:sz w:val="16"/>
                <w:szCs w:val="16"/>
              </w:rPr>
            </w:pPr>
            <w:r>
              <w:rPr>
                <w:rFonts w:ascii="Arial" w:hAnsi="Arial" w:cs="Arial"/>
                <w:sz w:val="16"/>
                <w:szCs w:val="16"/>
              </w:rPr>
              <w:lastRenderedPageBreak/>
              <w:t>B.4a</w:t>
            </w:r>
          </w:p>
        </w:tc>
        <w:tc>
          <w:tcPr>
            <w:tcW w:w="1554" w:type="dxa"/>
          </w:tcPr>
          <w:p w14:paraId="0E35B4B9" w14:textId="77777777" w:rsidR="00F562D6" w:rsidRPr="00D6671D" w:rsidRDefault="00F562D6" w:rsidP="002B0EAB">
            <w:pPr>
              <w:rPr>
                <w:rFonts w:ascii="Arial" w:hAnsi="Arial" w:cs="Arial"/>
                <w:sz w:val="16"/>
                <w:szCs w:val="16"/>
                <w:lang w:val="fi-FI"/>
              </w:rPr>
            </w:pPr>
            <w:bookmarkStart w:id="3" w:name="_Hlk488764268"/>
            <w:r w:rsidRPr="00D6671D">
              <w:rPr>
                <w:rFonts w:ascii="Arial" w:hAnsi="Arial" w:cs="Arial"/>
                <w:sz w:val="16"/>
                <w:szCs w:val="16"/>
                <w:lang w:val="fi-FI"/>
              </w:rPr>
              <w:t>Emitendi tegevusharu mõjutavate oluliste hiljutiste suundumuste kirjeldus</w:t>
            </w:r>
            <w:bookmarkEnd w:id="3"/>
          </w:p>
        </w:tc>
        <w:tc>
          <w:tcPr>
            <w:tcW w:w="7484" w:type="dxa"/>
            <w:tcBorders>
              <w:top w:val="single" w:sz="4" w:space="0" w:color="auto"/>
              <w:right w:val="single" w:sz="4" w:space="0" w:color="BFBFBF" w:themeColor="background1" w:themeShade="BF"/>
            </w:tcBorders>
          </w:tcPr>
          <w:p w14:paraId="3D62E85C" w14:textId="77777777" w:rsidR="00F562D6" w:rsidRPr="00CC2AEA" w:rsidRDefault="00F562D6" w:rsidP="002B0EAB">
            <w:pPr>
              <w:jc w:val="both"/>
              <w:rPr>
                <w:rFonts w:ascii="Arial" w:hAnsi="Arial" w:cs="Arial"/>
                <w:sz w:val="16"/>
                <w:szCs w:val="16"/>
              </w:rPr>
            </w:pPr>
            <w:r>
              <w:rPr>
                <w:rFonts w:ascii="Arial" w:hAnsi="Arial" w:cs="Arial"/>
                <w:sz w:val="16"/>
                <w:szCs w:val="16"/>
              </w:rPr>
              <w:t xml:space="preserve">puudub </w:t>
            </w:r>
          </w:p>
        </w:tc>
      </w:tr>
      <w:tr w:rsidR="00F562D6" w:rsidRPr="00CC2AEA" w14:paraId="35DF1F7D" w14:textId="77777777" w:rsidTr="002B0EAB">
        <w:tc>
          <w:tcPr>
            <w:tcW w:w="714" w:type="dxa"/>
            <w:tcBorders>
              <w:left w:val="single" w:sz="4" w:space="0" w:color="BFBFBF" w:themeColor="background1" w:themeShade="BF"/>
            </w:tcBorders>
          </w:tcPr>
          <w:p w14:paraId="38F74EBA" w14:textId="77777777" w:rsidR="00F562D6" w:rsidRPr="00CC2AEA" w:rsidRDefault="00F562D6" w:rsidP="002B0EAB">
            <w:pPr>
              <w:rPr>
                <w:rFonts w:ascii="Arial" w:hAnsi="Arial" w:cs="Arial"/>
                <w:sz w:val="16"/>
                <w:szCs w:val="16"/>
              </w:rPr>
            </w:pPr>
            <w:r>
              <w:rPr>
                <w:rFonts w:ascii="Arial" w:hAnsi="Arial" w:cs="Arial"/>
                <w:sz w:val="16"/>
                <w:szCs w:val="16"/>
              </w:rPr>
              <w:t>B.5</w:t>
            </w:r>
          </w:p>
        </w:tc>
        <w:tc>
          <w:tcPr>
            <w:tcW w:w="1554" w:type="dxa"/>
          </w:tcPr>
          <w:p w14:paraId="02940719" w14:textId="77777777" w:rsidR="00F562D6" w:rsidRPr="00D6671D" w:rsidRDefault="00F562D6" w:rsidP="002B0EAB">
            <w:pPr>
              <w:rPr>
                <w:rFonts w:ascii="Arial" w:hAnsi="Arial" w:cs="Arial"/>
                <w:sz w:val="16"/>
                <w:szCs w:val="16"/>
                <w:lang w:val="fi-FI"/>
              </w:rPr>
            </w:pPr>
            <w:r w:rsidRPr="00D6671D">
              <w:rPr>
                <w:rFonts w:ascii="Arial" w:hAnsi="Arial" w:cs="Arial"/>
                <w:sz w:val="16"/>
                <w:szCs w:val="16"/>
                <w:lang w:val="fi-FI"/>
              </w:rPr>
              <w:t>Grupi kirjeldus.</w:t>
            </w:r>
          </w:p>
          <w:p w14:paraId="03E0EF2D" w14:textId="77777777" w:rsidR="00F562D6" w:rsidRPr="00D6671D" w:rsidRDefault="00F562D6" w:rsidP="002B0EAB">
            <w:pPr>
              <w:rPr>
                <w:rFonts w:ascii="Arial" w:hAnsi="Arial" w:cs="Arial"/>
                <w:sz w:val="16"/>
                <w:szCs w:val="16"/>
                <w:lang w:val="fi-FI"/>
              </w:rPr>
            </w:pPr>
            <w:r w:rsidRPr="00D6671D">
              <w:rPr>
                <w:rFonts w:ascii="Arial" w:hAnsi="Arial" w:cs="Arial"/>
                <w:sz w:val="16"/>
                <w:szCs w:val="16"/>
                <w:lang w:val="fi-FI"/>
              </w:rPr>
              <w:t>Äriühingu positsioon Grupis</w:t>
            </w:r>
          </w:p>
        </w:tc>
        <w:tc>
          <w:tcPr>
            <w:tcW w:w="7484" w:type="dxa"/>
            <w:tcBorders>
              <w:right w:val="single" w:sz="4" w:space="0" w:color="BFBFBF" w:themeColor="background1" w:themeShade="BF"/>
            </w:tcBorders>
          </w:tcPr>
          <w:p w14:paraId="67444174" w14:textId="77777777" w:rsidR="00F562D6" w:rsidRPr="00D6671D" w:rsidRDefault="00F562D6" w:rsidP="002B0EAB">
            <w:pPr>
              <w:jc w:val="both"/>
              <w:rPr>
                <w:rFonts w:ascii="Arial" w:hAnsi="Arial" w:cs="Arial"/>
                <w:sz w:val="16"/>
                <w:szCs w:val="16"/>
                <w:lang w:val="fi-FI"/>
              </w:rPr>
            </w:pPr>
            <w:r w:rsidRPr="00D6671D">
              <w:rPr>
                <w:rFonts w:ascii="Arial" w:hAnsi="Arial" w:cs="Arial"/>
                <w:sz w:val="16"/>
                <w:szCs w:val="16"/>
                <w:lang w:val="fi-FI"/>
              </w:rPr>
              <w:t xml:space="preserve">Äriühing on Grupi tegutsev emaettevõtja. Käesoleva Prospekti kuupäeva seisuga kuulub Gruppi 17 Äriühingu tütarettevõtjat, sh: </w:t>
            </w:r>
          </w:p>
          <w:p w14:paraId="408FE123" w14:textId="77777777" w:rsidR="00F562D6" w:rsidRPr="00CC2AEA" w:rsidRDefault="00F562D6" w:rsidP="002B0EAB">
            <w:pPr>
              <w:pStyle w:val="ListParagraph"/>
              <w:numPr>
                <w:ilvl w:val="0"/>
                <w:numId w:val="55"/>
              </w:numPr>
              <w:spacing w:after="0" w:line="240" w:lineRule="auto"/>
              <w:ind w:left="315" w:hanging="284"/>
              <w:contextualSpacing w:val="0"/>
              <w:jc w:val="both"/>
              <w:rPr>
                <w:rFonts w:ascii="Arial" w:hAnsi="Arial" w:cs="Arial"/>
                <w:sz w:val="16"/>
                <w:szCs w:val="16"/>
              </w:rPr>
            </w:pPr>
            <w:r>
              <w:rPr>
                <w:rFonts w:ascii="Arial" w:hAnsi="Arial" w:cs="Arial"/>
                <w:sz w:val="16"/>
                <w:szCs w:val="16"/>
              </w:rPr>
              <w:t>Eestis seitse tütarettevõtjat: AS Pro Kapital Eesti, OÜ Ilmarise Kvartal, AS Tondi Kvartal, OÜ Marsi Elu, OÜ Pro Halduse, AS Tallinna Moekombinaat ja Pro Kapital Germany Holdings OÜ;</w:t>
            </w:r>
          </w:p>
          <w:p w14:paraId="6ABCDCBF" w14:textId="77777777" w:rsidR="00F562D6" w:rsidRPr="00CC2AEA" w:rsidRDefault="00F562D6" w:rsidP="002B0EAB">
            <w:pPr>
              <w:pStyle w:val="ListParagraph"/>
              <w:numPr>
                <w:ilvl w:val="0"/>
                <w:numId w:val="55"/>
              </w:numPr>
              <w:spacing w:after="0" w:line="240" w:lineRule="auto"/>
              <w:ind w:left="315" w:hanging="284"/>
              <w:contextualSpacing w:val="0"/>
              <w:jc w:val="both"/>
              <w:rPr>
                <w:rFonts w:ascii="Arial" w:hAnsi="Arial" w:cs="Arial"/>
                <w:sz w:val="16"/>
                <w:szCs w:val="16"/>
              </w:rPr>
            </w:pPr>
            <w:r>
              <w:rPr>
                <w:rFonts w:ascii="Arial" w:hAnsi="Arial" w:cs="Arial"/>
                <w:sz w:val="16"/>
                <w:szCs w:val="16"/>
              </w:rPr>
              <w:t>Lätis neli tütarettevõtjat: Pro Kapital Latvia JSC, Klīversala SIA, Tallina nekustamie īpašumi SIA ja Nekustamo īpašumu sabiedrība Zvaigznes centrs SIA;</w:t>
            </w:r>
          </w:p>
          <w:p w14:paraId="6A6D6DD7" w14:textId="77777777" w:rsidR="00F562D6" w:rsidRPr="00CC2AEA" w:rsidRDefault="00F562D6" w:rsidP="002B0EAB">
            <w:pPr>
              <w:pStyle w:val="ListParagraph"/>
              <w:numPr>
                <w:ilvl w:val="0"/>
                <w:numId w:val="55"/>
              </w:numPr>
              <w:spacing w:after="0" w:line="240" w:lineRule="auto"/>
              <w:ind w:left="315" w:hanging="284"/>
              <w:contextualSpacing w:val="0"/>
              <w:jc w:val="both"/>
              <w:rPr>
                <w:rFonts w:ascii="Arial" w:hAnsi="Arial" w:cs="Arial"/>
                <w:sz w:val="16"/>
                <w:szCs w:val="16"/>
              </w:rPr>
            </w:pPr>
            <w:r>
              <w:rPr>
                <w:rFonts w:ascii="Arial" w:hAnsi="Arial" w:cs="Arial"/>
                <w:sz w:val="16"/>
                <w:szCs w:val="16"/>
              </w:rPr>
              <w:t xml:space="preserve">Leedus neli tütarettevõtjat: Pro Kapital Vilnius Real Estate UAB, PK Invest UAB, Pro Kapital Bonum UAB ja In Vitam UAB; </w:t>
            </w:r>
          </w:p>
          <w:p w14:paraId="031BC4E0" w14:textId="77777777" w:rsidR="00F562D6" w:rsidRPr="00CC2AEA" w:rsidRDefault="00F562D6" w:rsidP="002B0EAB">
            <w:pPr>
              <w:pStyle w:val="ListParagraph"/>
              <w:numPr>
                <w:ilvl w:val="0"/>
                <w:numId w:val="55"/>
              </w:numPr>
              <w:spacing w:after="0" w:line="240" w:lineRule="auto"/>
              <w:ind w:left="315" w:hanging="284"/>
              <w:contextualSpacing w:val="0"/>
              <w:jc w:val="both"/>
              <w:rPr>
                <w:rFonts w:ascii="Arial" w:hAnsi="Arial" w:cs="Arial"/>
                <w:sz w:val="16"/>
                <w:szCs w:val="16"/>
              </w:rPr>
            </w:pPr>
            <w:r>
              <w:rPr>
                <w:rFonts w:ascii="Arial" w:hAnsi="Arial" w:cs="Arial"/>
                <w:sz w:val="16"/>
                <w:szCs w:val="16"/>
              </w:rPr>
              <w:t>Saksamaal kaks tütarettevõtjat: Pro Kapital Germany GmbH ja PK Hotel Management Services GmbH.</w:t>
            </w:r>
          </w:p>
          <w:p w14:paraId="5B5C6AD6" w14:textId="77777777" w:rsidR="00F562D6" w:rsidRPr="00CC2AEA" w:rsidRDefault="00F562D6" w:rsidP="002B0EAB">
            <w:pPr>
              <w:ind w:left="31"/>
              <w:jc w:val="both"/>
              <w:rPr>
                <w:rFonts w:ascii="Arial" w:hAnsi="Arial" w:cs="Arial"/>
                <w:sz w:val="16"/>
                <w:szCs w:val="16"/>
              </w:rPr>
            </w:pPr>
            <w:r w:rsidRPr="00D6671D">
              <w:rPr>
                <w:rFonts w:ascii="Arial" w:hAnsi="Arial" w:cs="Arial"/>
                <w:sz w:val="16"/>
                <w:szCs w:val="16"/>
                <w:lang w:val="lt-LT"/>
              </w:rPr>
              <w:t xml:space="preserve">100% kõigist tütarettevõtjate aktsiatest kuulub Äriühingule või muule Grupi äriühingule, välja arvatud AS Tallinna Moekombinaadi puhul. </w:t>
            </w:r>
            <w:r>
              <w:rPr>
                <w:rFonts w:ascii="Arial" w:hAnsi="Arial" w:cs="Arial"/>
                <w:sz w:val="16"/>
                <w:szCs w:val="16"/>
              </w:rPr>
              <w:t xml:space="preserve">93,35% AS Tallinna Moekombinaadi aktsiatest kuulub Äriühingu tütarettevõtjale AS Pro Kapital Eesti. </w:t>
            </w:r>
          </w:p>
          <w:p w14:paraId="037B8D0F" w14:textId="77777777" w:rsidR="00F562D6" w:rsidRPr="00CC2AEA" w:rsidRDefault="00F562D6" w:rsidP="002B0EAB">
            <w:pPr>
              <w:ind w:left="31"/>
              <w:jc w:val="both"/>
              <w:rPr>
                <w:rFonts w:ascii="Arial" w:hAnsi="Arial" w:cs="Arial"/>
                <w:sz w:val="16"/>
                <w:szCs w:val="16"/>
              </w:rPr>
            </w:pPr>
          </w:p>
        </w:tc>
      </w:tr>
      <w:tr w:rsidR="00F562D6" w:rsidRPr="006E4666" w14:paraId="2B3FB5B6" w14:textId="77777777" w:rsidTr="002B0EAB">
        <w:tc>
          <w:tcPr>
            <w:tcW w:w="714" w:type="dxa"/>
            <w:tcBorders>
              <w:left w:val="single" w:sz="4" w:space="0" w:color="BFBFBF" w:themeColor="background1" w:themeShade="BF"/>
            </w:tcBorders>
          </w:tcPr>
          <w:p w14:paraId="4BC7CA3D" w14:textId="77777777" w:rsidR="00F562D6" w:rsidRPr="00CC2AEA" w:rsidRDefault="00F562D6" w:rsidP="002B0EAB">
            <w:pPr>
              <w:rPr>
                <w:rFonts w:ascii="Arial" w:hAnsi="Arial" w:cs="Arial"/>
                <w:sz w:val="16"/>
                <w:szCs w:val="16"/>
              </w:rPr>
            </w:pPr>
            <w:r>
              <w:rPr>
                <w:rFonts w:ascii="Arial" w:hAnsi="Arial" w:cs="Arial"/>
                <w:sz w:val="16"/>
                <w:szCs w:val="16"/>
              </w:rPr>
              <w:t>B.6</w:t>
            </w:r>
          </w:p>
        </w:tc>
        <w:tc>
          <w:tcPr>
            <w:tcW w:w="1554" w:type="dxa"/>
          </w:tcPr>
          <w:p w14:paraId="4AA6591B" w14:textId="77777777" w:rsidR="00F562D6" w:rsidRPr="00CC2AEA" w:rsidRDefault="00F562D6" w:rsidP="002B0EAB">
            <w:pPr>
              <w:rPr>
                <w:rFonts w:ascii="Arial" w:hAnsi="Arial" w:cs="Arial"/>
                <w:sz w:val="16"/>
                <w:szCs w:val="16"/>
              </w:rPr>
            </w:pPr>
            <w:r w:rsidRPr="00D6671D">
              <w:rPr>
                <w:rFonts w:ascii="Arial" w:hAnsi="Arial" w:cs="Arial"/>
                <w:sz w:val="16"/>
                <w:szCs w:val="16"/>
                <w:lang w:val="fi-FI"/>
              </w:rPr>
              <w:t xml:space="preserve">Isikud, kellel on otsene või kaudne osalus Äriühingu kapitalis või hääleõigus, millest tuleb teatada vastavalt Eesti õigusele, ning sellise osaluse suurus. </w:t>
            </w:r>
            <w:r>
              <w:rPr>
                <w:rFonts w:ascii="Arial" w:hAnsi="Arial" w:cs="Arial"/>
                <w:sz w:val="16"/>
                <w:szCs w:val="16"/>
              </w:rPr>
              <w:t xml:space="preserve">Põhiaktsionäride hääleõigused. </w:t>
            </w:r>
          </w:p>
          <w:p w14:paraId="6AB53D91" w14:textId="77777777" w:rsidR="00F562D6" w:rsidRPr="00CC2AEA" w:rsidRDefault="00F562D6" w:rsidP="002B0EAB">
            <w:pPr>
              <w:rPr>
                <w:rFonts w:ascii="Arial" w:hAnsi="Arial" w:cs="Arial"/>
                <w:sz w:val="16"/>
                <w:szCs w:val="16"/>
              </w:rPr>
            </w:pPr>
            <w:r>
              <w:rPr>
                <w:rFonts w:ascii="Arial" w:hAnsi="Arial" w:cs="Arial"/>
                <w:sz w:val="16"/>
                <w:szCs w:val="16"/>
              </w:rPr>
              <w:t>Otsene või kaudne kontroll Äriühingu üle</w:t>
            </w:r>
          </w:p>
        </w:tc>
        <w:tc>
          <w:tcPr>
            <w:tcW w:w="7484" w:type="dxa"/>
            <w:tcBorders>
              <w:right w:val="single" w:sz="4" w:space="0" w:color="BFBFBF" w:themeColor="background1" w:themeShade="BF"/>
            </w:tcBorders>
          </w:tcPr>
          <w:p w14:paraId="4607DEEF" w14:textId="77777777" w:rsidR="00F562D6" w:rsidRPr="00D6671D" w:rsidRDefault="00F562D6" w:rsidP="002B0EAB">
            <w:pPr>
              <w:ind w:left="28"/>
              <w:jc w:val="both"/>
              <w:rPr>
                <w:rFonts w:ascii="Arial" w:hAnsi="Arial" w:cs="Arial"/>
                <w:sz w:val="16"/>
                <w:szCs w:val="16"/>
                <w:lang w:val="fi-FI"/>
              </w:rPr>
            </w:pPr>
            <w:r w:rsidRPr="00D6671D">
              <w:rPr>
                <w:rFonts w:ascii="Arial" w:hAnsi="Arial" w:cs="Arial"/>
                <w:sz w:val="16"/>
                <w:szCs w:val="16"/>
                <w:lang w:val="fi-FI"/>
              </w:rPr>
              <w:t>Väärtpaberiregistris hoitava aktsiaraamatu andmete kohaselt on Äriühing Prospekti kuupäevaks emiteerinud kokku 54 271 722 aktsiat nimiväärtusega 0,20 eurot. 31. juuli 2017. aasta seisuga hoiti neid aktsiaid väärtpaberiregistris avatud 82 väärtpaberikontol, sealhulgas 15 esindajakontol. Alljärgnevas tabelis on esitatud teave Äriühingu aktsionäride kohta, kellele seisuga 31. juuli 2017 kuulus üle 5% Äriühingu põhikirjajärgsest aktsiakapitalist:</w:t>
            </w:r>
          </w:p>
          <w:tbl>
            <w:tblPr>
              <w:tblStyle w:val="TableGrid"/>
              <w:tblW w:w="7259" w:type="dxa"/>
              <w:tblBorders>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853"/>
              <w:gridCol w:w="1661"/>
              <w:gridCol w:w="1745"/>
            </w:tblGrid>
            <w:tr w:rsidR="00F562D6" w:rsidRPr="0016647D" w14:paraId="489D5A09" w14:textId="77777777" w:rsidTr="002B0EAB">
              <w:trPr>
                <w:trHeight w:val="170"/>
              </w:trPr>
              <w:tc>
                <w:tcPr>
                  <w:tcW w:w="3853" w:type="dxa"/>
                  <w:shd w:val="clear" w:color="auto" w:fill="C8501E"/>
                </w:tcPr>
                <w:p w14:paraId="370048F2" w14:textId="77777777" w:rsidR="00F562D6" w:rsidRPr="0016647D" w:rsidRDefault="002C4434" w:rsidP="002B0EAB">
                  <w:pPr>
                    <w:pStyle w:val="Paragraph"/>
                    <w:spacing w:before="0" w:after="0"/>
                    <w:ind w:left="28"/>
                    <w:rPr>
                      <w:color w:val="FFFFFF" w:themeColor="background1"/>
                      <w:sz w:val="16"/>
                      <w:szCs w:val="16"/>
                    </w:rPr>
                  </w:pPr>
                  <w:r w:rsidRPr="0016647D">
                    <w:rPr>
                      <w:color w:val="FFFFFF" w:themeColor="background1"/>
                      <w:sz w:val="16"/>
                      <w:szCs w:val="16"/>
                    </w:rPr>
                    <w:t>Aktsionärid</w:t>
                  </w:r>
                </w:p>
              </w:tc>
              <w:tc>
                <w:tcPr>
                  <w:tcW w:w="1661" w:type="dxa"/>
                  <w:shd w:val="clear" w:color="auto" w:fill="C8501E"/>
                </w:tcPr>
                <w:p w14:paraId="20FB48C1" w14:textId="77777777" w:rsidR="00F562D6" w:rsidRPr="0016647D" w:rsidRDefault="002C4434" w:rsidP="002B0EAB">
                  <w:pPr>
                    <w:pStyle w:val="Paragraph"/>
                    <w:spacing w:before="0" w:after="0"/>
                    <w:ind w:left="28"/>
                    <w:jc w:val="right"/>
                    <w:rPr>
                      <w:color w:val="FFFFFF" w:themeColor="background1"/>
                      <w:sz w:val="16"/>
                      <w:szCs w:val="16"/>
                    </w:rPr>
                  </w:pPr>
                  <w:r w:rsidRPr="0016647D">
                    <w:rPr>
                      <w:color w:val="FFFFFF" w:themeColor="background1"/>
                      <w:sz w:val="16"/>
                      <w:szCs w:val="16"/>
                    </w:rPr>
                    <w:t>Aktsiate arv</w:t>
                  </w:r>
                </w:p>
              </w:tc>
              <w:tc>
                <w:tcPr>
                  <w:tcW w:w="1745" w:type="dxa"/>
                  <w:shd w:val="clear" w:color="auto" w:fill="C8501E"/>
                </w:tcPr>
                <w:p w14:paraId="6322C99C" w14:textId="77777777" w:rsidR="00F562D6" w:rsidRPr="0016647D" w:rsidRDefault="002C4434" w:rsidP="002B0EAB">
                  <w:pPr>
                    <w:pStyle w:val="Paragraph"/>
                    <w:spacing w:before="0" w:after="0"/>
                    <w:ind w:left="28"/>
                    <w:jc w:val="right"/>
                    <w:rPr>
                      <w:color w:val="FFFFFF" w:themeColor="background1"/>
                      <w:sz w:val="16"/>
                      <w:szCs w:val="16"/>
                    </w:rPr>
                  </w:pPr>
                  <w:r w:rsidRPr="0016647D">
                    <w:rPr>
                      <w:color w:val="FFFFFF" w:themeColor="background1"/>
                      <w:sz w:val="16"/>
                      <w:szCs w:val="16"/>
                    </w:rPr>
                    <w:t>Osalus</w:t>
                  </w:r>
                </w:p>
              </w:tc>
            </w:tr>
            <w:tr w:rsidR="00F562D6" w:rsidRPr="0016647D" w14:paraId="518CAE45" w14:textId="77777777" w:rsidTr="002B0EAB">
              <w:trPr>
                <w:trHeight w:val="170"/>
              </w:trPr>
              <w:tc>
                <w:tcPr>
                  <w:tcW w:w="3853" w:type="dxa"/>
                  <w:shd w:val="clear" w:color="auto" w:fill="auto"/>
                </w:tcPr>
                <w:p w14:paraId="5793E87B" w14:textId="77777777" w:rsidR="00F562D6" w:rsidRPr="0016647D" w:rsidRDefault="002C4434" w:rsidP="002B0EAB">
                  <w:pPr>
                    <w:pStyle w:val="Paragraph"/>
                    <w:spacing w:before="0" w:after="0"/>
                    <w:ind w:left="28"/>
                    <w:rPr>
                      <w:sz w:val="16"/>
                      <w:szCs w:val="16"/>
                    </w:rPr>
                  </w:pPr>
                  <w:r w:rsidRPr="0016647D">
                    <w:rPr>
                      <w:sz w:val="16"/>
                      <w:szCs w:val="16"/>
                    </w:rPr>
                    <w:t>Nordea Bank Ab Finland Branch-Non-Treaty Clients</w:t>
                  </w:r>
                </w:p>
              </w:tc>
              <w:tc>
                <w:tcPr>
                  <w:tcW w:w="1661" w:type="dxa"/>
                  <w:shd w:val="clear" w:color="auto" w:fill="auto"/>
                </w:tcPr>
                <w:p w14:paraId="604A8F06" w14:textId="77777777" w:rsidR="00F562D6" w:rsidRPr="0016647D" w:rsidRDefault="00F562D6" w:rsidP="002B0EAB">
                  <w:pPr>
                    <w:pStyle w:val="Paragraph"/>
                    <w:spacing w:before="0" w:after="0"/>
                    <w:ind w:left="28"/>
                    <w:jc w:val="right"/>
                    <w:rPr>
                      <w:sz w:val="16"/>
                      <w:szCs w:val="16"/>
                    </w:rPr>
                  </w:pPr>
                  <w:r w:rsidRPr="0016647D">
                    <w:rPr>
                      <w:rFonts w:cs="Arial"/>
                      <w:sz w:val="16"/>
                      <w:szCs w:val="16"/>
                    </w:rPr>
                    <w:t>25 135 425</w:t>
                  </w:r>
                </w:p>
              </w:tc>
              <w:tc>
                <w:tcPr>
                  <w:tcW w:w="1745" w:type="dxa"/>
                  <w:shd w:val="clear" w:color="auto" w:fill="auto"/>
                </w:tcPr>
                <w:p w14:paraId="275DB8F1" w14:textId="77777777" w:rsidR="00F562D6" w:rsidRPr="0016647D" w:rsidRDefault="00F562D6" w:rsidP="002B0EAB">
                  <w:pPr>
                    <w:pStyle w:val="Paragraph"/>
                    <w:spacing w:before="0" w:after="0"/>
                    <w:ind w:left="28"/>
                    <w:jc w:val="right"/>
                    <w:rPr>
                      <w:sz w:val="16"/>
                      <w:szCs w:val="16"/>
                    </w:rPr>
                  </w:pPr>
                  <w:r w:rsidRPr="0016647D">
                    <w:rPr>
                      <w:sz w:val="16"/>
                      <w:szCs w:val="16"/>
                    </w:rPr>
                    <w:t>46,31%</w:t>
                  </w:r>
                </w:p>
              </w:tc>
            </w:tr>
            <w:tr w:rsidR="00F562D6" w:rsidRPr="0016647D" w14:paraId="6887023D" w14:textId="77777777" w:rsidTr="002B0EAB">
              <w:trPr>
                <w:trHeight w:val="170"/>
              </w:trPr>
              <w:tc>
                <w:tcPr>
                  <w:tcW w:w="3853" w:type="dxa"/>
                  <w:shd w:val="clear" w:color="auto" w:fill="auto"/>
                </w:tcPr>
                <w:p w14:paraId="1D067A2A" w14:textId="77777777" w:rsidR="00F562D6" w:rsidRPr="0016647D" w:rsidRDefault="002C4434" w:rsidP="002B0EAB">
                  <w:pPr>
                    <w:pStyle w:val="Paragraph"/>
                    <w:spacing w:before="0" w:after="0"/>
                    <w:ind w:left="28"/>
                    <w:rPr>
                      <w:sz w:val="16"/>
                      <w:szCs w:val="16"/>
                    </w:rPr>
                  </w:pPr>
                  <w:r w:rsidRPr="0016647D">
                    <w:rPr>
                      <w:sz w:val="16"/>
                      <w:szCs w:val="16"/>
                    </w:rPr>
                    <w:t>Eurofiduciaria S.R.L.</w:t>
                  </w:r>
                </w:p>
              </w:tc>
              <w:tc>
                <w:tcPr>
                  <w:tcW w:w="1661" w:type="dxa"/>
                  <w:shd w:val="clear" w:color="auto" w:fill="auto"/>
                </w:tcPr>
                <w:p w14:paraId="1C8962B8" w14:textId="77777777" w:rsidR="00F562D6" w:rsidRPr="0016647D" w:rsidRDefault="002C4434" w:rsidP="002B0EAB">
                  <w:pPr>
                    <w:pStyle w:val="Paragraph"/>
                    <w:spacing w:before="0" w:after="0"/>
                    <w:ind w:left="28"/>
                    <w:jc w:val="right"/>
                    <w:rPr>
                      <w:sz w:val="16"/>
                      <w:szCs w:val="16"/>
                    </w:rPr>
                  </w:pPr>
                  <w:r w:rsidRPr="0016647D">
                    <w:rPr>
                      <w:sz w:val="16"/>
                      <w:szCs w:val="16"/>
                    </w:rPr>
                    <w:t>6 770 370</w:t>
                  </w:r>
                </w:p>
              </w:tc>
              <w:tc>
                <w:tcPr>
                  <w:tcW w:w="1745" w:type="dxa"/>
                  <w:shd w:val="clear" w:color="auto" w:fill="auto"/>
                </w:tcPr>
                <w:p w14:paraId="5D9CEEEE" w14:textId="77777777" w:rsidR="00F562D6" w:rsidRPr="0016647D" w:rsidRDefault="002C4434" w:rsidP="002B0EAB">
                  <w:pPr>
                    <w:pStyle w:val="Paragraph"/>
                    <w:spacing w:before="0" w:after="0"/>
                    <w:ind w:left="28"/>
                    <w:jc w:val="right"/>
                    <w:rPr>
                      <w:sz w:val="16"/>
                      <w:szCs w:val="16"/>
                    </w:rPr>
                  </w:pPr>
                  <w:r w:rsidRPr="0016647D">
                    <w:rPr>
                      <w:sz w:val="16"/>
                      <w:szCs w:val="16"/>
                    </w:rPr>
                    <w:t>12,47%</w:t>
                  </w:r>
                </w:p>
              </w:tc>
            </w:tr>
            <w:tr w:rsidR="00F562D6" w:rsidRPr="0016647D" w14:paraId="2BF4CFD3" w14:textId="77777777" w:rsidTr="002B0EAB">
              <w:trPr>
                <w:trHeight w:val="170"/>
              </w:trPr>
              <w:tc>
                <w:tcPr>
                  <w:tcW w:w="3853" w:type="dxa"/>
                  <w:shd w:val="clear" w:color="auto" w:fill="auto"/>
                </w:tcPr>
                <w:p w14:paraId="1E6DDFF0" w14:textId="77777777" w:rsidR="00F562D6" w:rsidRPr="0016647D" w:rsidRDefault="002C4434" w:rsidP="002B0EAB">
                  <w:pPr>
                    <w:pStyle w:val="Paragraph"/>
                    <w:spacing w:before="0" w:after="0"/>
                    <w:ind w:left="28"/>
                    <w:rPr>
                      <w:sz w:val="16"/>
                      <w:szCs w:val="16"/>
                    </w:rPr>
                  </w:pPr>
                  <w:r w:rsidRPr="0016647D">
                    <w:rPr>
                      <w:sz w:val="16"/>
                      <w:szCs w:val="16"/>
                    </w:rPr>
                    <w:t>OÜ Svalbork Invest</w:t>
                  </w:r>
                </w:p>
              </w:tc>
              <w:tc>
                <w:tcPr>
                  <w:tcW w:w="1661" w:type="dxa"/>
                  <w:shd w:val="clear" w:color="auto" w:fill="auto"/>
                </w:tcPr>
                <w:p w14:paraId="7834C4BD" w14:textId="77777777" w:rsidR="00F562D6" w:rsidRPr="0016647D" w:rsidRDefault="002C4434" w:rsidP="002B0EAB">
                  <w:pPr>
                    <w:pStyle w:val="Paragraph"/>
                    <w:spacing w:before="0" w:after="0"/>
                    <w:ind w:left="28"/>
                    <w:jc w:val="right"/>
                    <w:rPr>
                      <w:sz w:val="16"/>
                      <w:szCs w:val="16"/>
                    </w:rPr>
                  </w:pPr>
                  <w:r w:rsidRPr="0016647D">
                    <w:rPr>
                      <w:sz w:val="16"/>
                      <w:szCs w:val="16"/>
                    </w:rPr>
                    <w:t>5 994 539</w:t>
                  </w:r>
                </w:p>
              </w:tc>
              <w:tc>
                <w:tcPr>
                  <w:tcW w:w="1745" w:type="dxa"/>
                  <w:shd w:val="clear" w:color="auto" w:fill="auto"/>
                </w:tcPr>
                <w:p w14:paraId="1B6C7C9A" w14:textId="77777777" w:rsidR="00F562D6" w:rsidRPr="0016647D" w:rsidRDefault="002C4434" w:rsidP="002B0EAB">
                  <w:pPr>
                    <w:pStyle w:val="Paragraph"/>
                    <w:spacing w:before="0" w:after="0"/>
                    <w:ind w:left="28"/>
                    <w:jc w:val="right"/>
                    <w:rPr>
                      <w:sz w:val="16"/>
                      <w:szCs w:val="16"/>
                    </w:rPr>
                  </w:pPr>
                  <w:r w:rsidRPr="0016647D">
                    <w:rPr>
                      <w:sz w:val="16"/>
                      <w:szCs w:val="16"/>
                    </w:rPr>
                    <w:t>11,05%</w:t>
                  </w:r>
                </w:p>
              </w:tc>
            </w:tr>
            <w:tr w:rsidR="00F562D6" w:rsidRPr="006E4666" w14:paraId="099CFC29" w14:textId="77777777" w:rsidTr="002B0EAB">
              <w:trPr>
                <w:trHeight w:val="170"/>
              </w:trPr>
              <w:tc>
                <w:tcPr>
                  <w:tcW w:w="3853" w:type="dxa"/>
                  <w:shd w:val="clear" w:color="auto" w:fill="auto"/>
                </w:tcPr>
                <w:p w14:paraId="69D5AE1D" w14:textId="77777777" w:rsidR="00F562D6" w:rsidRPr="0016647D" w:rsidRDefault="002C4434" w:rsidP="002B0EAB">
                  <w:pPr>
                    <w:pStyle w:val="Paragraph"/>
                    <w:spacing w:before="0" w:after="0"/>
                    <w:ind w:left="28"/>
                    <w:rPr>
                      <w:sz w:val="16"/>
                      <w:szCs w:val="16"/>
                    </w:rPr>
                  </w:pPr>
                  <w:r w:rsidRPr="0016647D">
                    <w:rPr>
                      <w:sz w:val="16"/>
                      <w:szCs w:val="16"/>
                    </w:rPr>
                    <w:t>Clearstream Banking Luxembourg S.A. Clients</w:t>
                  </w:r>
                </w:p>
              </w:tc>
              <w:tc>
                <w:tcPr>
                  <w:tcW w:w="1661" w:type="dxa"/>
                  <w:shd w:val="clear" w:color="auto" w:fill="auto"/>
                </w:tcPr>
                <w:p w14:paraId="45856DEB" w14:textId="77777777" w:rsidR="00F562D6" w:rsidRPr="0016647D" w:rsidRDefault="002C4434" w:rsidP="002B0EAB">
                  <w:pPr>
                    <w:pStyle w:val="Paragraph"/>
                    <w:spacing w:before="0" w:after="0"/>
                    <w:ind w:left="28"/>
                    <w:jc w:val="right"/>
                    <w:rPr>
                      <w:sz w:val="16"/>
                      <w:szCs w:val="16"/>
                    </w:rPr>
                  </w:pPr>
                  <w:r w:rsidRPr="0016647D">
                    <w:rPr>
                      <w:sz w:val="16"/>
                      <w:szCs w:val="16"/>
                    </w:rPr>
                    <w:t>4 883 075</w:t>
                  </w:r>
                </w:p>
              </w:tc>
              <w:tc>
                <w:tcPr>
                  <w:tcW w:w="1745" w:type="dxa"/>
                  <w:shd w:val="clear" w:color="auto" w:fill="auto"/>
                </w:tcPr>
                <w:p w14:paraId="2AD6B2FA" w14:textId="77777777" w:rsidR="00F562D6" w:rsidRPr="0016647D" w:rsidRDefault="00F562D6" w:rsidP="002B0EAB">
                  <w:pPr>
                    <w:pStyle w:val="Paragraph"/>
                    <w:spacing w:before="0" w:after="0"/>
                    <w:ind w:left="28"/>
                    <w:jc w:val="right"/>
                    <w:rPr>
                      <w:sz w:val="16"/>
                      <w:szCs w:val="16"/>
                    </w:rPr>
                  </w:pPr>
                  <w:r w:rsidRPr="0016647D">
                    <w:rPr>
                      <w:rFonts w:cs="Arial"/>
                      <w:sz w:val="16"/>
                      <w:szCs w:val="16"/>
                    </w:rPr>
                    <w:t>9,00%</w:t>
                  </w:r>
                </w:p>
              </w:tc>
            </w:tr>
            <w:tr w:rsidR="00F562D6" w:rsidRPr="006E4666" w14:paraId="35BB6661" w14:textId="77777777" w:rsidTr="002B0E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auto"/>
                  <w:insideV w:val="single" w:sz="4" w:space="0" w:color="auto"/>
                </w:tblBorders>
              </w:tblPrEx>
              <w:trPr>
                <w:trHeight w:val="170"/>
              </w:trPr>
              <w:tc>
                <w:tcPr>
                  <w:tcW w:w="7259" w:type="dxa"/>
                  <w:gridSpan w:val="3"/>
                  <w:vAlign w:val="center"/>
                </w:tcPr>
                <w:p w14:paraId="6682747A" w14:textId="77777777" w:rsidR="00F562D6" w:rsidRPr="0016647D" w:rsidRDefault="00F562D6" w:rsidP="002B0EAB">
                  <w:pPr>
                    <w:pStyle w:val="Paragraph"/>
                    <w:spacing w:before="0" w:after="0"/>
                    <w:rPr>
                      <w:rFonts w:cs="Arial"/>
                      <w:i/>
                      <w:iCs/>
                      <w:sz w:val="16"/>
                      <w:szCs w:val="16"/>
                    </w:rPr>
                  </w:pPr>
                  <w:r w:rsidRPr="0016647D">
                    <w:rPr>
                      <w:rFonts w:cs="Arial"/>
                      <w:i/>
                      <w:iCs/>
                      <w:color w:val="000000" w:themeColor="text1"/>
                      <w:sz w:val="16"/>
                      <w:szCs w:val="16"/>
                    </w:rPr>
                    <w:t>Allikas: väärtpaberiregister</w:t>
                  </w:r>
                </w:p>
              </w:tc>
            </w:tr>
          </w:tbl>
          <w:p w14:paraId="71536CF4" w14:textId="77777777" w:rsidR="00F562D6" w:rsidRPr="00D6671D" w:rsidRDefault="00F562D6" w:rsidP="002B0EAB">
            <w:pPr>
              <w:ind w:left="28"/>
              <w:jc w:val="both"/>
              <w:rPr>
                <w:rFonts w:ascii="Arial" w:hAnsi="Arial" w:cs="Arial"/>
                <w:sz w:val="16"/>
                <w:szCs w:val="16"/>
                <w:lang w:val="fi-FI"/>
              </w:rPr>
            </w:pPr>
            <w:r w:rsidRPr="00D6671D">
              <w:rPr>
                <w:rFonts w:ascii="Arial" w:hAnsi="Arial"/>
                <w:sz w:val="16"/>
                <w:szCs w:val="16"/>
                <w:lang w:val="et-EE"/>
              </w:rPr>
              <w:t xml:space="preserve">Äriühingu juhatusele teadaolevalt ei ole ühelgi Äriühingu aktsionäril teistest Äriühingu aktsionäridest erinevat hääleõigust. </w:t>
            </w:r>
            <w:r w:rsidRPr="00D6671D">
              <w:rPr>
                <w:rFonts w:ascii="Arial" w:hAnsi="Arial"/>
                <w:sz w:val="16"/>
                <w:szCs w:val="16"/>
                <w:lang w:val="fi-FI"/>
              </w:rPr>
              <w:t>Äriühingu suurimad aktsionärid on Ernesto Preatoni ja temaga seotud isikud. 30. juuni 2017. aasta seisuga Äriühingu käsutuses oleva teabe kohaselt kontrollivad Ernesto Preatoni ja temaga seotud isikud ligikaudu 38,94% Äriühingu aktsiatest. Järgmisi aktsiaid loetakse Ernesto Preatoni kontrolli all olevateks, sest juhatuse hinnangul on Ernesto Preatonil võimalik kontrollida järgmiste isikute hääleõiguse kasutamist: (a) OÜ Svalbork Invest, Eestis registreeritud äriühing, mida kontrollib Ernesto Preatoni ja mille omanduses on 5 994 539 aktsiat, mis moodustavad 11,05% Äriühingu aktsiakapitalist; (b) Katmandu Stiftung, Liechtensteinis registreeritud äriühing, mida kontrollib Ernesto Preatoni ja mille omanduses on 2 149 681 aktsiat, mis moodustavad 3,96% Äriühingu aktsiakapitalist; (c) 12 600 885 aktsiat, mis moodustavad 23,22% Äriühingu aktsiakapitalist ja mida hoitakse Nordea Bank Finland PLC avatud esindajakontol; (d) Eginvest Limited, Liechtensteinis registreeritud äriühing, mida kontrollib Ernesto Preatoni ja mille omanduses on 389 980 aktsiat, mis moodustavad 0,72% Äriühingu aktsiakapitalist.</w:t>
            </w:r>
          </w:p>
          <w:p w14:paraId="2887C50D" w14:textId="77777777" w:rsidR="00F562D6" w:rsidRPr="008065A1" w:rsidRDefault="002C4434" w:rsidP="002B0EAB">
            <w:pPr>
              <w:pStyle w:val="ListParagraph"/>
              <w:spacing w:after="0" w:line="240" w:lineRule="auto"/>
              <w:ind w:left="28"/>
              <w:contextualSpacing w:val="0"/>
              <w:jc w:val="both"/>
              <w:rPr>
                <w:rFonts w:ascii="Arial" w:hAnsi="Arial"/>
                <w:sz w:val="16"/>
              </w:rPr>
            </w:pPr>
            <w:r>
              <w:rPr>
                <w:rFonts w:ascii="Arial" w:hAnsi="Arial"/>
                <w:sz w:val="16"/>
              </w:rPr>
              <w:t>Selleks, et vältida Äriühingu üle teostatava kontrolli kuritarvitamist, järgib Äriühing Eesti Vabariigi äriseadustikku ja Eesti Vabariigi väärtpaberituru seadust. Lisaks tegutseb Äriühing vastavalt Nasdaq Tallinna eeskirjadele. Muid meetmed eespool kirjeldatud kontrolli kuritarvitamise vältimiseks ei võeta. Prospekti kuupäeva seisuga ei ole Äriühing teadlik ühestki Äriühingu aktsionäride vahelisest kokkuleppest ega muust kokkuleppest, mis võiks edaspidi tuua kaasa muutuse kontrollis Äriühingu üle.</w:t>
            </w:r>
          </w:p>
          <w:p w14:paraId="7B9F59A9" w14:textId="77777777" w:rsidR="00F562D6" w:rsidRPr="008065A1" w:rsidRDefault="00F562D6" w:rsidP="002B0EAB">
            <w:pPr>
              <w:pStyle w:val="ListParagraph"/>
              <w:spacing w:after="0" w:line="240" w:lineRule="auto"/>
              <w:ind w:left="28"/>
              <w:contextualSpacing w:val="0"/>
              <w:jc w:val="both"/>
              <w:rPr>
                <w:rFonts w:ascii="Arial" w:hAnsi="Arial"/>
                <w:sz w:val="16"/>
              </w:rPr>
            </w:pPr>
          </w:p>
        </w:tc>
      </w:tr>
      <w:tr w:rsidR="00F562D6" w:rsidRPr="006E4666" w14:paraId="5DB651FA" w14:textId="77777777" w:rsidTr="002B0EAB">
        <w:trPr>
          <w:trHeight w:val="2415"/>
        </w:trPr>
        <w:tc>
          <w:tcPr>
            <w:tcW w:w="714" w:type="dxa"/>
            <w:tcBorders>
              <w:left w:val="single" w:sz="4" w:space="0" w:color="BFBFBF" w:themeColor="background1" w:themeShade="BF"/>
            </w:tcBorders>
          </w:tcPr>
          <w:p w14:paraId="462AD0C6" w14:textId="77777777" w:rsidR="00F562D6" w:rsidRPr="00CC2AEA" w:rsidRDefault="00F562D6" w:rsidP="002B0EAB">
            <w:pPr>
              <w:rPr>
                <w:rFonts w:ascii="Arial" w:hAnsi="Arial" w:cs="Arial"/>
                <w:sz w:val="16"/>
                <w:szCs w:val="16"/>
              </w:rPr>
            </w:pPr>
            <w:r>
              <w:rPr>
                <w:rFonts w:ascii="Arial" w:hAnsi="Arial" w:cs="Arial"/>
                <w:sz w:val="16"/>
                <w:szCs w:val="16"/>
              </w:rPr>
              <w:t>B.7</w:t>
            </w:r>
          </w:p>
        </w:tc>
        <w:tc>
          <w:tcPr>
            <w:tcW w:w="1554" w:type="dxa"/>
          </w:tcPr>
          <w:p w14:paraId="7398049B" w14:textId="77777777" w:rsidR="00F562D6" w:rsidRPr="00CC2AEA" w:rsidRDefault="00F562D6" w:rsidP="002B0EAB">
            <w:pPr>
              <w:rPr>
                <w:rFonts w:ascii="Arial" w:hAnsi="Arial" w:cs="Arial"/>
                <w:sz w:val="16"/>
                <w:szCs w:val="16"/>
              </w:rPr>
            </w:pPr>
            <w:r>
              <w:rPr>
                <w:rFonts w:ascii="Arial" w:hAnsi="Arial" w:cs="Arial"/>
                <w:sz w:val="16"/>
                <w:szCs w:val="16"/>
              </w:rPr>
              <w:t>Valitud tagasivaateline põhifinantsteave. Tagasivaatelise põhifinantsteabega hõlmatud perioodile järgneval perioodil Äriühingu finantsseisundis ja tegevustulemis toimunud oluliste muutuste kirjeldus</w:t>
            </w:r>
          </w:p>
        </w:tc>
        <w:tc>
          <w:tcPr>
            <w:tcW w:w="7484" w:type="dxa"/>
            <w:tcBorders>
              <w:right w:val="single" w:sz="4" w:space="0" w:color="BFBFBF" w:themeColor="background1" w:themeShade="BF"/>
            </w:tcBorders>
          </w:tcPr>
          <w:p w14:paraId="29F5B5DB" w14:textId="77777777" w:rsidR="00F562D6" w:rsidRPr="00CC2AEA" w:rsidRDefault="00F562D6" w:rsidP="002B0EAB">
            <w:pPr>
              <w:jc w:val="both"/>
              <w:rPr>
                <w:rFonts w:ascii="Arial" w:hAnsi="Arial" w:cs="Arial"/>
                <w:sz w:val="16"/>
                <w:szCs w:val="16"/>
              </w:rPr>
            </w:pPr>
            <w:r>
              <w:rPr>
                <w:rFonts w:ascii="Arial" w:hAnsi="Arial" w:cs="Arial"/>
                <w:sz w:val="16"/>
                <w:szCs w:val="16"/>
              </w:rPr>
              <w:t>Alljärgnevates tabelites on esitatud teatav valitud finantsteave Grupi kohta, mis hõlmab 31. detsembril 2016 ja 31. detsembril 2015 lõppenud aastaid ning 30. juunil 2016 ja 30. juunil 2017 lõppenud kuuekuulisi perioode. See teave on oluliste kohandusteta võetud Äriühingu auditeeritud konsolideeritud raamatupidamise aastaaruannetest 2015. ja 2016. aasta kohta ning Äriühingu auditeerimata konsolideeritud aruandest 30. juunil 2017 lõppenud kuuekuulise perioodi kohta (edaspidi „</w:t>
            </w:r>
            <w:proofErr w:type="gramStart"/>
            <w:r>
              <w:rPr>
                <w:rFonts w:ascii="Arial" w:hAnsi="Arial" w:cs="Arial"/>
                <w:b/>
                <w:bCs/>
                <w:sz w:val="16"/>
                <w:szCs w:val="16"/>
              </w:rPr>
              <w:t>Aruanded</w:t>
            </w:r>
            <w:r>
              <w:rPr>
                <w:rFonts w:ascii="Arial" w:hAnsi="Arial" w:cs="Arial"/>
                <w:sz w:val="16"/>
                <w:szCs w:val="16"/>
              </w:rPr>
              <w:t>“</w:t>
            </w:r>
            <w:proofErr w:type="gramEnd"/>
            <w:r>
              <w:rPr>
                <w:rFonts w:ascii="Arial" w:hAnsi="Arial" w:cs="Arial"/>
                <w:sz w:val="16"/>
                <w:szCs w:val="16"/>
              </w:rPr>
              <w:t xml:space="preserve">). Tabelites on esitatud ka teatavad põhisuhtarvud ja -näitajad, et illustreerida Grupi äritegevuse mõningaid aspekte ja Grupi finantstulemusi. Suhtarvud ja näitajad on arvutatud Aruannetest saadud andmete põhjal. Äriühingu juhatus leiab, et allpool esitatud suhtarvud ja näitajad on tavapärased ning börsiühingud kasutavaid neid sageli oma äritegevuse tulemuste ja finantstulemuste illustreerimiseks. </w:t>
            </w:r>
          </w:p>
          <w:p w14:paraId="524E5CA9" w14:textId="77777777" w:rsidR="00F562D6" w:rsidRPr="00CC2AEA" w:rsidRDefault="00F562D6" w:rsidP="002B0EAB">
            <w:pPr>
              <w:jc w:val="both"/>
              <w:rPr>
                <w:rFonts w:ascii="Arial" w:hAnsi="Arial" w:cs="Arial"/>
                <w:sz w:val="16"/>
                <w:szCs w:val="16"/>
              </w:rPr>
            </w:pPr>
            <w:r>
              <w:rPr>
                <w:rFonts w:ascii="Arial" w:hAnsi="Arial" w:cs="Arial"/>
                <w:sz w:val="16"/>
                <w:szCs w:val="16"/>
              </w:rPr>
              <w:t>Valitud teave konsolideeritud koondkasumiaruannetest</w:t>
            </w:r>
          </w:p>
          <w:tbl>
            <w:tblPr>
              <w:tblStyle w:val="TableGrid"/>
              <w:tblW w:w="72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ayout w:type="fixed"/>
              <w:tblLook w:val="04A0" w:firstRow="1" w:lastRow="0" w:firstColumn="1" w:lastColumn="0" w:noHBand="0" w:noVBand="1"/>
            </w:tblPr>
            <w:tblGrid>
              <w:gridCol w:w="2233"/>
              <w:gridCol w:w="1003"/>
              <w:gridCol w:w="1005"/>
              <w:gridCol w:w="1005"/>
              <w:gridCol w:w="1005"/>
              <w:gridCol w:w="1008"/>
            </w:tblGrid>
            <w:tr w:rsidR="00F562D6" w:rsidRPr="00CC2AEA" w14:paraId="3FC72C7C" w14:textId="77777777" w:rsidTr="002B0EAB">
              <w:trPr>
                <w:trHeight w:val="170"/>
              </w:trPr>
              <w:tc>
                <w:tcPr>
                  <w:tcW w:w="2233" w:type="dxa"/>
                  <w:shd w:val="clear" w:color="auto" w:fill="C8501E"/>
                  <w:vAlign w:val="bottom"/>
                </w:tcPr>
                <w:p w14:paraId="2345B1E3" w14:textId="77777777" w:rsidR="00F562D6" w:rsidRPr="008065A1" w:rsidRDefault="00F562D6" w:rsidP="002B0EAB">
                  <w:pPr>
                    <w:pStyle w:val="Paragraph"/>
                    <w:spacing w:before="0" w:after="0"/>
                    <w:jc w:val="left"/>
                    <w:rPr>
                      <w:rFonts w:cs="Arial"/>
                      <w:i/>
                      <w:iCs/>
                      <w:color w:val="FFFFFF" w:themeColor="background1"/>
                      <w:sz w:val="16"/>
                      <w:szCs w:val="16"/>
                    </w:rPr>
                  </w:pPr>
                  <w:r>
                    <w:rPr>
                      <w:rFonts w:cs="Arial"/>
                      <w:i/>
                      <w:iCs/>
                      <w:color w:val="FFFFFF" w:themeColor="background1"/>
                      <w:sz w:val="16"/>
                      <w:szCs w:val="16"/>
                    </w:rPr>
                    <w:t>tuhat eurot</w:t>
                  </w:r>
                </w:p>
              </w:tc>
              <w:tc>
                <w:tcPr>
                  <w:tcW w:w="2008" w:type="dxa"/>
                  <w:gridSpan w:val="2"/>
                  <w:shd w:val="clear" w:color="auto" w:fill="C8501E"/>
                  <w:vAlign w:val="bottom"/>
                </w:tcPr>
                <w:p w14:paraId="43C619EC" w14:textId="77777777" w:rsidR="00F562D6" w:rsidRPr="008065A1" w:rsidRDefault="00F562D6" w:rsidP="002B0EAB">
                  <w:pPr>
                    <w:pStyle w:val="Paragraph"/>
                    <w:spacing w:before="0" w:after="0"/>
                    <w:jc w:val="center"/>
                    <w:rPr>
                      <w:rFonts w:cs="Arial"/>
                      <w:color w:val="FFFFFF" w:themeColor="background1"/>
                      <w:sz w:val="16"/>
                      <w:szCs w:val="16"/>
                    </w:rPr>
                  </w:pPr>
                  <w:r>
                    <w:rPr>
                      <w:rFonts w:cs="Arial"/>
                      <w:color w:val="FFFFFF" w:themeColor="background1"/>
                      <w:sz w:val="16"/>
                      <w:szCs w:val="16"/>
                    </w:rPr>
                    <w:t>30. juunil lõppenud 6 kuud</w:t>
                  </w:r>
                </w:p>
              </w:tc>
              <w:tc>
                <w:tcPr>
                  <w:tcW w:w="3018" w:type="dxa"/>
                  <w:gridSpan w:val="3"/>
                  <w:shd w:val="clear" w:color="auto" w:fill="C8501E"/>
                  <w:vAlign w:val="bottom"/>
                </w:tcPr>
                <w:p w14:paraId="21DD3F03" w14:textId="77777777" w:rsidR="00F562D6" w:rsidRPr="008065A1" w:rsidRDefault="00F562D6" w:rsidP="002B0EAB">
                  <w:pPr>
                    <w:pStyle w:val="Paragraph"/>
                    <w:spacing w:before="0" w:after="0"/>
                    <w:jc w:val="center"/>
                    <w:rPr>
                      <w:rFonts w:cs="Arial"/>
                      <w:color w:val="FFFFFF" w:themeColor="background1"/>
                      <w:sz w:val="16"/>
                      <w:szCs w:val="16"/>
                    </w:rPr>
                  </w:pPr>
                  <w:r>
                    <w:rPr>
                      <w:rFonts w:cs="Arial"/>
                      <w:color w:val="FFFFFF" w:themeColor="background1"/>
                      <w:sz w:val="16"/>
                      <w:szCs w:val="16"/>
                    </w:rPr>
                    <w:t>31. detsembril lõppenud 12 kuud</w:t>
                  </w:r>
                </w:p>
              </w:tc>
            </w:tr>
            <w:tr w:rsidR="00F562D6" w:rsidRPr="00CC2AEA" w14:paraId="25407B78" w14:textId="77777777" w:rsidTr="002B0EAB">
              <w:trPr>
                <w:trHeight w:val="170"/>
              </w:trPr>
              <w:tc>
                <w:tcPr>
                  <w:tcW w:w="2233" w:type="dxa"/>
                </w:tcPr>
                <w:p w14:paraId="57025515" w14:textId="77777777" w:rsidR="00F562D6" w:rsidRPr="008065A1" w:rsidRDefault="00F562D6" w:rsidP="002B0EAB">
                  <w:pPr>
                    <w:pStyle w:val="Paragraph"/>
                    <w:spacing w:before="0" w:after="0"/>
                    <w:rPr>
                      <w:rFonts w:cs="Arial"/>
                      <w:sz w:val="16"/>
                      <w:szCs w:val="16"/>
                    </w:rPr>
                  </w:pPr>
                </w:p>
              </w:tc>
              <w:tc>
                <w:tcPr>
                  <w:tcW w:w="1003" w:type="dxa"/>
                </w:tcPr>
                <w:p w14:paraId="0F86DDC6" w14:textId="77777777" w:rsidR="00F562D6" w:rsidRPr="008065A1" w:rsidRDefault="00F562D6" w:rsidP="002B0EAB">
                  <w:pPr>
                    <w:pStyle w:val="Paragraph"/>
                    <w:spacing w:before="0" w:after="0"/>
                    <w:jc w:val="right"/>
                    <w:rPr>
                      <w:rFonts w:cs="Arial"/>
                      <w:sz w:val="16"/>
                      <w:szCs w:val="16"/>
                    </w:rPr>
                  </w:pPr>
                  <w:r>
                    <w:rPr>
                      <w:rFonts w:cs="Arial"/>
                      <w:sz w:val="16"/>
                      <w:szCs w:val="16"/>
                    </w:rPr>
                    <w:t>2017</w:t>
                  </w:r>
                </w:p>
              </w:tc>
              <w:tc>
                <w:tcPr>
                  <w:tcW w:w="1005" w:type="dxa"/>
                </w:tcPr>
                <w:p w14:paraId="43F6B1EC" w14:textId="77777777" w:rsidR="00F562D6" w:rsidRPr="008065A1" w:rsidRDefault="00F562D6" w:rsidP="002B0EAB">
                  <w:pPr>
                    <w:pStyle w:val="Paragraph"/>
                    <w:spacing w:before="0" w:after="0"/>
                    <w:jc w:val="right"/>
                    <w:rPr>
                      <w:rFonts w:cs="Arial"/>
                      <w:sz w:val="16"/>
                      <w:szCs w:val="16"/>
                    </w:rPr>
                  </w:pPr>
                  <w:r>
                    <w:rPr>
                      <w:rFonts w:cs="Arial"/>
                      <w:sz w:val="16"/>
                      <w:szCs w:val="16"/>
                    </w:rPr>
                    <w:t>2016</w:t>
                  </w:r>
                </w:p>
              </w:tc>
              <w:tc>
                <w:tcPr>
                  <w:tcW w:w="1005" w:type="dxa"/>
                </w:tcPr>
                <w:p w14:paraId="6A147F07" w14:textId="77777777" w:rsidR="00F562D6" w:rsidRPr="008065A1" w:rsidRDefault="00F562D6" w:rsidP="002B0EAB">
                  <w:pPr>
                    <w:pStyle w:val="Paragraph"/>
                    <w:spacing w:before="0" w:after="0"/>
                    <w:jc w:val="right"/>
                    <w:rPr>
                      <w:rFonts w:cs="Arial"/>
                      <w:sz w:val="16"/>
                      <w:szCs w:val="16"/>
                    </w:rPr>
                  </w:pPr>
                  <w:r>
                    <w:rPr>
                      <w:rFonts w:cs="Arial"/>
                      <w:sz w:val="16"/>
                      <w:szCs w:val="16"/>
                    </w:rPr>
                    <w:t>2016</w:t>
                  </w:r>
                </w:p>
              </w:tc>
              <w:tc>
                <w:tcPr>
                  <w:tcW w:w="1005" w:type="dxa"/>
                </w:tcPr>
                <w:p w14:paraId="2F5A16A5" w14:textId="77777777" w:rsidR="00F562D6" w:rsidRPr="008065A1" w:rsidRDefault="00F562D6" w:rsidP="002B0EAB">
                  <w:pPr>
                    <w:pStyle w:val="Paragraph"/>
                    <w:spacing w:before="0" w:after="0"/>
                    <w:jc w:val="right"/>
                    <w:rPr>
                      <w:rFonts w:cs="Arial"/>
                      <w:sz w:val="16"/>
                      <w:szCs w:val="16"/>
                    </w:rPr>
                  </w:pPr>
                  <w:r>
                    <w:rPr>
                      <w:rFonts w:cs="Arial"/>
                      <w:sz w:val="16"/>
                      <w:szCs w:val="16"/>
                    </w:rPr>
                    <w:t>2015</w:t>
                  </w:r>
                </w:p>
              </w:tc>
              <w:tc>
                <w:tcPr>
                  <w:tcW w:w="1008" w:type="dxa"/>
                </w:tcPr>
                <w:p w14:paraId="2E238F62" w14:textId="77777777" w:rsidR="00F562D6" w:rsidRPr="008065A1" w:rsidRDefault="00F562D6" w:rsidP="002B0EAB">
                  <w:pPr>
                    <w:pStyle w:val="Paragraph"/>
                    <w:spacing w:before="0" w:after="0"/>
                    <w:jc w:val="right"/>
                    <w:rPr>
                      <w:rFonts w:cs="Arial"/>
                      <w:sz w:val="16"/>
                      <w:szCs w:val="16"/>
                    </w:rPr>
                  </w:pPr>
                  <w:r>
                    <w:rPr>
                      <w:rFonts w:cs="Arial"/>
                      <w:sz w:val="16"/>
                      <w:szCs w:val="16"/>
                    </w:rPr>
                    <w:t>2014</w:t>
                  </w:r>
                </w:p>
              </w:tc>
            </w:tr>
            <w:tr w:rsidR="00F562D6" w:rsidRPr="00CC2AEA" w14:paraId="505579AD" w14:textId="77777777" w:rsidTr="002B0EAB">
              <w:trPr>
                <w:trHeight w:val="170"/>
              </w:trPr>
              <w:tc>
                <w:tcPr>
                  <w:tcW w:w="2233" w:type="dxa"/>
                  <w:vAlign w:val="bottom"/>
                </w:tcPr>
                <w:p w14:paraId="35CD6E68" w14:textId="77777777" w:rsidR="00F562D6" w:rsidRPr="008065A1" w:rsidRDefault="00F562D6" w:rsidP="002B0EAB">
                  <w:pPr>
                    <w:pStyle w:val="Paragraph"/>
                    <w:spacing w:before="0" w:after="0"/>
                    <w:rPr>
                      <w:rFonts w:cs="Arial"/>
                      <w:sz w:val="16"/>
                      <w:szCs w:val="16"/>
                    </w:rPr>
                  </w:pPr>
                  <w:bookmarkStart w:id="4" w:name="_Hlk488764640"/>
                  <w:r>
                    <w:rPr>
                      <w:rFonts w:cs="Arial"/>
                      <w:sz w:val="16"/>
                      <w:szCs w:val="16"/>
                    </w:rPr>
                    <w:t>Tulud</w:t>
                  </w:r>
                </w:p>
              </w:tc>
              <w:tc>
                <w:tcPr>
                  <w:tcW w:w="1003" w:type="dxa"/>
                </w:tcPr>
                <w:p w14:paraId="25114E05" w14:textId="77777777" w:rsidR="00F562D6" w:rsidRPr="008065A1" w:rsidRDefault="00F562D6" w:rsidP="002B0EAB">
                  <w:pPr>
                    <w:pStyle w:val="Paragraph"/>
                    <w:spacing w:before="0" w:after="0"/>
                    <w:jc w:val="right"/>
                    <w:rPr>
                      <w:rFonts w:cs="Arial"/>
                      <w:sz w:val="16"/>
                      <w:szCs w:val="16"/>
                    </w:rPr>
                  </w:pPr>
                  <w:r>
                    <w:rPr>
                      <w:rFonts w:cs="Arial"/>
                      <w:sz w:val="16"/>
                      <w:szCs w:val="16"/>
                    </w:rPr>
                    <w:t>7 566</w:t>
                  </w:r>
                </w:p>
              </w:tc>
              <w:tc>
                <w:tcPr>
                  <w:tcW w:w="1005" w:type="dxa"/>
                </w:tcPr>
                <w:p w14:paraId="23EADF2C" w14:textId="77777777" w:rsidR="00F562D6" w:rsidRPr="008065A1" w:rsidRDefault="00F562D6" w:rsidP="002B0EAB">
                  <w:pPr>
                    <w:pStyle w:val="Paragraph"/>
                    <w:spacing w:before="0" w:after="0"/>
                    <w:jc w:val="right"/>
                    <w:rPr>
                      <w:rFonts w:cs="Arial"/>
                      <w:sz w:val="16"/>
                      <w:szCs w:val="16"/>
                    </w:rPr>
                  </w:pPr>
                  <w:r>
                    <w:rPr>
                      <w:rFonts w:cs="Arial"/>
                      <w:sz w:val="16"/>
                      <w:szCs w:val="16"/>
                    </w:rPr>
                    <w:t>8 203</w:t>
                  </w:r>
                </w:p>
              </w:tc>
              <w:tc>
                <w:tcPr>
                  <w:tcW w:w="1005" w:type="dxa"/>
                  <w:vAlign w:val="bottom"/>
                </w:tcPr>
                <w:p w14:paraId="04806E29"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20 652</w:t>
                  </w:r>
                </w:p>
              </w:tc>
              <w:tc>
                <w:tcPr>
                  <w:tcW w:w="1005" w:type="dxa"/>
                  <w:vAlign w:val="bottom"/>
                </w:tcPr>
                <w:p w14:paraId="4E0EBFD5"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18 322</w:t>
                  </w:r>
                </w:p>
              </w:tc>
              <w:tc>
                <w:tcPr>
                  <w:tcW w:w="1008" w:type="dxa"/>
                  <w:vAlign w:val="bottom"/>
                </w:tcPr>
                <w:p w14:paraId="26E23D46"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10 335</w:t>
                  </w:r>
                </w:p>
              </w:tc>
            </w:tr>
            <w:tr w:rsidR="00F562D6" w:rsidRPr="00CC2AEA" w14:paraId="3C494413" w14:textId="77777777" w:rsidTr="002B0EAB">
              <w:trPr>
                <w:trHeight w:val="170"/>
              </w:trPr>
              <w:tc>
                <w:tcPr>
                  <w:tcW w:w="2233" w:type="dxa"/>
                  <w:vAlign w:val="bottom"/>
                </w:tcPr>
                <w:p w14:paraId="7A29B41E" w14:textId="77777777" w:rsidR="00F562D6" w:rsidRPr="008065A1" w:rsidRDefault="00F562D6" w:rsidP="002B0EAB">
                  <w:pPr>
                    <w:pStyle w:val="Paragraph"/>
                    <w:spacing w:before="0" w:after="0"/>
                    <w:rPr>
                      <w:rFonts w:cs="Arial"/>
                      <w:sz w:val="16"/>
                      <w:szCs w:val="16"/>
                    </w:rPr>
                  </w:pPr>
                  <w:r>
                    <w:rPr>
                      <w:rFonts w:cs="Arial"/>
                      <w:sz w:val="16"/>
                      <w:szCs w:val="16"/>
                    </w:rPr>
                    <w:t>Brutokasum</w:t>
                  </w:r>
                </w:p>
              </w:tc>
              <w:tc>
                <w:tcPr>
                  <w:tcW w:w="1003" w:type="dxa"/>
                </w:tcPr>
                <w:p w14:paraId="2CEFCDAC" w14:textId="77777777" w:rsidR="00F562D6" w:rsidRPr="008065A1" w:rsidRDefault="00F562D6" w:rsidP="002B0EAB">
                  <w:pPr>
                    <w:pStyle w:val="Paragraph"/>
                    <w:spacing w:before="0" w:after="0"/>
                    <w:jc w:val="right"/>
                    <w:rPr>
                      <w:rFonts w:cs="Arial"/>
                      <w:color w:val="000000" w:themeColor="text1"/>
                      <w:sz w:val="16"/>
                      <w:szCs w:val="16"/>
                    </w:rPr>
                  </w:pPr>
                  <w:r>
                    <w:rPr>
                      <w:rFonts w:cs="Arial"/>
                      <w:sz w:val="16"/>
                      <w:szCs w:val="16"/>
                    </w:rPr>
                    <w:t>2 347</w:t>
                  </w:r>
                </w:p>
              </w:tc>
              <w:tc>
                <w:tcPr>
                  <w:tcW w:w="1005" w:type="dxa"/>
                </w:tcPr>
                <w:p w14:paraId="06B2132F" w14:textId="77777777" w:rsidR="00F562D6" w:rsidRPr="008065A1" w:rsidRDefault="00F562D6" w:rsidP="002B0EAB">
                  <w:pPr>
                    <w:pStyle w:val="Paragraph"/>
                    <w:spacing w:before="0" w:after="0"/>
                    <w:jc w:val="right"/>
                    <w:rPr>
                      <w:rFonts w:cs="Arial"/>
                      <w:sz w:val="16"/>
                      <w:szCs w:val="16"/>
                    </w:rPr>
                  </w:pPr>
                  <w:r>
                    <w:rPr>
                      <w:rFonts w:cs="Arial"/>
                      <w:sz w:val="16"/>
                      <w:szCs w:val="16"/>
                    </w:rPr>
                    <w:t>1 409</w:t>
                  </w:r>
                </w:p>
              </w:tc>
              <w:tc>
                <w:tcPr>
                  <w:tcW w:w="1005" w:type="dxa"/>
                  <w:vAlign w:val="bottom"/>
                </w:tcPr>
                <w:p w14:paraId="7896A16D" w14:textId="77777777" w:rsidR="00F562D6" w:rsidRPr="008065A1" w:rsidRDefault="00F562D6" w:rsidP="002B0EAB">
                  <w:pPr>
                    <w:pStyle w:val="Paragraph"/>
                    <w:spacing w:before="0" w:after="0"/>
                    <w:jc w:val="right"/>
                    <w:rPr>
                      <w:rFonts w:cs="Arial"/>
                      <w:color w:val="000000" w:themeColor="text1"/>
                      <w:sz w:val="16"/>
                      <w:szCs w:val="16"/>
                    </w:rPr>
                  </w:pPr>
                  <w:r>
                    <w:rPr>
                      <w:rFonts w:cs="Arial"/>
                      <w:color w:val="000000" w:themeColor="text1"/>
                      <w:sz w:val="16"/>
                      <w:szCs w:val="16"/>
                    </w:rPr>
                    <w:t>6 054</w:t>
                  </w:r>
                </w:p>
              </w:tc>
              <w:tc>
                <w:tcPr>
                  <w:tcW w:w="1005" w:type="dxa"/>
                  <w:vAlign w:val="bottom"/>
                </w:tcPr>
                <w:p w14:paraId="45BBCB02" w14:textId="77777777" w:rsidR="00F562D6" w:rsidRPr="008065A1" w:rsidRDefault="00F562D6" w:rsidP="002B0EAB">
                  <w:pPr>
                    <w:pStyle w:val="Paragraph"/>
                    <w:spacing w:before="0" w:after="0"/>
                    <w:jc w:val="right"/>
                    <w:rPr>
                      <w:rFonts w:cs="Arial"/>
                      <w:color w:val="000000" w:themeColor="text1"/>
                      <w:sz w:val="16"/>
                      <w:szCs w:val="16"/>
                    </w:rPr>
                  </w:pPr>
                  <w:r>
                    <w:rPr>
                      <w:rFonts w:cs="Arial"/>
                      <w:color w:val="000000" w:themeColor="text1"/>
                      <w:sz w:val="16"/>
                      <w:szCs w:val="16"/>
                    </w:rPr>
                    <w:t>4 448</w:t>
                  </w:r>
                </w:p>
              </w:tc>
              <w:tc>
                <w:tcPr>
                  <w:tcW w:w="1008" w:type="dxa"/>
                  <w:vAlign w:val="bottom"/>
                </w:tcPr>
                <w:p w14:paraId="5067E1AB" w14:textId="77777777" w:rsidR="00F562D6" w:rsidRPr="008065A1" w:rsidRDefault="00F562D6" w:rsidP="002B0EAB">
                  <w:pPr>
                    <w:pStyle w:val="Paragraph"/>
                    <w:spacing w:before="0" w:after="0"/>
                    <w:jc w:val="right"/>
                    <w:rPr>
                      <w:rFonts w:cs="Arial"/>
                      <w:color w:val="000000" w:themeColor="text1"/>
                      <w:sz w:val="16"/>
                      <w:szCs w:val="16"/>
                    </w:rPr>
                  </w:pPr>
                  <w:r>
                    <w:rPr>
                      <w:rFonts w:cs="Arial"/>
                      <w:color w:val="000000" w:themeColor="text1"/>
                      <w:sz w:val="16"/>
                      <w:szCs w:val="16"/>
                    </w:rPr>
                    <w:t>2 495</w:t>
                  </w:r>
                </w:p>
              </w:tc>
            </w:tr>
            <w:tr w:rsidR="00F562D6" w:rsidRPr="00CC2AEA" w14:paraId="149ECF22" w14:textId="77777777" w:rsidTr="002B0EAB">
              <w:trPr>
                <w:trHeight w:val="170"/>
              </w:trPr>
              <w:tc>
                <w:tcPr>
                  <w:tcW w:w="2233" w:type="dxa"/>
                  <w:vAlign w:val="bottom"/>
                </w:tcPr>
                <w:p w14:paraId="61C55668" w14:textId="77777777" w:rsidR="00F562D6" w:rsidRPr="008065A1" w:rsidRDefault="00F562D6" w:rsidP="002B0EAB">
                  <w:pPr>
                    <w:pStyle w:val="Paragraph"/>
                    <w:spacing w:before="0" w:after="0"/>
                    <w:rPr>
                      <w:rFonts w:cs="Arial"/>
                      <w:sz w:val="16"/>
                      <w:szCs w:val="16"/>
                    </w:rPr>
                  </w:pPr>
                  <w:r>
                    <w:rPr>
                      <w:rFonts w:cs="Arial"/>
                      <w:sz w:val="16"/>
                      <w:szCs w:val="16"/>
                    </w:rPr>
                    <w:t>Ärikasum või -kahjum</w:t>
                  </w:r>
                </w:p>
              </w:tc>
              <w:tc>
                <w:tcPr>
                  <w:tcW w:w="1003" w:type="dxa"/>
                </w:tcPr>
                <w:p w14:paraId="6A90B4E3" w14:textId="77777777" w:rsidR="00F562D6" w:rsidRPr="008065A1" w:rsidRDefault="00F562D6" w:rsidP="002B0EAB">
                  <w:pPr>
                    <w:pStyle w:val="Paragraph"/>
                    <w:spacing w:before="0" w:after="0"/>
                    <w:jc w:val="right"/>
                    <w:rPr>
                      <w:rFonts w:cs="Arial"/>
                      <w:color w:val="000000" w:themeColor="text1"/>
                      <w:sz w:val="16"/>
                      <w:szCs w:val="16"/>
                    </w:rPr>
                  </w:pPr>
                  <w:r>
                    <w:rPr>
                      <w:rFonts w:cs="Arial"/>
                      <w:sz w:val="16"/>
                      <w:szCs w:val="16"/>
                    </w:rPr>
                    <w:t>-524</w:t>
                  </w:r>
                </w:p>
              </w:tc>
              <w:tc>
                <w:tcPr>
                  <w:tcW w:w="1005" w:type="dxa"/>
                </w:tcPr>
                <w:p w14:paraId="4C7851E3" w14:textId="77777777" w:rsidR="00F562D6" w:rsidRPr="008065A1" w:rsidRDefault="00F562D6" w:rsidP="002B0EAB">
                  <w:pPr>
                    <w:pStyle w:val="Paragraph"/>
                    <w:spacing w:before="0" w:after="0"/>
                    <w:jc w:val="right"/>
                    <w:rPr>
                      <w:rFonts w:cs="Arial"/>
                      <w:sz w:val="16"/>
                      <w:szCs w:val="16"/>
                    </w:rPr>
                  </w:pPr>
                  <w:r>
                    <w:rPr>
                      <w:rFonts w:cs="Arial"/>
                      <w:sz w:val="16"/>
                      <w:szCs w:val="16"/>
                    </w:rPr>
                    <w:t>-1 268</w:t>
                  </w:r>
                </w:p>
              </w:tc>
              <w:tc>
                <w:tcPr>
                  <w:tcW w:w="1005" w:type="dxa"/>
                  <w:vAlign w:val="bottom"/>
                </w:tcPr>
                <w:p w14:paraId="3EEA611C" w14:textId="77777777" w:rsidR="00F562D6" w:rsidRPr="008065A1" w:rsidRDefault="00F562D6" w:rsidP="002B0EAB">
                  <w:pPr>
                    <w:pStyle w:val="Paragraph"/>
                    <w:spacing w:before="0" w:after="0"/>
                    <w:jc w:val="right"/>
                    <w:rPr>
                      <w:rFonts w:cs="Arial"/>
                      <w:color w:val="000000" w:themeColor="text1"/>
                      <w:sz w:val="16"/>
                      <w:szCs w:val="16"/>
                    </w:rPr>
                  </w:pPr>
                  <w:r>
                    <w:rPr>
                      <w:rFonts w:cs="Arial"/>
                      <w:color w:val="000000" w:themeColor="text1"/>
                      <w:sz w:val="16"/>
                      <w:szCs w:val="16"/>
                    </w:rPr>
                    <w:t>-309</w:t>
                  </w:r>
                </w:p>
              </w:tc>
              <w:tc>
                <w:tcPr>
                  <w:tcW w:w="1005" w:type="dxa"/>
                  <w:vAlign w:val="bottom"/>
                </w:tcPr>
                <w:p w14:paraId="409C3B60" w14:textId="77777777" w:rsidR="00F562D6" w:rsidRPr="008065A1" w:rsidRDefault="00F562D6" w:rsidP="002B0EAB">
                  <w:pPr>
                    <w:pStyle w:val="Paragraph"/>
                    <w:spacing w:before="0" w:after="0"/>
                    <w:jc w:val="right"/>
                    <w:rPr>
                      <w:rFonts w:cs="Arial"/>
                      <w:color w:val="000000" w:themeColor="text1"/>
                      <w:sz w:val="16"/>
                      <w:szCs w:val="16"/>
                    </w:rPr>
                  </w:pPr>
                  <w:r>
                    <w:rPr>
                      <w:rFonts w:cs="Arial"/>
                      <w:color w:val="000000" w:themeColor="text1"/>
                      <w:sz w:val="16"/>
                      <w:szCs w:val="16"/>
                    </w:rPr>
                    <w:t>1 424</w:t>
                  </w:r>
                </w:p>
              </w:tc>
              <w:tc>
                <w:tcPr>
                  <w:tcW w:w="1008" w:type="dxa"/>
                  <w:vAlign w:val="bottom"/>
                </w:tcPr>
                <w:p w14:paraId="449EA14D" w14:textId="77777777" w:rsidR="00F562D6" w:rsidRPr="008065A1" w:rsidRDefault="00F562D6" w:rsidP="002B0EAB">
                  <w:pPr>
                    <w:pStyle w:val="Paragraph"/>
                    <w:spacing w:before="0" w:after="0"/>
                    <w:jc w:val="right"/>
                    <w:rPr>
                      <w:rFonts w:cs="Arial"/>
                      <w:color w:val="000000" w:themeColor="text1"/>
                      <w:sz w:val="16"/>
                      <w:szCs w:val="16"/>
                    </w:rPr>
                  </w:pPr>
                  <w:r>
                    <w:rPr>
                      <w:rFonts w:cs="Arial"/>
                      <w:color w:val="000000" w:themeColor="text1"/>
                      <w:sz w:val="16"/>
                      <w:szCs w:val="16"/>
                    </w:rPr>
                    <w:t>25 859</w:t>
                  </w:r>
                </w:p>
              </w:tc>
            </w:tr>
            <w:tr w:rsidR="00F562D6" w:rsidRPr="006E4666" w14:paraId="17E5649F" w14:textId="77777777" w:rsidTr="0016647D">
              <w:trPr>
                <w:trHeight w:val="170"/>
              </w:trPr>
              <w:tc>
                <w:tcPr>
                  <w:tcW w:w="2233" w:type="dxa"/>
                  <w:vAlign w:val="bottom"/>
                </w:tcPr>
                <w:p w14:paraId="2B7CFBC2" w14:textId="77777777" w:rsidR="00F562D6" w:rsidRPr="008065A1" w:rsidRDefault="00F562D6" w:rsidP="002B0EAB">
                  <w:pPr>
                    <w:pStyle w:val="Paragraph"/>
                    <w:spacing w:before="0" w:after="0"/>
                    <w:rPr>
                      <w:rFonts w:cs="Arial"/>
                      <w:sz w:val="16"/>
                      <w:szCs w:val="16"/>
                    </w:rPr>
                  </w:pPr>
                  <w:r>
                    <w:rPr>
                      <w:rFonts w:cs="Arial"/>
                      <w:sz w:val="16"/>
                      <w:szCs w:val="16"/>
                    </w:rPr>
                    <w:t>Ärikasum või -kahjum enne tulumaksu</w:t>
                  </w:r>
                </w:p>
              </w:tc>
              <w:tc>
                <w:tcPr>
                  <w:tcW w:w="1003" w:type="dxa"/>
                </w:tcPr>
                <w:p w14:paraId="74D301FD" w14:textId="77777777" w:rsidR="00F562D6" w:rsidRPr="008065A1" w:rsidRDefault="00F562D6" w:rsidP="002B0EAB">
                  <w:pPr>
                    <w:pStyle w:val="Paragraph"/>
                    <w:spacing w:before="0" w:after="0"/>
                    <w:jc w:val="right"/>
                    <w:rPr>
                      <w:rFonts w:cs="Arial"/>
                      <w:color w:val="000000" w:themeColor="text1"/>
                      <w:sz w:val="16"/>
                      <w:szCs w:val="16"/>
                    </w:rPr>
                  </w:pPr>
                  <w:r>
                    <w:rPr>
                      <w:rFonts w:cs="Arial"/>
                      <w:sz w:val="16"/>
                      <w:szCs w:val="16"/>
                    </w:rPr>
                    <w:t>-2 269</w:t>
                  </w:r>
                </w:p>
              </w:tc>
              <w:tc>
                <w:tcPr>
                  <w:tcW w:w="1005" w:type="dxa"/>
                </w:tcPr>
                <w:p w14:paraId="5E002FCF" w14:textId="77777777" w:rsidR="00F562D6" w:rsidRPr="008065A1" w:rsidRDefault="00F562D6" w:rsidP="002B0EAB">
                  <w:pPr>
                    <w:pStyle w:val="Paragraph"/>
                    <w:spacing w:before="0" w:after="0"/>
                    <w:jc w:val="right"/>
                    <w:rPr>
                      <w:rFonts w:cs="Arial"/>
                      <w:sz w:val="16"/>
                      <w:szCs w:val="16"/>
                    </w:rPr>
                  </w:pPr>
                  <w:r>
                    <w:rPr>
                      <w:rFonts w:cs="Arial"/>
                      <w:sz w:val="16"/>
                      <w:szCs w:val="16"/>
                    </w:rPr>
                    <w:t>-3 135</w:t>
                  </w:r>
                </w:p>
              </w:tc>
              <w:tc>
                <w:tcPr>
                  <w:tcW w:w="1005" w:type="dxa"/>
                </w:tcPr>
                <w:p w14:paraId="4836FD6D" w14:textId="77777777" w:rsidR="00F562D6" w:rsidRPr="008065A1" w:rsidRDefault="00F562D6" w:rsidP="0016647D">
                  <w:pPr>
                    <w:pStyle w:val="Paragraph"/>
                    <w:spacing w:before="0" w:after="0"/>
                    <w:jc w:val="right"/>
                    <w:rPr>
                      <w:rFonts w:cs="Arial"/>
                      <w:color w:val="000000" w:themeColor="text1"/>
                      <w:sz w:val="16"/>
                      <w:szCs w:val="16"/>
                    </w:rPr>
                  </w:pPr>
                  <w:r>
                    <w:rPr>
                      <w:rFonts w:cs="Arial"/>
                      <w:color w:val="000000" w:themeColor="text1"/>
                      <w:sz w:val="16"/>
                      <w:szCs w:val="16"/>
                    </w:rPr>
                    <w:t>-3 808</w:t>
                  </w:r>
                </w:p>
              </w:tc>
              <w:tc>
                <w:tcPr>
                  <w:tcW w:w="1005" w:type="dxa"/>
                </w:tcPr>
                <w:p w14:paraId="00A527A7" w14:textId="77777777" w:rsidR="00F562D6" w:rsidRPr="008065A1" w:rsidRDefault="00F562D6" w:rsidP="0016647D">
                  <w:pPr>
                    <w:pStyle w:val="Paragraph"/>
                    <w:spacing w:before="0" w:after="0"/>
                    <w:jc w:val="right"/>
                    <w:rPr>
                      <w:rFonts w:cs="Arial"/>
                      <w:color w:val="000000" w:themeColor="text1"/>
                      <w:sz w:val="16"/>
                      <w:szCs w:val="16"/>
                    </w:rPr>
                  </w:pPr>
                  <w:r>
                    <w:rPr>
                      <w:rFonts w:cs="Arial"/>
                      <w:sz w:val="16"/>
                      <w:szCs w:val="16"/>
                    </w:rPr>
                    <w:t>-1 169</w:t>
                  </w:r>
                </w:p>
              </w:tc>
              <w:tc>
                <w:tcPr>
                  <w:tcW w:w="1008" w:type="dxa"/>
                </w:tcPr>
                <w:p w14:paraId="5AEED81B" w14:textId="77777777" w:rsidR="00F562D6" w:rsidRPr="008065A1" w:rsidRDefault="00F562D6" w:rsidP="0016647D">
                  <w:pPr>
                    <w:pStyle w:val="Paragraph"/>
                    <w:spacing w:before="0" w:after="0"/>
                    <w:jc w:val="right"/>
                    <w:rPr>
                      <w:rFonts w:cs="Arial"/>
                      <w:color w:val="000000" w:themeColor="text1"/>
                      <w:sz w:val="16"/>
                      <w:szCs w:val="16"/>
                    </w:rPr>
                  </w:pPr>
                  <w:r>
                    <w:rPr>
                      <w:rFonts w:cs="Arial"/>
                      <w:sz w:val="16"/>
                      <w:szCs w:val="16"/>
                    </w:rPr>
                    <w:t>23 143</w:t>
                  </w:r>
                </w:p>
              </w:tc>
            </w:tr>
            <w:tr w:rsidR="00F562D6" w:rsidRPr="006E4666" w14:paraId="54BFBF94" w14:textId="77777777" w:rsidTr="0016647D">
              <w:trPr>
                <w:trHeight w:val="170"/>
              </w:trPr>
              <w:tc>
                <w:tcPr>
                  <w:tcW w:w="2233" w:type="dxa"/>
                  <w:vAlign w:val="bottom"/>
                </w:tcPr>
                <w:p w14:paraId="5651DA6A" w14:textId="77777777" w:rsidR="00F562D6" w:rsidRPr="008065A1" w:rsidRDefault="00F562D6" w:rsidP="002B0EAB">
                  <w:pPr>
                    <w:pStyle w:val="Paragraph"/>
                    <w:spacing w:before="0" w:after="0"/>
                    <w:rPr>
                      <w:rFonts w:cs="Arial"/>
                      <w:sz w:val="16"/>
                      <w:szCs w:val="16"/>
                    </w:rPr>
                  </w:pPr>
                  <w:r>
                    <w:rPr>
                      <w:rFonts w:cs="Arial"/>
                      <w:sz w:val="16"/>
                      <w:szCs w:val="16"/>
                    </w:rPr>
                    <w:t>Perioodi puhaskasum või -kahjum</w:t>
                  </w:r>
                </w:p>
              </w:tc>
              <w:tc>
                <w:tcPr>
                  <w:tcW w:w="1003" w:type="dxa"/>
                </w:tcPr>
                <w:p w14:paraId="1D34E642" w14:textId="77777777" w:rsidR="00F562D6" w:rsidRPr="008065A1" w:rsidRDefault="00F562D6" w:rsidP="002B0EAB">
                  <w:pPr>
                    <w:pStyle w:val="Paragraph"/>
                    <w:spacing w:before="0" w:after="0"/>
                    <w:jc w:val="right"/>
                    <w:rPr>
                      <w:rFonts w:cs="Arial"/>
                      <w:color w:val="000000" w:themeColor="text1"/>
                      <w:sz w:val="16"/>
                      <w:szCs w:val="16"/>
                    </w:rPr>
                  </w:pPr>
                  <w:r>
                    <w:rPr>
                      <w:rFonts w:cs="Arial"/>
                      <w:sz w:val="16"/>
                      <w:szCs w:val="16"/>
                    </w:rPr>
                    <w:t>-2 310</w:t>
                  </w:r>
                </w:p>
              </w:tc>
              <w:tc>
                <w:tcPr>
                  <w:tcW w:w="1005" w:type="dxa"/>
                </w:tcPr>
                <w:p w14:paraId="11722BF9" w14:textId="77777777" w:rsidR="00F562D6" w:rsidRPr="008065A1" w:rsidRDefault="00F562D6" w:rsidP="002B0EAB">
                  <w:pPr>
                    <w:pStyle w:val="Paragraph"/>
                    <w:spacing w:before="0" w:after="0"/>
                    <w:jc w:val="right"/>
                    <w:rPr>
                      <w:rFonts w:cs="Arial"/>
                      <w:color w:val="000000" w:themeColor="text1"/>
                      <w:sz w:val="16"/>
                      <w:szCs w:val="16"/>
                    </w:rPr>
                  </w:pPr>
                  <w:r>
                    <w:rPr>
                      <w:rFonts w:cs="Arial"/>
                      <w:sz w:val="16"/>
                      <w:szCs w:val="16"/>
                    </w:rPr>
                    <w:t>-3 149</w:t>
                  </w:r>
                </w:p>
              </w:tc>
              <w:tc>
                <w:tcPr>
                  <w:tcW w:w="1005" w:type="dxa"/>
                </w:tcPr>
                <w:p w14:paraId="640DB98F" w14:textId="77777777" w:rsidR="00F562D6" w:rsidRPr="008065A1" w:rsidRDefault="00F562D6" w:rsidP="0016647D">
                  <w:pPr>
                    <w:pStyle w:val="Paragraph"/>
                    <w:spacing w:before="0" w:after="0"/>
                    <w:jc w:val="right"/>
                    <w:rPr>
                      <w:rFonts w:cs="Arial"/>
                      <w:color w:val="000000" w:themeColor="text1"/>
                      <w:sz w:val="16"/>
                      <w:szCs w:val="16"/>
                    </w:rPr>
                  </w:pPr>
                  <w:r>
                    <w:rPr>
                      <w:rFonts w:cs="Arial"/>
                      <w:color w:val="000000" w:themeColor="text1"/>
                      <w:sz w:val="16"/>
                      <w:szCs w:val="16"/>
                    </w:rPr>
                    <w:t>-4 025</w:t>
                  </w:r>
                </w:p>
              </w:tc>
              <w:tc>
                <w:tcPr>
                  <w:tcW w:w="1005" w:type="dxa"/>
                </w:tcPr>
                <w:p w14:paraId="7D949570" w14:textId="77777777" w:rsidR="00F562D6" w:rsidRPr="008065A1" w:rsidRDefault="00F562D6" w:rsidP="0016647D">
                  <w:pPr>
                    <w:pStyle w:val="Paragraph"/>
                    <w:spacing w:before="0" w:after="0"/>
                    <w:jc w:val="right"/>
                    <w:rPr>
                      <w:rFonts w:cs="Arial"/>
                      <w:color w:val="000000" w:themeColor="text1"/>
                      <w:sz w:val="16"/>
                      <w:szCs w:val="16"/>
                    </w:rPr>
                  </w:pPr>
                  <w:r>
                    <w:rPr>
                      <w:rFonts w:cs="Arial"/>
                      <w:sz w:val="16"/>
                      <w:szCs w:val="16"/>
                    </w:rPr>
                    <w:t>-2 010</w:t>
                  </w:r>
                </w:p>
              </w:tc>
              <w:tc>
                <w:tcPr>
                  <w:tcW w:w="1008" w:type="dxa"/>
                </w:tcPr>
                <w:p w14:paraId="4835D882" w14:textId="77777777" w:rsidR="00F562D6" w:rsidRPr="008065A1" w:rsidRDefault="00F562D6" w:rsidP="0016647D">
                  <w:pPr>
                    <w:pStyle w:val="Paragraph"/>
                    <w:spacing w:before="0" w:after="0"/>
                    <w:jc w:val="right"/>
                    <w:rPr>
                      <w:rFonts w:cs="Arial"/>
                      <w:color w:val="000000" w:themeColor="text1"/>
                      <w:sz w:val="16"/>
                      <w:szCs w:val="16"/>
                    </w:rPr>
                  </w:pPr>
                  <w:r>
                    <w:rPr>
                      <w:rFonts w:cs="Arial"/>
                      <w:sz w:val="16"/>
                      <w:szCs w:val="16"/>
                    </w:rPr>
                    <w:t>21 235</w:t>
                  </w:r>
                </w:p>
              </w:tc>
            </w:tr>
            <w:bookmarkEnd w:id="4"/>
            <w:tr w:rsidR="00F562D6" w:rsidRPr="006E4666" w14:paraId="45FEA7E7" w14:textId="77777777" w:rsidTr="002B0EAB">
              <w:trPr>
                <w:trHeight w:val="170"/>
              </w:trPr>
              <w:tc>
                <w:tcPr>
                  <w:tcW w:w="7259" w:type="dxa"/>
                  <w:gridSpan w:val="6"/>
                  <w:vAlign w:val="center"/>
                </w:tcPr>
                <w:p w14:paraId="5B256E20" w14:textId="77777777" w:rsidR="00F562D6" w:rsidRPr="008065A1" w:rsidRDefault="00F562D6" w:rsidP="002B0EAB">
                  <w:pPr>
                    <w:pStyle w:val="Paragraph"/>
                    <w:spacing w:before="0" w:after="0"/>
                    <w:rPr>
                      <w:rFonts w:cs="Arial"/>
                      <w:i/>
                      <w:iCs/>
                      <w:sz w:val="16"/>
                      <w:szCs w:val="16"/>
                    </w:rPr>
                  </w:pPr>
                  <w:r>
                    <w:rPr>
                      <w:rFonts w:cs="Arial"/>
                      <w:i/>
                      <w:iCs/>
                      <w:color w:val="000000" w:themeColor="text1"/>
                      <w:sz w:val="16"/>
                      <w:szCs w:val="16"/>
                    </w:rPr>
                    <w:t>Allikas: Aruanded, Äriühing</w:t>
                  </w:r>
                </w:p>
              </w:tc>
            </w:tr>
          </w:tbl>
          <w:p w14:paraId="557C206F" w14:textId="77777777" w:rsidR="00F562D6" w:rsidRPr="00D6671D" w:rsidRDefault="00F562D6" w:rsidP="002B0EAB">
            <w:pPr>
              <w:jc w:val="both"/>
              <w:rPr>
                <w:rFonts w:ascii="Arial" w:hAnsi="Arial" w:cs="Arial"/>
                <w:sz w:val="16"/>
                <w:szCs w:val="16"/>
                <w:lang w:val="et-EE"/>
              </w:rPr>
            </w:pPr>
            <w:r w:rsidRPr="00D6671D">
              <w:rPr>
                <w:rFonts w:ascii="Arial" w:hAnsi="Arial" w:cs="Arial"/>
                <w:sz w:val="16"/>
                <w:szCs w:val="16"/>
                <w:lang w:val="et-EE"/>
              </w:rPr>
              <w:lastRenderedPageBreak/>
              <w:t>Valitud teave finantsseisundi konsolideeritud aruannetest</w:t>
            </w:r>
          </w:p>
          <w:tbl>
            <w:tblPr>
              <w:tblStyle w:val="TableGrid"/>
              <w:tblW w:w="72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ayout w:type="fixed"/>
              <w:tblLook w:val="04A0" w:firstRow="1" w:lastRow="0" w:firstColumn="1" w:lastColumn="0" w:noHBand="0" w:noVBand="1"/>
            </w:tblPr>
            <w:tblGrid>
              <w:gridCol w:w="2688"/>
              <w:gridCol w:w="1146"/>
              <w:gridCol w:w="1142"/>
              <w:gridCol w:w="1141"/>
              <w:gridCol w:w="1142"/>
            </w:tblGrid>
            <w:tr w:rsidR="00F562D6" w:rsidRPr="006E4666" w14:paraId="786EA8B7" w14:textId="77777777" w:rsidTr="002B0EAB">
              <w:trPr>
                <w:trHeight w:val="170"/>
              </w:trPr>
              <w:tc>
                <w:tcPr>
                  <w:tcW w:w="2688" w:type="dxa"/>
                  <w:shd w:val="clear" w:color="auto" w:fill="C8501E"/>
                </w:tcPr>
                <w:p w14:paraId="15F52229" w14:textId="77777777" w:rsidR="00F562D6" w:rsidRPr="008065A1" w:rsidRDefault="00F562D6" w:rsidP="002B0EAB">
                  <w:pPr>
                    <w:pStyle w:val="Paragraph"/>
                    <w:spacing w:before="0" w:after="0"/>
                    <w:rPr>
                      <w:rFonts w:cs="Arial"/>
                      <w:i/>
                      <w:iCs/>
                      <w:color w:val="FFFFFF" w:themeColor="background1"/>
                      <w:sz w:val="16"/>
                      <w:szCs w:val="16"/>
                    </w:rPr>
                  </w:pPr>
                  <w:r>
                    <w:rPr>
                      <w:rFonts w:cs="Arial"/>
                      <w:i/>
                      <w:iCs/>
                      <w:color w:val="FFFFFF" w:themeColor="background1"/>
                      <w:sz w:val="16"/>
                      <w:szCs w:val="16"/>
                    </w:rPr>
                    <w:t>tuhat eurot</w:t>
                  </w:r>
                </w:p>
              </w:tc>
              <w:tc>
                <w:tcPr>
                  <w:tcW w:w="1146" w:type="dxa"/>
                  <w:shd w:val="clear" w:color="auto" w:fill="C8501E"/>
                </w:tcPr>
                <w:p w14:paraId="782C3E95" w14:textId="77777777" w:rsidR="00F562D6" w:rsidRPr="008065A1" w:rsidRDefault="00F562D6" w:rsidP="002B0EAB">
                  <w:pPr>
                    <w:pStyle w:val="Paragraph"/>
                    <w:spacing w:before="0" w:after="0"/>
                    <w:jc w:val="right"/>
                    <w:rPr>
                      <w:rFonts w:cs="Arial"/>
                      <w:color w:val="FFFFFF" w:themeColor="background1"/>
                      <w:sz w:val="16"/>
                      <w:szCs w:val="16"/>
                    </w:rPr>
                  </w:pPr>
                  <w:r>
                    <w:rPr>
                      <w:rFonts w:cs="Arial"/>
                      <w:color w:val="FFFFFF" w:themeColor="background1"/>
                      <w:sz w:val="16"/>
                      <w:szCs w:val="16"/>
                    </w:rPr>
                    <w:t>30. juuni</w:t>
                  </w:r>
                </w:p>
              </w:tc>
              <w:tc>
                <w:tcPr>
                  <w:tcW w:w="3425" w:type="dxa"/>
                  <w:gridSpan w:val="3"/>
                  <w:shd w:val="clear" w:color="auto" w:fill="C8501E"/>
                </w:tcPr>
                <w:p w14:paraId="5469C31A" w14:textId="77777777" w:rsidR="00F562D6" w:rsidRPr="008065A1" w:rsidRDefault="00F562D6" w:rsidP="002B0EAB">
                  <w:pPr>
                    <w:pStyle w:val="Paragraph"/>
                    <w:spacing w:before="0" w:after="0"/>
                    <w:jc w:val="center"/>
                    <w:rPr>
                      <w:rFonts w:cs="Arial"/>
                      <w:color w:val="FFFFFF" w:themeColor="background1"/>
                      <w:sz w:val="16"/>
                      <w:szCs w:val="16"/>
                    </w:rPr>
                  </w:pPr>
                  <w:r>
                    <w:rPr>
                      <w:rFonts w:cs="Arial"/>
                      <w:color w:val="FFFFFF" w:themeColor="background1"/>
                      <w:sz w:val="16"/>
                      <w:szCs w:val="16"/>
                    </w:rPr>
                    <w:t>31. detsember</w:t>
                  </w:r>
                </w:p>
              </w:tc>
            </w:tr>
            <w:tr w:rsidR="00F562D6" w:rsidRPr="006E4666" w14:paraId="4E98AB5F" w14:textId="77777777" w:rsidTr="002B0EAB">
              <w:trPr>
                <w:trHeight w:val="170"/>
              </w:trPr>
              <w:tc>
                <w:tcPr>
                  <w:tcW w:w="2688" w:type="dxa"/>
                  <w:shd w:val="clear" w:color="auto" w:fill="C8501E"/>
                </w:tcPr>
                <w:p w14:paraId="484B6061" w14:textId="77777777" w:rsidR="00F562D6" w:rsidRPr="008065A1" w:rsidRDefault="00F562D6" w:rsidP="002B0EAB">
                  <w:pPr>
                    <w:pStyle w:val="Paragraph"/>
                    <w:spacing w:before="0" w:after="0"/>
                    <w:rPr>
                      <w:rFonts w:cs="Arial"/>
                      <w:color w:val="FFFFFF" w:themeColor="background1"/>
                      <w:sz w:val="16"/>
                      <w:szCs w:val="16"/>
                    </w:rPr>
                  </w:pPr>
                </w:p>
              </w:tc>
              <w:tc>
                <w:tcPr>
                  <w:tcW w:w="1146" w:type="dxa"/>
                  <w:shd w:val="clear" w:color="auto" w:fill="C8501E"/>
                </w:tcPr>
                <w:p w14:paraId="0EBD324C" w14:textId="77777777" w:rsidR="00F562D6" w:rsidRPr="008065A1" w:rsidRDefault="00F562D6" w:rsidP="002B0EAB">
                  <w:pPr>
                    <w:pStyle w:val="Paragraph"/>
                    <w:spacing w:before="0" w:after="0"/>
                    <w:jc w:val="right"/>
                    <w:rPr>
                      <w:rFonts w:cs="Arial"/>
                      <w:color w:val="FFFFFF" w:themeColor="background1"/>
                      <w:sz w:val="16"/>
                      <w:szCs w:val="16"/>
                    </w:rPr>
                  </w:pPr>
                  <w:r>
                    <w:rPr>
                      <w:rFonts w:cs="Arial"/>
                      <w:color w:val="FFFFFF" w:themeColor="background1"/>
                      <w:sz w:val="16"/>
                      <w:szCs w:val="16"/>
                    </w:rPr>
                    <w:t>2017</w:t>
                  </w:r>
                </w:p>
              </w:tc>
              <w:tc>
                <w:tcPr>
                  <w:tcW w:w="1142" w:type="dxa"/>
                  <w:shd w:val="clear" w:color="auto" w:fill="C8501E"/>
                </w:tcPr>
                <w:p w14:paraId="0B3F44E9" w14:textId="77777777" w:rsidR="00F562D6" w:rsidRPr="008065A1" w:rsidRDefault="00F562D6" w:rsidP="002B0EAB">
                  <w:pPr>
                    <w:pStyle w:val="Paragraph"/>
                    <w:spacing w:before="0" w:after="0"/>
                    <w:jc w:val="right"/>
                    <w:rPr>
                      <w:rFonts w:cs="Arial"/>
                      <w:color w:val="FFFFFF" w:themeColor="background1"/>
                      <w:sz w:val="16"/>
                      <w:szCs w:val="16"/>
                    </w:rPr>
                  </w:pPr>
                  <w:r>
                    <w:rPr>
                      <w:rFonts w:cs="Arial"/>
                      <w:color w:val="FFFFFF" w:themeColor="background1"/>
                      <w:sz w:val="16"/>
                      <w:szCs w:val="16"/>
                    </w:rPr>
                    <w:t>2016</w:t>
                  </w:r>
                </w:p>
              </w:tc>
              <w:tc>
                <w:tcPr>
                  <w:tcW w:w="1141" w:type="dxa"/>
                  <w:shd w:val="clear" w:color="auto" w:fill="C8501E"/>
                </w:tcPr>
                <w:p w14:paraId="15435412" w14:textId="77777777" w:rsidR="00F562D6" w:rsidRPr="008065A1" w:rsidRDefault="00F562D6" w:rsidP="002B0EAB">
                  <w:pPr>
                    <w:pStyle w:val="Paragraph"/>
                    <w:spacing w:before="0" w:after="0"/>
                    <w:jc w:val="right"/>
                    <w:rPr>
                      <w:rFonts w:cs="Arial"/>
                      <w:color w:val="FFFFFF" w:themeColor="background1"/>
                      <w:sz w:val="16"/>
                      <w:szCs w:val="16"/>
                    </w:rPr>
                  </w:pPr>
                  <w:r>
                    <w:rPr>
                      <w:rFonts w:cs="Arial"/>
                      <w:color w:val="FFFFFF" w:themeColor="background1"/>
                      <w:sz w:val="16"/>
                      <w:szCs w:val="16"/>
                    </w:rPr>
                    <w:t>2015</w:t>
                  </w:r>
                </w:p>
              </w:tc>
              <w:tc>
                <w:tcPr>
                  <w:tcW w:w="1142" w:type="dxa"/>
                  <w:shd w:val="clear" w:color="auto" w:fill="C8501E"/>
                </w:tcPr>
                <w:p w14:paraId="52FCFD92" w14:textId="77777777" w:rsidR="00F562D6" w:rsidRPr="008065A1" w:rsidRDefault="00F562D6" w:rsidP="002B0EAB">
                  <w:pPr>
                    <w:pStyle w:val="Paragraph"/>
                    <w:spacing w:before="0" w:after="0"/>
                    <w:jc w:val="right"/>
                    <w:rPr>
                      <w:rFonts w:cs="Arial"/>
                      <w:color w:val="FFFFFF" w:themeColor="background1"/>
                      <w:sz w:val="16"/>
                      <w:szCs w:val="16"/>
                    </w:rPr>
                  </w:pPr>
                  <w:r>
                    <w:rPr>
                      <w:rFonts w:cs="Arial"/>
                      <w:color w:val="FFFFFF" w:themeColor="background1"/>
                      <w:sz w:val="16"/>
                      <w:szCs w:val="16"/>
                    </w:rPr>
                    <w:t>2014</w:t>
                  </w:r>
                </w:p>
              </w:tc>
            </w:tr>
            <w:tr w:rsidR="00F562D6" w:rsidRPr="006E4666" w14:paraId="61E1E8AA" w14:textId="77777777" w:rsidTr="002B0EAB">
              <w:trPr>
                <w:trHeight w:val="170"/>
              </w:trPr>
              <w:tc>
                <w:tcPr>
                  <w:tcW w:w="2688" w:type="dxa"/>
                  <w:vAlign w:val="bottom"/>
                </w:tcPr>
                <w:p w14:paraId="51F3337A" w14:textId="77777777" w:rsidR="00F562D6" w:rsidRPr="008065A1" w:rsidRDefault="00F562D6" w:rsidP="002B0EAB">
                  <w:pPr>
                    <w:pStyle w:val="Paragraph"/>
                    <w:spacing w:before="0" w:after="0"/>
                    <w:rPr>
                      <w:rFonts w:cs="Arial"/>
                      <w:sz w:val="16"/>
                      <w:szCs w:val="16"/>
                    </w:rPr>
                  </w:pPr>
                  <w:bookmarkStart w:id="5" w:name="_Hlk488764699"/>
                  <w:r>
                    <w:rPr>
                      <w:rFonts w:cs="Arial"/>
                      <w:sz w:val="16"/>
                      <w:szCs w:val="16"/>
                    </w:rPr>
                    <w:t>Käibevara</w:t>
                  </w:r>
                </w:p>
              </w:tc>
              <w:tc>
                <w:tcPr>
                  <w:tcW w:w="1146" w:type="dxa"/>
                </w:tcPr>
                <w:p w14:paraId="7A0AB299" w14:textId="77777777" w:rsidR="00F562D6" w:rsidRPr="008065A1" w:rsidRDefault="00F562D6" w:rsidP="002B0EAB">
                  <w:pPr>
                    <w:pStyle w:val="Paragraph"/>
                    <w:spacing w:before="0" w:after="0"/>
                    <w:jc w:val="right"/>
                    <w:rPr>
                      <w:rFonts w:cs="Arial"/>
                      <w:sz w:val="16"/>
                      <w:szCs w:val="16"/>
                    </w:rPr>
                  </w:pPr>
                  <w:r>
                    <w:rPr>
                      <w:rFonts w:cs="Arial"/>
                      <w:sz w:val="16"/>
                      <w:szCs w:val="16"/>
                    </w:rPr>
                    <w:t>37 442</w:t>
                  </w:r>
                </w:p>
              </w:tc>
              <w:tc>
                <w:tcPr>
                  <w:tcW w:w="1142" w:type="dxa"/>
                  <w:vAlign w:val="bottom"/>
                </w:tcPr>
                <w:p w14:paraId="07728B46"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24 001</w:t>
                  </w:r>
                </w:p>
              </w:tc>
              <w:tc>
                <w:tcPr>
                  <w:tcW w:w="1141" w:type="dxa"/>
                  <w:vAlign w:val="bottom"/>
                </w:tcPr>
                <w:p w14:paraId="5055C14A"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20 438</w:t>
                  </w:r>
                </w:p>
              </w:tc>
              <w:tc>
                <w:tcPr>
                  <w:tcW w:w="1142" w:type="dxa"/>
                  <w:vAlign w:val="bottom"/>
                </w:tcPr>
                <w:p w14:paraId="04E50AF4"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18 879</w:t>
                  </w:r>
                </w:p>
              </w:tc>
            </w:tr>
            <w:tr w:rsidR="00F562D6" w:rsidRPr="006E4666" w14:paraId="1432666E" w14:textId="77777777" w:rsidTr="002B0EAB">
              <w:trPr>
                <w:trHeight w:val="170"/>
              </w:trPr>
              <w:tc>
                <w:tcPr>
                  <w:tcW w:w="2688" w:type="dxa"/>
                  <w:vAlign w:val="bottom"/>
                </w:tcPr>
                <w:p w14:paraId="32A79A2D" w14:textId="77777777" w:rsidR="00F562D6" w:rsidRPr="008065A1" w:rsidRDefault="00F562D6" w:rsidP="002B0EAB">
                  <w:pPr>
                    <w:pStyle w:val="Paragraph"/>
                    <w:spacing w:before="0" w:after="0"/>
                    <w:rPr>
                      <w:rFonts w:cs="Arial"/>
                      <w:sz w:val="16"/>
                      <w:szCs w:val="16"/>
                    </w:rPr>
                  </w:pPr>
                  <w:r>
                    <w:rPr>
                      <w:rFonts w:cs="Arial"/>
                      <w:sz w:val="16"/>
                      <w:szCs w:val="16"/>
                    </w:rPr>
                    <w:t>Põhivara</w:t>
                  </w:r>
                </w:p>
              </w:tc>
              <w:tc>
                <w:tcPr>
                  <w:tcW w:w="1146" w:type="dxa"/>
                </w:tcPr>
                <w:p w14:paraId="62D270B6" w14:textId="77777777" w:rsidR="00F562D6" w:rsidRPr="008065A1" w:rsidRDefault="00F562D6" w:rsidP="002B0EAB">
                  <w:pPr>
                    <w:pStyle w:val="Paragraph"/>
                    <w:spacing w:before="0" w:after="0"/>
                    <w:jc w:val="right"/>
                    <w:rPr>
                      <w:rFonts w:cs="Arial"/>
                      <w:sz w:val="16"/>
                      <w:szCs w:val="16"/>
                    </w:rPr>
                  </w:pPr>
                  <w:r>
                    <w:rPr>
                      <w:rFonts w:cs="Arial"/>
                      <w:sz w:val="16"/>
                      <w:szCs w:val="16"/>
                    </w:rPr>
                    <w:t>114 502</w:t>
                  </w:r>
                </w:p>
              </w:tc>
              <w:tc>
                <w:tcPr>
                  <w:tcW w:w="1142" w:type="dxa"/>
                  <w:vAlign w:val="bottom"/>
                </w:tcPr>
                <w:p w14:paraId="3E3AD115"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118 313</w:t>
                  </w:r>
                </w:p>
              </w:tc>
              <w:tc>
                <w:tcPr>
                  <w:tcW w:w="1141" w:type="dxa"/>
                  <w:vAlign w:val="bottom"/>
                </w:tcPr>
                <w:p w14:paraId="7173D9BC"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109 885</w:t>
                  </w:r>
                </w:p>
              </w:tc>
              <w:tc>
                <w:tcPr>
                  <w:tcW w:w="1142" w:type="dxa"/>
                  <w:vAlign w:val="bottom"/>
                </w:tcPr>
                <w:p w14:paraId="0474E99A"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106 152</w:t>
                  </w:r>
                </w:p>
              </w:tc>
            </w:tr>
            <w:tr w:rsidR="00F562D6" w:rsidRPr="006E4666" w14:paraId="7C0A0C87" w14:textId="77777777" w:rsidTr="002B0EAB">
              <w:trPr>
                <w:trHeight w:val="170"/>
              </w:trPr>
              <w:tc>
                <w:tcPr>
                  <w:tcW w:w="2688" w:type="dxa"/>
                  <w:vAlign w:val="bottom"/>
                </w:tcPr>
                <w:p w14:paraId="6C904740" w14:textId="77777777" w:rsidR="00F562D6" w:rsidRPr="008065A1" w:rsidRDefault="00F562D6" w:rsidP="002B0EAB">
                  <w:pPr>
                    <w:pStyle w:val="Paragraph"/>
                    <w:spacing w:before="0" w:after="0"/>
                    <w:rPr>
                      <w:rFonts w:cs="Arial"/>
                      <w:sz w:val="16"/>
                      <w:szCs w:val="16"/>
                    </w:rPr>
                  </w:pPr>
                  <w:r>
                    <w:rPr>
                      <w:rFonts w:cs="Arial"/>
                      <w:sz w:val="16"/>
                      <w:szCs w:val="16"/>
                    </w:rPr>
                    <w:t>Varad kokku</w:t>
                  </w:r>
                </w:p>
              </w:tc>
              <w:tc>
                <w:tcPr>
                  <w:tcW w:w="1146" w:type="dxa"/>
                </w:tcPr>
                <w:p w14:paraId="760A526A" w14:textId="77777777" w:rsidR="00F562D6" w:rsidRPr="008065A1" w:rsidRDefault="00F562D6" w:rsidP="002B0EAB">
                  <w:pPr>
                    <w:pStyle w:val="Paragraph"/>
                    <w:spacing w:before="0" w:after="0"/>
                    <w:jc w:val="right"/>
                    <w:rPr>
                      <w:rFonts w:cs="Arial"/>
                      <w:sz w:val="16"/>
                      <w:szCs w:val="16"/>
                    </w:rPr>
                  </w:pPr>
                  <w:r>
                    <w:rPr>
                      <w:rFonts w:cs="Arial"/>
                      <w:sz w:val="16"/>
                      <w:szCs w:val="16"/>
                    </w:rPr>
                    <w:t>151 944</w:t>
                  </w:r>
                </w:p>
              </w:tc>
              <w:tc>
                <w:tcPr>
                  <w:tcW w:w="1142" w:type="dxa"/>
                  <w:vAlign w:val="bottom"/>
                </w:tcPr>
                <w:p w14:paraId="0508A991"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142 314</w:t>
                  </w:r>
                </w:p>
              </w:tc>
              <w:tc>
                <w:tcPr>
                  <w:tcW w:w="1141" w:type="dxa"/>
                  <w:vAlign w:val="bottom"/>
                </w:tcPr>
                <w:p w14:paraId="385DD94C"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130 323</w:t>
                  </w:r>
                </w:p>
              </w:tc>
              <w:tc>
                <w:tcPr>
                  <w:tcW w:w="1142" w:type="dxa"/>
                  <w:vAlign w:val="bottom"/>
                </w:tcPr>
                <w:p w14:paraId="0366063D"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125 031</w:t>
                  </w:r>
                </w:p>
              </w:tc>
            </w:tr>
            <w:tr w:rsidR="00F562D6" w:rsidRPr="006E4666" w14:paraId="07C7C21E" w14:textId="77777777" w:rsidTr="002B0EAB">
              <w:trPr>
                <w:trHeight w:val="170"/>
              </w:trPr>
              <w:tc>
                <w:tcPr>
                  <w:tcW w:w="2688" w:type="dxa"/>
                  <w:vAlign w:val="bottom"/>
                </w:tcPr>
                <w:p w14:paraId="288F83FE" w14:textId="77777777" w:rsidR="00F562D6" w:rsidRPr="008065A1" w:rsidRDefault="00F562D6" w:rsidP="002B0EAB">
                  <w:pPr>
                    <w:pStyle w:val="Paragraph"/>
                    <w:spacing w:before="0" w:after="0"/>
                    <w:rPr>
                      <w:rFonts w:cs="Arial"/>
                      <w:sz w:val="16"/>
                      <w:szCs w:val="16"/>
                    </w:rPr>
                  </w:pPr>
                  <w:r>
                    <w:rPr>
                      <w:rFonts w:cs="Arial"/>
                      <w:sz w:val="16"/>
                      <w:szCs w:val="16"/>
                    </w:rPr>
                    <w:t>Lühiajalised kohustused</w:t>
                  </w:r>
                </w:p>
              </w:tc>
              <w:tc>
                <w:tcPr>
                  <w:tcW w:w="1146" w:type="dxa"/>
                </w:tcPr>
                <w:p w14:paraId="24C75EF2" w14:textId="77777777" w:rsidR="00F562D6" w:rsidRPr="008065A1" w:rsidRDefault="00F562D6" w:rsidP="002B0EAB">
                  <w:pPr>
                    <w:pStyle w:val="Paragraph"/>
                    <w:spacing w:before="0" w:after="0"/>
                    <w:jc w:val="right"/>
                    <w:rPr>
                      <w:rFonts w:cs="Arial"/>
                      <w:sz w:val="16"/>
                      <w:szCs w:val="16"/>
                    </w:rPr>
                  </w:pPr>
                  <w:r>
                    <w:rPr>
                      <w:rFonts w:cs="Arial"/>
                      <w:sz w:val="16"/>
                      <w:szCs w:val="16"/>
                    </w:rPr>
                    <w:t>18 388</w:t>
                  </w:r>
                </w:p>
              </w:tc>
              <w:tc>
                <w:tcPr>
                  <w:tcW w:w="1142" w:type="dxa"/>
                  <w:vAlign w:val="bottom"/>
                </w:tcPr>
                <w:p w14:paraId="0F92422F"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19 541</w:t>
                  </w:r>
                </w:p>
              </w:tc>
              <w:tc>
                <w:tcPr>
                  <w:tcW w:w="1141" w:type="dxa"/>
                  <w:vAlign w:val="bottom"/>
                </w:tcPr>
                <w:p w14:paraId="7901B77F"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15 150</w:t>
                  </w:r>
                </w:p>
              </w:tc>
              <w:tc>
                <w:tcPr>
                  <w:tcW w:w="1142" w:type="dxa"/>
                  <w:vAlign w:val="bottom"/>
                </w:tcPr>
                <w:p w14:paraId="51E98CB4"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22 839</w:t>
                  </w:r>
                </w:p>
              </w:tc>
            </w:tr>
            <w:tr w:rsidR="00F562D6" w:rsidRPr="006E4666" w14:paraId="62CA1BCD" w14:textId="77777777" w:rsidTr="002B0EAB">
              <w:trPr>
                <w:trHeight w:val="170"/>
              </w:trPr>
              <w:tc>
                <w:tcPr>
                  <w:tcW w:w="2688" w:type="dxa"/>
                  <w:vAlign w:val="bottom"/>
                </w:tcPr>
                <w:p w14:paraId="156E9B85" w14:textId="77777777" w:rsidR="00F562D6" w:rsidRPr="008065A1" w:rsidRDefault="00F562D6" w:rsidP="002B0EAB">
                  <w:pPr>
                    <w:pStyle w:val="Paragraph"/>
                    <w:spacing w:before="0" w:after="0"/>
                    <w:rPr>
                      <w:rFonts w:cs="Arial"/>
                      <w:sz w:val="16"/>
                      <w:szCs w:val="16"/>
                    </w:rPr>
                  </w:pPr>
                  <w:r>
                    <w:rPr>
                      <w:rFonts w:cs="Arial"/>
                      <w:sz w:val="16"/>
                      <w:szCs w:val="16"/>
                    </w:rPr>
                    <w:t>Pikaajalised kohustused</w:t>
                  </w:r>
                </w:p>
              </w:tc>
              <w:tc>
                <w:tcPr>
                  <w:tcW w:w="1146" w:type="dxa"/>
                </w:tcPr>
                <w:p w14:paraId="4F50EDA5" w14:textId="77777777" w:rsidR="00F562D6" w:rsidRPr="008065A1" w:rsidRDefault="00F562D6" w:rsidP="002B0EAB">
                  <w:pPr>
                    <w:pStyle w:val="Paragraph"/>
                    <w:spacing w:before="0" w:after="0"/>
                    <w:jc w:val="right"/>
                    <w:rPr>
                      <w:rFonts w:cs="Arial"/>
                      <w:sz w:val="16"/>
                      <w:szCs w:val="16"/>
                    </w:rPr>
                  </w:pPr>
                  <w:r>
                    <w:rPr>
                      <w:rFonts w:cs="Arial"/>
                      <w:sz w:val="16"/>
                      <w:szCs w:val="16"/>
                    </w:rPr>
                    <w:t>56 141</w:t>
                  </w:r>
                </w:p>
              </w:tc>
              <w:tc>
                <w:tcPr>
                  <w:tcW w:w="1142" w:type="dxa"/>
                  <w:vAlign w:val="bottom"/>
                </w:tcPr>
                <w:p w14:paraId="6EB9B2D9"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42 569</w:t>
                  </w:r>
                </w:p>
              </w:tc>
              <w:tc>
                <w:tcPr>
                  <w:tcW w:w="1141" w:type="dxa"/>
                  <w:vAlign w:val="bottom"/>
                </w:tcPr>
                <w:p w14:paraId="650F1BDA"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31 741</w:t>
                  </w:r>
                </w:p>
              </w:tc>
              <w:tc>
                <w:tcPr>
                  <w:tcW w:w="1142" w:type="dxa"/>
                  <w:vAlign w:val="bottom"/>
                </w:tcPr>
                <w:p w14:paraId="0FAC5F21"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16 404</w:t>
                  </w:r>
                </w:p>
              </w:tc>
            </w:tr>
            <w:tr w:rsidR="00F562D6" w:rsidRPr="006E4666" w14:paraId="2B979182" w14:textId="77777777" w:rsidTr="002B0EAB">
              <w:trPr>
                <w:trHeight w:val="170"/>
              </w:trPr>
              <w:tc>
                <w:tcPr>
                  <w:tcW w:w="2688" w:type="dxa"/>
                  <w:vAlign w:val="bottom"/>
                </w:tcPr>
                <w:p w14:paraId="7E9964C1" w14:textId="77777777" w:rsidR="00F562D6" w:rsidRPr="008065A1" w:rsidRDefault="00F562D6" w:rsidP="002B0EAB">
                  <w:pPr>
                    <w:pStyle w:val="Paragraph"/>
                    <w:spacing w:before="0" w:after="0"/>
                    <w:rPr>
                      <w:rFonts w:cs="Arial"/>
                      <w:sz w:val="16"/>
                      <w:szCs w:val="16"/>
                    </w:rPr>
                  </w:pPr>
                  <w:r>
                    <w:rPr>
                      <w:rFonts w:cs="Arial"/>
                      <w:sz w:val="16"/>
                      <w:szCs w:val="16"/>
                    </w:rPr>
                    <w:t>Kohustused kokku</w:t>
                  </w:r>
                </w:p>
              </w:tc>
              <w:tc>
                <w:tcPr>
                  <w:tcW w:w="1146" w:type="dxa"/>
                </w:tcPr>
                <w:p w14:paraId="5DBB45C9" w14:textId="77777777" w:rsidR="00F562D6" w:rsidRPr="008065A1" w:rsidRDefault="00F562D6" w:rsidP="002B0EAB">
                  <w:pPr>
                    <w:pStyle w:val="Paragraph"/>
                    <w:spacing w:before="0" w:after="0"/>
                    <w:jc w:val="right"/>
                    <w:rPr>
                      <w:rFonts w:cs="Arial"/>
                      <w:sz w:val="16"/>
                      <w:szCs w:val="16"/>
                    </w:rPr>
                  </w:pPr>
                  <w:r>
                    <w:rPr>
                      <w:rFonts w:cs="Arial"/>
                      <w:sz w:val="16"/>
                      <w:szCs w:val="16"/>
                    </w:rPr>
                    <w:t>74 529</w:t>
                  </w:r>
                </w:p>
              </w:tc>
              <w:tc>
                <w:tcPr>
                  <w:tcW w:w="1142" w:type="dxa"/>
                  <w:vAlign w:val="bottom"/>
                </w:tcPr>
                <w:p w14:paraId="74710BA7"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62 110</w:t>
                  </w:r>
                </w:p>
              </w:tc>
              <w:tc>
                <w:tcPr>
                  <w:tcW w:w="1141" w:type="dxa"/>
                  <w:vAlign w:val="bottom"/>
                </w:tcPr>
                <w:p w14:paraId="2FD90B7E"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46 891</w:t>
                  </w:r>
                </w:p>
              </w:tc>
              <w:tc>
                <w:tcPr>
                  <w:tcW w:w="1142" w:type="dxa"/>
                  <w:vAlign w:val="bottom"/>
                </w:tcPr>
                <w:p w14:paraId="349AA423"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39 243</w:t>
                  </w:r>
                </w:p>
              </w:tc>
            </w:tr>
            <w:tr w:rsidR="00F562D6" w:rsidRPr="006E4666" w14:paraId="67594A5A" w14:textId="77777777" w:rsidTr="002B0EAB">
              <w:trPr>
                <w:trHeight w:val="170"/>
              </w:trPr>
              <w:tc>
                <w:tcPr>
                  <w:tcW w:w="2688" w:type="dxa"/>
                  <w:vAlign w:val="bottom"/>
                </w:tcPr>
                <w:p w14:paraId="70B5E3F1" w14:textId="77777777" w:rsidR="00F562D6" w:rsidRPr="008065A1" w:rsidRDefault="00F562D6" w:rsidP="002B0EAB">
                  <w:pPr>
                    <w:pStyle w:val="Paragraph"/>
                    <w:spacing w:before="0" w:after="0"/>
                    <w:rPr>
                      <w:rFonts w:cs="Arial"/>
                      <w:sz w:val="16"/>
                      <w:szCs w:val="16"/>
                    </w:rPr>
                  </w:pPr>
                  <w:r>
                    <w:rPr>
                      <w:rFonts w:cs="Arial"/>
                      <w:sz w:val="16"/>
                      <w:szCs w:val="16"/>
                    </w:rPr>
                    <w:t>Omakapital</w:t>
                  </w:r>
                </w:p>
              </w:tc>
              <w:tc>
                <w:tcPr>
                  <w:tcW w:w="1146" w:type="dxa"/>
                </w:tcPr>
                <w:p w14:paraId="0CF68BD7" w14:textId="77777777" w:rsidR="00F562D6" w:rsidRPr="008065A1" w:rsidRDefault="00F562D6" w:rsidP="002B0EAB">
                  <w:pPr>
                    <w:pStyle w:val="Paragraph"/>
                    <w:spacing w:before="0" w:after="0"/>
                    <w:jc w:val="right"/>
                    <w:rPr>
                      <w:rFonts w:cs="Arial"/>
                      <w:sz w:val="16"/>
                      <w:szCs w:val="16"/>
                    </w:rPr>
                  </w:pPr>
                  <w:r>
                    <w:rPr>
                      <w:rFonts w:cs="Arial"/>
                      <w:sz w:val="16"/>
                      <w:szCs w:val="16"/>
                    </w:rPr>
                    <w:t>77 415</w:t>
                  </w:r>
                </w:p>
              </w:tc>
              <w:tc>
                <w:tcPr>
                  <w:tcW w:w="1142" w:type="dxa"/>
                  <w:vAlign w:val="bottom"/>
                </w:tcPr>
                <w:p w14:paraId="695F712C"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80 204</w:t>
                  </w:r>
                </w:p>
              </w:tc>
              <w:tc>
                <w:tcPr>
                  <w:tcW w:w="1141" w:type="dxa"/>
                  <w:vAlign w:val="bottom"/>
                </w:tcPr>
                <w:p w14:paraId="0D859C6C"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83 432</w:t>
                  </w:r>
                </w:p>
              </w:tc>
              <w:tc>
                <w:tcPr>
                  <w:tcW w:w="1142" w:type="dxa"/>
                  <w:vAlign w:val="bottom"/>
                </w:tcPr>
                <w:p w14:paraId="59CEA33D"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85 788</w:t>
                  </w:r>
                </w:p>
              </w:tc>
            </w:tr>
            <w:bookmarkEnd w:id="5"/>
            <w:tr w:rsidR="00F562D6" w:rsidRPr="006E4666" w14:paraId="26640CB7" w14:textId="77777777" w:rsidTr="002B0EAB">
              <w:trPr>
                <w:trHeight w:val="170"/>
              </w:trPr>
              <w:tc>
                <w:tcPr>
                  <w:tcW w:w="7259" w:type="dxa"/>
                  <w:gridSpan w:val="5"/>
                  <w:vAlign w:val="center"/>
                </w:tcPr>
                <w:p w14:paraId="67864DD0" w14:textId="77777777" w:rsidR="00F562D6" w:rsidRPr="008065A1" w:rsidRDefault="00F562D6" w:rsidP="002B0EAB">
                  <w:pPr>
                    <w:pStyle w:val="Paragraph"/>
                    <w:spacing w:before="0" w:after="0"/>
                    <w:rPr>
                      <w:rFonts w:cs="Arial"/>
                      <w:i/>
                      <w:iCs/>
                      <w:sz w:val="16"/>
                      <w:szCs w:val="16"/>
                    </w:rPr>
                  </w:pPr>
                  <w:r>
                    <w:rPr>
                      <w:rFonts w:cs="Arial"/>
                      <w:i/>
                      <w:iCs/>
                      <w:color w:val="000000" w:themeColor="text1"/>
                      <w:sz w:val="16"/>
                      <w:szCs w:val="16"/>
                    </w:rPr>
                    <w:t>Allikas: Aruanded, Äriühing</w:t>
                  </w:r>
                </w:p>
              </w:tc>
            </w:tr>
          </w:tbl>
          <w:p w14:paraId="67488E63" w14:textId="77777777" w:rsidR="00F562D6" w:rsidRPr="00D6671D" w:rsidRDefault="00F562D6" w:rsidP="002B0EAB">
            <w:pPr>
              <w:jc w:val="both"/>
              <w:rPr>
                <w:rFonts w:ascii="Arial" w:hAnsi="Arial" w:cs="Arial"/>
                <w:sz w:val="16"/>
                <w:szCs w:val="16"/>
                <w:lang w:val="et-EE"/>
              </w:rPr>
            </w:pPr>
            <w:r w:rsidRPr="00D6671D">
              <w:rPr>
                <w:rFonts w:ascii="Arial" w:hAnsi="Arial" w:cs="Arial"/>
                <w:sz w:val="16"/>
                <w:szCs w:val="16"/>
                <w:lang w:val="et-EE"/>
              </w:rPr>
              <w:t>Valitud teave rahavoogude konsolideeritud vahearuannetest</w:t>
            </w:r>
          </w:p>
          <w:tbl>
            <w:tblPr>
              <w:tblStyle w:val="TableGrid"/>
              <w:tblW w:w="72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ayout w:type="fixed"/>
              <w:tblLook w:val="04A0" w:firstRow="1" w:lastRow="0" w:firstColumn="1" w:lastColumn="0" w:noHBand="0" w:noVBand="1"/>
            </w:tblPr>
            <w:tblGrid>
              <w:gridCol w:w="2719"/>
              <w:gridCol w:w="908"/>
              <w:gridCol w:w="908"/>
              <w:gridCol w:w="908"/>
              <w:gridCol w:w="908"/>
              <w:gridCol w:w="908"/>
            </w:tblGrid>
            <w:tr w:rsidR="00F562D6" w:rsidRPr="00CC2AEA" w14:paraId="6C10097D" w14:textId="77777777" w:rsidTr="002B0EAB">
              <w:trPr>
                <w:trHeight w:val="170"/>
              </w:trPr>
              <w:tc>
                <w:tcPr>
                  <w:tcW w:w="2719" w:type="dxa"/>
                  <w:shd w:val="clear" w:color="auto" w:fill="C8501E"/>
                  <w:vAlign w:val="bottom"/>
                </w:tcPr>
                <w:p w14:paraId="658B57DC" w14:textId="77777777" w:rsidR="00F562D6" w:rsidRPr="008065A1" w:rsidRDefault="00F562D6" w:rsidP="002B0EAB">
                  <w:pPr>
                    <w:pStyle w:val="Paragraph"/>
                    <w:spacing w:before="0" w:after="0"/>
                    <w:jc w:val="left"/>
                    <w:rPr>
                      <w:rFonts w:cs="Arial"/>
                      <w:i/>
                      <w:iCs/>
                      <w:color w:val="FFFFFF" w:themeColor="background1"/>
                      <w:sz w:val="16"/>
                      <w:szCs w:val="16"/>
                    </w:rPr>
                  </w:pPr>
                  <w:r>
                    <w:rPr>
                      <w:rFonts w:cs="Arial"/>
                      <w:i/>
                      <w:iCs/>
                      <w:color w:val="FFFFFF" w:themeColor="background1"/>
                      <w:sz w:val="16"/>
                      <w:szCs w:val="16"/>
                    </w:rPr>
                    <w:t>tuhat eurot</w:t>
                  </w:r>
                </w:p>
              </w:tc>
              <w:tc>
                <w:tcPr>
                  <w:tcW w:w="1816" w:type="dxa"/>
                  <w:gridSpan w:val="2"/>
                  <w:shd w:val="clear" w:color="auto" w:fill="C8501E"/>
                  <w:vAlign w:val="bottom"/>
                </w:tcPr>
                <w:p w14:paraId="2DB68257" w14:textId="77777777" w:rsidR="00F562D6" w:rsidRPr="008065A1" w:rsidRDefault="00F562D6" w:rsidP="002B0EAB">
                  <w:pPr>
                    <w:pStyle w:val="Paragraph"/>
                    <w:spacing w:before="0" w:after="0"/>
                    <w:jc w:val="center"/>
                    <w:rPr>
                      <w:rFonts w:cs="Arial"/>
                      <w:color w:val="FFFFFF" w:themeColor="background1"/>
                      <w:sz w:val="16"/>
                      <w:szCs w:val="16"/>
                    </w:rPr>
                  </w:pPr>
                  <w:r>
                    <w:rPr>
                      <w:rFonts w:cs="Arial"/>
                      <w:color w:val="FFFFFF" w:themeColor="background1"/>
                      <w:sz w:val="16"/>
                      <w:szCs w:val="16"/>
                    </w:rPr>
                    <w:t>30. juunil lõppenud 6 kuud</w:t>
                  </w:r>
                </w:p>
              </w:tc>
              <w:tc>
                <w:tcPr>
                  <w:tcW w:w="2724" w:type="dxa"/>
                  <w:gridSpan w:val="3"/>
                  <w:shd w:val="clear" w:color="auto" w:fill="C8501E"/>
                  <w:vAlign w:val="bottom"/>
                </w:tcPr>
                <w:p w14:paraId="4DB32144" w14:textId="77777777" w:rsidR="00F562D6" w:rsidRPr="008065A1" w:rsidRDefault="00F562D6" w:rsidP="002B0EAB">
                  <w:pPr>
                    <w:pStyle w:val="Paragraph"/>
                    <w:spacing w:before="0" w:after="0"/>
                    <w:jc w:val="center"/>
                    <w:rPr>
                      <w:rFonts w:cs="Arial"/>
                      <w:color w:val="FFFFFF" w:themeColor="background1"/>
                      <w:sz w:val="16"/>
                      <w:szCs w:val="16"/>
                    </w:rPr>
                  </w:pPr>
                  <w:r>
                    <w:rPr>
                      <w:rFonts w:cs="Arial"/>
                      <w:color w:val="FFFFFF" w:themeColor="background1"/>
                      <w:sz w:val="16"/>
                      <w:szCs w:val="16"/>
                    </w:rPr>
                    <w:t>31. detsembril lõppenud 12 kuud</w:t>
                  </w:r>
                </w:p>
              </w:tc>
            </w:tr>
            <w:tr w:rsidR="00F562D6" w:rsidRPr="00CC2AEA" w14:paraId="51AC40E2" w14:textId="77777777" w:rsidTr="002B0EAB">
              <w:trPr>
                <w:trHeight w:val="170"/>
              </w:trPr>
              <w:tc>
                <w:tcPr>
                  <w:tcW w:w="2719" w:type="dxa"/>
                  <w:shd w:val="clear" w:color="auto" w:fill="C8501E"/>
                </w:tcPr>
                <w:p w14:paraId="3E48EDCE" w14:textId="77777777" w:rsidR="00F562D6" w:rsidRPr="008065A1" w:rsidRDefault="00F562D6" w:rsidP="002B0EAB">
                  <w:pPr>
                    <w:pStyle w:val="Paragraph"/>
                    <w:spacing w:before="0" w:after="0"/>
                    <w:rPr>
                      <w:rFonts w:cs="Arial"/>
                      <w:color w:val="FFFFFF" w:themeColor="background1"/>
                      <w:sz w:val="16"/>
                      <w:szCs w:val="16"/>
                    </w:rPr>
                  </w:pPr>
                </w:p>
              </w:tc>
              <w:tc>
                <w:tcPr>
                  <w:tcW w:w="908" w:type="dxa"/>
                  <w:shd w:val="clear" w:color="auto" w:fill="C8501E"/>
                </w:tcPr>
                <w:p w14:paraId="0ED7D92C" w14:textId="77777777" w:rsidR="00F562D6" w:rsidRPr="008065A1" w:rsidRDefault="00F562D6" w:rsidP="002B0EAB">
                  <w:pPr>
                    <w:pStyle w:val="Paragraph"/>
                    <w:spacing w:before="0" w:after="0"/>
                    <w:jc w:val="right"/>
                    <w:rPr>
                      <w:rFonts w:cs="Arial"/>
                      <w:color w:val="FFFFFF" w:themeColor="background1"/>
                      <w:sz w:val="16"/>
                      <w:szCs w:val="16"/>
                    </w:rPr>
                  </w:pPr>
                  <w:r>
                    <w:rPr>
                      <w:rFonts w:cs="Arial"/>
                      <w:color w:val="FFFFFF" w:themeColor="background1"/>
                      <w:sz w:val="16"/>
                      <w:szCs w:val="16"/>
                    </w:rPr>
                    <w:t>2017</w:t>
                  </w:r>
                </w:p>
              </w:tc>
              <w:tc>
                <w:tcPr>
                  <w:tcW w:w="908" w:type="dxa"/>
                  <w:shd w:val="clear" w:color="auto" w:fill="C8501E"/>
                </w:tcPr>
                <w:p w14:paraId="09B31E97" w14:textId="77777777" w:rsidR="00F562D6" w:rsidRPr="008065A1" w:rsidRDefault="00F562D6" w:rsidP="002B0EAB">
                  <w:pPr>
                    <w:pStyle w:val="Paragraph"/>
                    <w:spacing w:before="0" w:after="0"/>
                    <w:jc w:val="right"/>
                    <w:rPr>
                      <w:rFonts w:cs="Arial"/>
                      <w:color w:val="FFFFFF" w:themeColor="background1"/>
                      <w:sz w:val="16"/>
                      <w:szCs w:val="16"/>
                    </w:rPr>
                  </w:pPr>
                  <w:r>
                    <w:rPr>
                      <w:rFonts w:cs="Arial"/>
                      <w:color w:val="FFFFFF" w:themeColor="background1"/>
                      <w:sz w:val="16"/>
                      <w:szCs w:val="16"/>
                    </w:rPr>
                    <w:t>2016</w:t>
                  </w:r>
                </w:p>
              </w:tc>
              <w:tc>
                <w:tcPr>
                  <w:tcW w:w="908" w:type="dxa"/>
                  <w:shd w:val="clear" w:color="auto" w:fill="C8501E"/>
                </w:tcPr>
                <w:p w14:paraId="37A943C6" w14:textId="77777777" w:rsidR="00F562D6" w:rsidRPr="008065A1" w:rsidRDefault="00F562D6" w:rsidP="002B0EAB">
                  <w:pPr>
                    <w:pStyle w:val="Paragraph"/>
                    <w:spacing w:before="0" w:after="0"/>
                    <w:jc w:val="right"/>
                    <w:rPr>
                      <w:rFonts w:cs="Arial"/>
                      <w:color w:val="FFFFFF" w:themeColor="background1"/>
                      <w:sz w:val="16"/>
                      <w:szCs w:val="16"/>
                    </w:rPr>
                  </w:pPr>
                  <w:r>
                    <w:rPr>
                      <w:rFonts w:cs="Arial"/>
                      <w:color w:val="FFFFFF" w:themeColor="background1"/>
                      <w:sz w:val="16"/>
                      <w:szCs w:val="16"/>
                    </w:rPr>
                    <w:t>2016</w:t>
                  </w:r>
                </w:p>
              </w:tc>
              <w:tc>
                <w:tcPr>
                  <w:tcW w:w="908" w:type="dxa"/>
                  <w:shd w:val="clear" w:color="auto" w:fill="C8501E"/>
                </w:tcPr>
                <w:p w14:paraId="7399D041" w14:textId="77777777" w:rsidR="00F562D6" w:rsidRPr="008065A1" w:rsidRDefault="00F562D6" w:rsidP="002B0EAB">
                  <w:pPr>
                    <w:pStyle w:val="Paragraph"/>
                    <w:spacing w:before="0" w:after="0"/>
                    <w:jc w:val="right"/>
                    <w:rPr>
                      <w:rFonts w:cs="Arial"/>
                      <w:color w:val="FFFFFF" w:themeColor="background1"/>
                      <w:sz w:val="16"/>
                      <w:szCs w:val="16"/>
                    </w:rPr>
                  </w:pPr>
                  <w:r>
                    <w:rPr>
                      <w:rFonts w:cs="Arial"/>
                      <w:color w:val="FFFFFF" w:themeColor="background1"/>
                      <w:sz w:val="16"/>
                      <w:szCs w:val="16"/>
                    </w:rPr>
                    <w:t>2015</w:t>
                  </w:r>
                </w:p>
              </w:tc>
              <w:tc>
                <w:tcPr>
                  <w:tcW w:w="908" w:type="dxa"/>
                  <w:shd w:val="clear" w:color="auto" w:fill="C8501E"/>
                </w:tcPr>
                <w:p w14:paraId="6ED738D5" w14:textId="77777777" w:rsidR="00F562D6" w:rsidRPr="008065A1" w:rsidRDefault="00F562D6" w:rsidP="002B0EAB">
                  <w:pPr>
                    <w:pStyle w:val="Paragraph"/>
                    <w:spacing w:before="0" w:after="0"/>
                    <w:jc w:val="right"/>
                    <w:rPr>
                      <w:rFonts w:cs="Arial"/>
                      <w:color w:val="FFFFFF" w:themeColor="background1"/>
                      <w:sz w:val="16"/>
                      <w:szCs w:val="16"/>
                    </w:rPr>
                  </w:pPr>
                  <w:r>
                    <w:rPr>
                      <w:rFonts w:cs="Arial"/>
                      <w:color w:val="FFFFFF" w:themeColor="background1"/>
                      <w:sz w:val="16"/>
                      <w:szCs w:val="16"/>
                    </w:rPr>
                    <w:t>2014</w:t>
                  </w:r>
                </w:p>
              </w:tc>
            </w:tr>
            <w:tr w:rsidR="00F562D6" w:rsidRPr="00CC2AEA" w14:paraId="4D9972C1" w14:textId="77777777" w:rsidTr="002B0EAB">
              <w:trPr>
                <w:trHeight w:val="170"/>
              </w:trPr>
              <w:tc>
                <w:tcPr>
                  <w:tcW w:w="2719" w:type="dxa"/>
                  <w:vAlign w:val="bottom"/>
                </w:tcPr>
                <w:p w14:paraId="58420188" w14:textId="77777777" w:rsidR="00F562D6" w:rsidRPr="008065A1" w:rsidRDefault="00F562D6" w:rsidP="002B0EAB">
                  <w:pPr>
                    <w:pStyle w:val="Paragraph"/>
                    <w:spacing w:before="0" w:after="0"/>
                    <w:rPr>
                      <w:rFonts w:cs="Arial"/>
                      <w:sz w:val="16"/>
                      <w:szCs w:val="16"/>
                    </w:rPr>
                  </w:pPr>
                  <w:bookmarkStart w:id="6" w:name="_Hlk488764770"/>
                  <w:r>
                    <w:rPr>
                      <w:rFonts w:cs="Arial"/>
                      <w:sz w:val="16"/>
                      <w:szCs w:val="16"/>
                    </w:rPr>
                    <w:t>Rahavood äritegevusest</w:t>
                  </w:r>
                </w:p>
              </w:tc>
              <w:tc>
                <w:tcPr>
                  <w:tcW w:w="908" w:type="dxa"/>
                </w:tcPr>
                <w:p w14:paraId="774199AA" w14:textId="77777777" w:rsidR="00F562D6" w:rsidRPr="008065A1" w:rsidRDefault="00F562D6" w:rsidP="002B0EAB">
                  <w:pPr>
                    <w:pStyle w:val="Paragraph"/>
                    <w:spacing w:before="0" w:after="0"/>
                    <w:jc w:val="right"/>
                    <w:rPr>
                      <w:rFonts w:cs="Arial"/>
                      <w:sz w:val="16"/>
                      <w:szCs w:val="16"/>
                    </w:rPr>
                  </w:pPr>
                  <w:r>
                    <w:rPr>
                      <w:rFonts w:cs="Arial"/>
                      <w:sz w:val="16"/>
                      <w:szCs w:val="16"/>
                    </w:rPr>
                    <w:t>-2 135</w:t>
                  </w:r>
                </w:p>
              </w:tc>
              <w:tc>
                <w:tcPr>
                  <w:tcW w:w="908" w:type="dxa"/>
                </w:tcPr>
                <w:p w14:paraId="2AB1181A"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-437</w:t>
                  </w:r>
                </w:p>
              </w:tc>
              <w:tc>
                <w:tcPr>
                  <w:tcW w:w="908" w:type="dxa"/>
                </w:tcPr>
                <w:p w14:paraId="66F67556"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648</w:t>
                  </w:r>
                </w:p>
              </w:tc>
              <w:tc>
                <w:tcPr>
                  <w:tcW w:w="908" w:type="dxa"/>
                </w:tcPr>
                <w:p w14:paraId="1800408E"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3 498</w:t>
                  </w:r>
                </w:p>
              </w:tc>
              <w:tc>
                <w:tcPr>
                  <w:tcW w:w="908" w:type="dxa"/>
                </w:tcPr>
                <w:p w14:paraId="5CB95908" w14:textId="77777777" w:rsidR="00F562D6" w:rsidRPr="008065A1" w:rsidRDefault="00F562D6" w:rsidP="002B0EAB">
                  <w:pPr>
                    <w:pStyle w:val="Paragraph"/>
                    <w:spacing w:before="0" w:after="0"/>
                    <w:jc w:val="right"/>
                    <w:rPr>
                      <w:rFonts w:cs="Arial"/>
                      <w:sz w:val="16"/>
                      <w:szCs w:val="16"/>
                    </w:rPr>
                  </w:pPr>
                  <w:r>
                    <w:rPr>
                      <w:rFonts w:cs="Arial"/>
                      <w:sz w:val="16"/>
                      <w:szCs w:val="16"/>
                    </w:rPr>
                    <w:t>-1 069</w:t>
                  </w:r>
                </w:p>
              </w:tc>
            </w:tr>
            <w:tr w:rsidR="00F562D6" w:rsidRPr="00CC2AEA" w14:paraId="1561C8E6" w14:textId="77777777" w:rsidTr="002B0EAB">
              <w:trPr>
                <w:trHeight w:val="170"/>
              </w:trPr>
              <w:tc>
                <w:tcPr>
                  <w:tcW w:w="2719" w:type="dxa"/>
                  <w:vAlign w:val="bottom"/>
                </w:tcPr>
                <w:p w14:paraId="12D430B4" w14:textId="77777777" w:rsidR="00F562D6" w:rsidRPr="008065A1" w:rsidRDefault="00F562D6" w:rsidP="002B0EAB">
                  <w:pPr>
                    <w:pStyle w:val="Paragraph"/>
                    <w:spacing w:before="0" w:after="0"/>
                    <w:rPr>
                      <w:rFonts w:cs="Arial"/>
                      <w:sz w:val="16"/>
                      <w:szCs w:val="16"/>
                    </w:rPr>
                  </w:pPr>
                  <w:r>
                    <w:rPr>
                      <w:rFonts w:cs="Arial"/>
                      <w:sz w:val="16"/>
                      <w:szCs w:val="16"/>
                    </w:rPr>
                    <w:t>Rahavood investeerimistegevusest</w:t>
                  </w:r>
                </w:p>
              </w:tc>
              <w:tc>
                <w:tcPr>
                  <w:tcW w:w="908" w:type="dxa"/>
                </w:tcPr>
                <w:p w14:paraId="715D3404" w14:textId="77777777" w:rsidR="00F562D6" w:rsidRPr="008065A1" w:rsidRDefault="00F562D6" w:rsidP="002B0EAB">
                  <w:pPr>
                    <w:pStyle w:val="Paragraph"/>
                    <w:spacing w:before="0" w:after="0"/>
                    <w:jc w:val="right"/>
                    <w:rPr>
                      <w:rFonts w:cs="Arial"/>
                      <w:sz w:val="16"/>
                      <w:szCs w:val="16"/>
                    </w:rPr>
                  </w:pPr>
                  <w:r>
                    <w:rPr>
                      <w:rFonts w:cs="Arial"/>
                      <w:sz w:val="16"/>
                      <w:szCs w:val="16"/>
                    </w:rPr>
                    <w:t>-9 219</w:t>
                  </w:r>
                </w:p>
              </w:tc>
              <w:tc>
                <w:tcPr>
                  <w:tcW w:w="908" w:type="dxa"/>
                </w:tcPr>
                <w:p w14:paraId="1FA17A5C"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-7 321</w:t>
                  </w:r>
                </w:p>
              </w:tc>
              <w:tc>
                <w:tcPr>
                  <w:tcW w:w="908" w:type="dxa"/>
                </w:tcPr>
                <w:p w14:paraId="10DFED79"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-9 740</w:t>
                  </w:r>
                </w:p>
              </w:tc>
              <w:tc>
                <w:tcPr>
                  <w:tcW w:w="908" w:type="dxa"/>
                </w:tcPr>
                <w:p w14:paraId="79A5EA75"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-1 368</w:t>
                  </w:r>
                </w:p>
              </w:tc>
              <w:tc>
                <w:tcPr>
                  <w:tcW w:w="908" w:type="dxa"/>
                </w:tcPr>
                <w:p w14:paraId="6D2090D9" w14:textId="77777777" w:rsidR="00F562D6" w:rsidRPr="008065A1" w:rsidRDefault="00F562D6" w:rsidP="002B0EAB">
                  <w:pPr>
                    <w:pStyle w:val="Paragraph"/>
                    <w:spacing w:before="0" w:after="0"/>
                    <w:jc w:val="right"/>
                    <w:rPr>
                      <w:rFonts w:cs="Arial"/>
                      <w:sz w:val="16"/>
                      <w:szCs w:val="16"/>
                    </w:rPr>
                  </w:pPr>
                  <w:r>
                    <w:rPr>
                      <w:rFonts w:cs="Arial"/>
                      <w:sz w:val="16"/>
                      <w:szCs w:val="16"/>
                    </w:rPr>
                    <w:t>-775</w:t>
                  </w:r>
                </w:p>
              </w:tc>
            </w:tr>
            <w:tr w:rsidR="00F562D6" w:rsidRPr="00CC2AEA" w14:paraId="3C5DC0C2" w14:textId="77777777" w:rsidTr="002B0EAB">
              <w:trPr>
                <w:trHeight w:val="170"/>
              </w:trPr>
              <w:tc>
                <w:tcPr>
                  <w:tcW w:w="2719" w:type="dxa"/>
                  <w:vAlign w:val="bottom"/>
                </w:tcPr>
                <w:p w14:paraId="6364E0F7" w14:textId="77777777" w:rsidR="00F562D6" w:rsidRPr="008065A1" w:rsidRDefault="00F562D6" w:rsidP="002B0EAB">
                  <w:pPr>
                    <w:pStyle w:val="Paragraph"/>
                    <w:spacing w:before="0" w:after="0"/>
                    <w:rPr>
                      <w:rFonts w:cs="Arial"/>
                      <w:sz w:val="16"/>
                      <w:szCs w:val="16"/>
                    </w:rPr>
                  </w:pPr>
                  <w:r>
                    <w:rPr>
                      <w:rFonts w:cs="Arial"/>
                      <w:sz w:val="16"/>
                      <w:szCs w:val="16"/>
                    </w:rPr>
                    <w:t>Rahavood finantseerimistegevusest</w:t>
                  </w:r>
                </w:p>
              </w:tc>
              <w:tc>
                <w:tcPr>
                  <w:tcW w:w="908" w:type="dxa"/>
                </w:tcPr>
                <w:p w14:paraId="30175386" w14:textId="77777777" w:rsidR="00F562D6" w:rsidRPr="008065A1" w:rsidRDefault="00F562D6" w:rsidP="002B0EAB">
                  <w:pPr>
                    <w:pStyle w:val="Paragraph"/>
                    <w:spacing w:before="0" w:after="0"/>
                    <w:jc w:val="right"/>
                    <w:rPr>
                      <w:rFonts w:cs="Arial"/>
                      <w:sz w:val="16"/>
                      <w:szCs w:val="16"/>
                    </w:rPr>
                  </w:pPr>
                  <w:r>
                    <w:rPr>
                      <w:rFonts w:cs="Arial"/>
                      <w:sz w:val="16"/>
                      <w:szCs w:val="16"/>
                    </w:rPr>
                    <w:t>9 153</w:t>
                  </w:r>
                </w:p>
              </w:tc>
              <w:tc>
                <w:tcPr>
                  <w:tcW w:w="908" w:type="dxa"/>
                </w:tcPr>
                <w:p w14:paraId="09EC15D2"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14 008</w:t>
                  </w:r>
                </w:p>
              </w:tc>
              <w:tc>
                <w:tcPr>
                  <w:tcW w:w="908" w:type="dxa"/>
                </w:tcPr>
                <w:p w14:paraId="410DE079"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8 082</w:t>
                  </w:r>
                </w:p>
              </w:tc>
              <w:tc>
                <w:tcPr>
                  <w:tcW w:w="908" w:type="dxa"/>
                </w:tcPr>
                <w:p w14:paraId="4C694ADD"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2 381</w:t>
                  </w:r>
                </w:p>
              </w:tc>
              <w:tc>
                <w:tcPr>
                  <w:tcW w:w="908" w:type="dxa"/>
                </w:tcPr>
                <w:p w14:paraId="7E69D001" w14:textId="77777777" w:rsidR="00F562D6" w:rsidRPr="008065A1" w:rsidRDefault="00F562D6" w:rsidP="002B0EAB">
                  <w:pPr>
                    <w:pStyle w:val="Paragraph"/>
                    <w:spacing w:before="0" w:after="0"/>
                    <w:jc w:val="right"/>
                    <w:rPr>
                      <w:rFonts w:cs="Arial"/>
                      <w:sz w:val="16"/>
                      <w:szCs w:val="16"/>
                    </w:rPr>
                  </w:pPr>
                  <w:r>
                    <w:rPr>
                      <w:rFonts w:cs="Arial"/>
                      <w:sz w:val="16"/>
                      <w:szCs w:val="16"/>
                    </w:rPr>
                    <w:t>966</w:t>
                  </w:r>
                </w:p>
              </w:tc>
            </w:tr>
            <w:tr w:rsidR="00F562D6" w:rsidRPr="006E4666" w14:paraId="232132BD" w14:textId="77777777" w:rsidTr="002B0EAB">
              <w:trPr>
                <w:trHeight w:val="170"/>
              </w:trPr>
              <w:tc>
                <w:tcPr>
                  <w:tcW w:w="2719" w:type="dxa"/>
                  <w:vAlign w:val="bottom"/>
                </w:tcPr>
                <w:p w14:paraId="73B898D5" w14:textId="77777777" w:rsidR="00F562D6" w:rsidRPr="008065A1" w:rsidRDefault="00F562D6" w:rsidP="002B0EAB">
                  <w:pPr>
                    <w:pStyle w:val="Paragraph"/>
                    <w:spacing w:before="0" w:after="0"/>
                    <w:rPr>
                      <w:rFonts w:cs="Arial"/>
                      <w:sz w:val="16"/>
                      <w:szCs w:val="16"/>
                    </w:rPr>
                  </w:pPr>
                  <w:r>
                    <w:rPr>
                      <w:rFonts w:cs="Arial"/>
                      <w:sz w:val="16"/>
                      <w:szCs w:val="16"/>
                    </w:rPr>
                    <w:t>Raha ja raha ekvivalentide puhasmuutus</w:t>
                  </w:r>
                </w:p>
              </w:tc>
              <w:tc>
                <w:tcPr>
                  <w:tcW w:w="908" w:type="dxa"/>
                </w:tcPr>
                <w:p w14:paraId="0BCC12BA" w14:textId="77777777" w:rsidR="00F562D6" w:rsidRPr="008065A1" w:rsidRDefault="00F562D6" w:rsidP="002B0EAB">
                  <w:pPr>
                    <w:pStyle w:val="Paragraph"/>
                    <w:spacing w:before="0" w:after="0"/>
                    <w:jc w:val="right"/>
                    <w:rPr>
                      <w:rFonts w:cs="Arial"/>
                      <w:sz w:val="16"/>
                      <w:szCs w:val="16"/>
                    </w:rPr>
                  </w:pPr>
                  <w:r>
                    <w:rPr>
                      <w:rFonts w:cs="Arial"/>
                      <w:sz w:val="16"/>
                      <w:szCs w:val="16"/>
                    </w:rPr>
                    <w:t>-2 201</w:t>
                  </w:r>
                </w:p>
              </w:tc>
              <w:tc>
                <w:tcPr>
                  <w:tcW w:w="908" w:type="dxa"/>
                </w:tcPr>
                <w:p w14:paraId="2EF71A0D"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6 250</w:t>
                  </w:r>
                </w:p>
              </w:tc>
              <w:tc>
                <w:tcPr>
                  <w:tcW w:w="908" w:type="dxa"/>
                </w:tcPr>
                <w:p w14:paraId="58AF2C34"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-1 010</w:t>
                  </w:r>
                </w:p>
              </w:tc>
              <w:tc>
                <w:tcPr>
                  <w:tcW w:w="908" w:type="dxa"/>
                </w:tcPr>
                <w:p w14:paraId="533FABAB"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4 511</w:t>
                  </w:r>
                </w:p>
              </w:tc>
              <w:tc>
                <w:tcPr>
                  <w:tcW w:w="908" w:type="dxa"/>
                </w:tcPr>
                <w:p w14:paraId="4CA9A4B9" w14:textId="77777777" w:rsidR="00F562D6" w:rsidRPr="008065A1" w:rsidRDefault="00F562D6" w:rsidP="002B0EAB">
                  <w:pPr>
                    <w:pStyle w:val="Paragraph"/>
                    <w:spacing w:before="0" w:after="0"/>
                    <w:jc w:val="right"/>
                    <w:rPr>
                      <w:rFonts w:cs="Arial"/>
                      <w:sz w:val="16"/>
                      <w:szCs w:val="16"/>
                    </w:rPr>
                  </w:pPr>
                  <w:r>
                    <w:rPr>
                      <w:rFonts w:cs="Arial"/>
                      <w:sz w:val="16"/>
                      <w:szCs w:val="16"/>
                    </w:rPr>
                    <w:t>-878</w:t>
                  </w:r>
                </w:p>
              </w:tc>
            </w:tr>
            <w:bookmarkEnd w:id="6"/>
            <w:tr w:rsidR="00F562D6" w:rsidRPr="006E4666" w14:paraId="758C983C" w14:textId="77777777" w:rsidTr="002B0EAB">
              <w:trPr>
                <w:trHeight w:val="170"/>
              </w:trPr>
              <w:tc>
                <w:tcPr>
                  <w:tcW w:w="7259" w:type="dxa"/>
                  <w:gridSpan w:val="6"/>
                  <w:vAlign w:val="center"/>
                </w:tcPr>
                <w:p w14:paraId="4BA434DB" w14:textId="77777777" w:rsidR="00F562D6" w:rsidRPr="008065A1" w:rsidRDefault="00F562D6" w:rsidP="002B0EAB">
                  <w:pPr>
                    <w:pStyle w:val="Paragraph"/>
                    <w:spacing w:before="0" w:after="0"/>
                    <w:rPr>
                      <w:rFonts w:cs="Arial"/>
                      <w:i/>
                      <w:iCs/>
                      <w:sz w:val="16"/>
                      <w:szCs w:val="16"/>
                    </w:rPr>
                  </w:pPr>
                  <w:r>
                    <w:rPr>
                      <w:rFonts w:cs="Arial"/>
                      <w:i/>
                      <w:iCs/>
                      <w:color w:val="000000" w:themeColor="text1"/>
                      <w:sz w:val="16"/>
                      <w:szCs w:val="16"/>
                    </w:rPr>
                    <w:t>Allikas: Aruanded, Äriühing</w:t>
                  </w:r>
                </w:p>
              </w:tc>
            </w:tr>
          </w:tbl>
          <w:p w14:paraId="2DB93E78" w14:textId="77777777" w:rsidR="00F562D6" w:rsidRPr="00D6671D" w:rsidRDefault="00F562D6" w:rsidP="002B0EAB">
            <w:pPr>
              <w:jc w:val="both"/>
              <w:rPr>
                <w:rFonts w:ascii="Arial" w:hAnsi="Arial" w:cs="Arial"/>
                <w:sz w:val="16"/>
                <w:szCs w:val="16"/>
                <w:lang w:val="fi-FI"/>
              </w:rPr>
            </w:pPr>
            <w:r w:rsidRPr="00D6671D">
              <w:rPr>
                <w:rFonts w:ascii="Arial" w:hAnsi="Arial" w:cs="Arial"/>
                <w:sz w:val="16"/>
                <w:szCs w:val="16"/>
                <w:lang w:val="fi-FI"/>
              </w:rPr>
              <w:t>Suhtarvud ja näitajad</w:t>
            </w:r>
          </w:p>
          <w:tbl>
            <w:tblPr>
              <w:tblStyle w:val="TableGrid"/>
              <w:tblW w:w="7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ayout w:type="fixed"/>
              <w:tblLook w:val="04A0" w:firstRow="1" w:lastRow="0" w:firstColumn="1" w:lastColumn="0" w:noHBand="0" w:noVBand="1"/>
            </w:tblPr>
            <w:tblGrid>
              <w:gridCol w:w="2722"/>
              <w:gridCol w:w="861"/>
              <w:gridCol w:w="235"/>
              <w:gridCol w:w="747"/>
              <w:gridCol w:w="400"/>
              <w:gridCol w:w="460"/>
              <w:gridCol w:w="687"/>
              <w:gridCol w:w="233"/>
              <w:gridCol w:w="914"/>
              <w:gridCol w:w="6"/>
            </w:tblGrid>
            <w:tr w:rsidR="002B1D5D" w:rsidRPr="00CC2AEA" w14:paraId="26427579" w14:textId="77777777" w:rsidTr="002B0EAB">
              <w:trPr>
                <w:trHeight w:val="170"/>
              </w:trPr>
              <w:tc>
                <w:tcPr>
                  <w:tcW w:w="2722" w:type="dxa"/>
                  <w:shd w:val="clear" w:color="auto" w:fill="C8501E"/>
                  <w:vAlign w:val="bottom"/>
                </w:tcPr>
                <w:p w14:paraId="369E410F" w14:textId="77777777" w:rsidR="00F562D6" w:rsidRPr="008065A1" w:rsidRDefault="00F562D6" w:rsidP="002B0EAB">
                  <w:pPr>
                    <w:pStyle w:val="Paragraph"/>
                    <w:spacing w:before="0" w:after="0"/>
                    <w:jc w:val="left"/>
                    <w:rPr>
                      <w:rFonts w:cs="Arial"/>
                      <w:i/>
                      <w:iCs/>
                      <w:color w:val="FFFFFF" w:themeColor="background1"/>
                      <w:sz w:val="16"/>
                      <w:szCs w:val="16"/>
                    </w:rPr>
                  </w:pPr>
                  <w:r>
                    <w:rPr>
                      <w:rFonts w:cs="Arial"/>
                      <w:i/>
                      <w:iCs/>
                      <w:color w:val="FFFFFF" w:themeColor="background1"/>
                      <w:sz w:val="16"/>
                      <w:szCs w:val="16"/>
                    </w:rPr>
                    <w:t>tuhat eurot</w:t>
                  </w:r>
                </w:p>
              </w:tc>
              <w:tc>
                <w:tcPr>
                  <w:tcW w:w="1843" w:type="dxa"/>
                  <w:gridSpan w:val="3"/>
                  <w:shd w:val="clear" w:color="auto" w:fill="C8501E"/>
                  <w:vAlign w:val="bottom"/>
                </w:tcPr>
                <w:p w14:paraId="7032B084" w14:textId="77777777" w:rsidR="00F562D6" w:rsidRPr="008065A1" w:rsidRDefault="00F562D6" w:rsidP="002B0EAB">
                  <w:pPr>
                    <w:pStyle w:val="Paragraph"/>
                    <w:spacing w:before="0" w:after="0"/>
                    <w:jc w:val="center"/>
                    <w:rPr>
                      <w:rFonts w:cs="Arial"/>
                      <w:color w:val="FFFFFF" w:themeColor="background1"/>
                      <w:sz w:val="16"/>
                      <w:szCs w:val="16"/>
                    </w:rPr>
                  </w:pPr>
                  <w:r>
                    <w:rPr>
                      <w:rFonts w:cs="Arial"/>
                      <w:color w:val="FFFFFF" w:themeColor="background1"/>
                      <w:sz w:val="16"/>
                      <w:szCs w:val="16"/>
                    </w:rPr>
                    <w:t>30. juunil lõppenud 6 kuud</w:t>
                  </w:r>
                </w:p>
              </w:tc>
              <w:tc>
                <w:tcPr>
                  <w:tcW w:w="2700" w:type="dxa"/>
                  <w:gridSpan w:val="6"/>
                  <w:shd w:val="clear" w:color="auto" w:fill="C8501E"/>
                  <w:vAlign w:val="bottom"/>
                </w:tcPr>
                <w:p w14:paraId="63AAB083" w14:textId="77777777" w:rsidR="00F562D6" w:rsidRPr="008065A1" w:rsidRDefault="00F562D6" w:rsidP="002B0EAB">
                  <w:pPr>
                    <w:pStyle w:val="Paragraph"/>
                    <w:spacing w:before="0" w:after="0"/>
                    <w:jc w:val="center"/>
                    <w:rPr>
                      <w:rFonts w:cs="Arial"/>
                      <w:color w:val="FFFFFF" w:themeColor="background1"/>
                      <w:sz w:val="16"/>
                      <w:szCs w:val="16"/>
                    </w:rPr>
                  </w:pPr>
                  <w:r>
                    <w:rPr>
                      <w:rFonts w:cs="Arial"/>
                      <w:color w:val="FFFFFF" w:themeColor="background1"/>
                      <w:sz w:val="16"/>
                      <w:szCs w:val="16"/>
                    </w:rPr>
                    <w:t>31. detsembril lõppenud 12 kuud</w:t>
                  </w:r>
                </w:p>
              </w:tc>
            </w:tr>
            <w:tr w:rsidR="002B1D5D" w:rsidRPr="00CC2AEA" w14:paraId="22572A89" w14:textId="77777777" w:rsidTr="002B0EAB">
              <w:trPr>
                <w:trHeight w:val="170"/>
              </w:trPr>
              <w:tc>
                <w:tcPr>
                  <w:tcW w:w="2722" w:type="dxa"/>
                  <w:shd w:val="clear" w:color="auto" w:fill="C8501E"/>
                </w:tcPr>
                <w:p w14:paraId="5EA15B4D" w14:textId="77777777" w:rsidR="00F562D6" w:rsidRPr="008065A1" w:rsidRDefault="00F562D6" w:rsidP="002B0EAB">
                  <w:pPr>
                    <w:pStyle w:val="Paragraph"/>
                    <w:spacing w:before="0" w:after="0"/>
                    <w:rPr>
                      <w:rFonts w:cs="Arial"/>
                      <w:color w:val="FFFFFF" w:themeColor="background1"/>
                      <w:sz w:val="16"/>
                      <w:szCs w:val="16"/>
                    </w:rPr>
                  </w:pPr>
                </w:p>
              </w:tc>
              <w:tc>
                <w:tcPr>
                  <w:tcW w:w="861" w:type="dxa"/>
                  <w:shd w:val="clear" w:color="auto" w:fill="C8501E"/>
                </w:tcPr>
                <w:p w14:paraId="6F388996" w14:textId="77777777" w:rsidR="00F562D6" w:rsidRPr="008065A1" w:rsidRDefault="00F562D6" w:rsidP="002B0EAB">
                  <w:pPr>
                    <w:pStyle w:val="Paragraph"/>
                    <w:spacing w:before="0" w:after="0"/>
                    <w:jc w:val="right"/>
                    <w:rPr>
                      <w:rFonts w:cs="Arial"/>
                      <w:color w:val="FFFFFF" w:themeColor="background1"/>
                      <w:sz w:val="16"/>
                      <w:szCs w:val="16"/>
                    </w:rPr>
                  </w:pPr>
                  <w:r>
                    <w:rPr>
                      <w:rFonts w:cs="Arial"/>
                      <w:color w:val="FFFFFF" w:themeColor="background1"/>
                      <w:sz w:val="16"/>
                      <w:szCs w:val="16"/>
                    </w:rPr>
                    <w:t>2017</w:t>
                  </w:r>
                </w:p>
              </w:tc>
              <w:tc>
                <w:tcPr>
                  <w:tcW w:w="982" w:type="dxa"/>
                  <w:gridSpan w:val="2"/>
                  <w:shd w:val="clear" w:color="auto" w:fill="C8501E"/>
                </w:tcPr>
                <w:p w14:paraId="67033FEB" w14:textId="77777777" w:rsidR="00F562D6" w:rsidRPr="008065A1" w:rsidRDefault="00F562D6" w:rsidP="002B0EAB">
                  <w:pPr>
                    <w:pStyle w:val="Paragraph"/>
                    <w:spacing w:before="0" w:after="0"/>
                    <w:jc w:val="right"/>
                    <w:rPr>
                      <w:rFonts w:cs="Arial"/>
                      <w:color w:val="FFFFFF" w:themeColor="background1"/>
                      <w:sz w:val="16"/>
                      <w:szCs w:val="16"/>
                    </w:rPr>
                  </w:pPr>
                  <w:r>
                    <w:rPr>
                      <w:rFonts w:cs="Arial"/>
                      <w:color w:val="FFFFFF" w:themeColor="background1"/>
                      <w:sz w:val="16"/>
                      <w:szCs w:val="16"/>
                    </w:rPr>
                    <w:t>2016</w:t>
                  </w:r>
                </w:p>
              </w:tc>
              <w:tc>
                <w:tcPr>
                  <w:tcW w:w="860" w:type="dxa"/>
                  <w:gridSpan w:val="2"/>
                  <w:shd w:val="clear" w:color="auto" w:fill="C8501E"/>
                </w:tcPr>
                <w:p w14:paraId="02B8011A" w14:textId="77777777" w:rsidR="00F562D6" w:rsidRPr="008065A1" w:rsidRDefault="00F562D6" w:rsidP="002B0EAB">
                  <w:pPr>
                    <w:pStyle w:val="Paragraph"/>
                    <w:spacing w:before="0" w:after="0"/>
                    <w:jc w:val="right"/>
                    <w:rPr>
                      <w:rFonts w:cs="Arial"/>
                      <w:color w:val="FFFFFF" w:themeColor="background1"/>
                      <w:sz w:val="16"/>
                      <w:szCs w:val="16"/>
                    </w:rPr>
                  </w:pPr>
                  <w:r>
                    <w:rPr>
                      <w:rFonts w:cs="Arial"/>
                      <w:color w:val="FFFFFF" w:themeColor="background1"/>
                      <w:sz w:val="16"/>
                      <w:szCs w:val="16"/>
                    </w:rPr>
                    <w:t>2016</w:t>
                  </w:r>
                </w:p>
              </w:tc>
              <w:tc>
                <w:tcPr>
                  <w:tcW w:w="920" w:type="dxa"/>
                  <w:gridSpan w:val="2"/>
                  <w:shd w:val="clear" w:color="auto" w:fill="C8501E"/>
                </w:tcPr>
                <w:p w14:paraId="680EF70B" w14:textId="77777777" w:rsidR="00F562D6" w:rsidRPr="008065A1" w:rsidRDefault="00F562D6" w:rsidP="002B0EAB">
                  <w:pPr>
                    <w:pStyle w:val="Paragraph"/>
                    <w:spacing w:before="0" w:after="0"/>
                    <w:jc w:val="right"/>
                    <w:rPr>
                      <w:rFonts w:cs="Arial"/>
                      <w:color w:val="FFFFFF" w:themeColor="background1"/>
                      <w:sz w:val="16"/>
                      <w:szCs w:val="16"/>
                    </w:rPr>
                  </w:pPr>
                  <w:r>
                    <w:rPr>
                      <w:rFonts w:cs="Arial"/>
                      <w:color w:val="FFFFFF" w:themeColor="background1"/>
                      <w:sz w:val="16"/>
                      <w:szCs w:val="16"/>
                    </w:rPr>
                    <w:t>2015</w:t>
                  </w:r>
                </w:p>
              </w:tc>
              <w:tc>
                <w:tcPr>
                  <w:tcW w:w="920" w:type="dxa"/>
                  <w:gridSpan w:val="2"/>
                  <w:shd w:val="clear" w:color="auto" w:fill="C8501E"/>
                </w:tcPr>
                <w:p w14:paraId="21284E79" w14:textId="77777777" w:rsidR="00F562D6" w:rsidRPr="008065A1" w:rsidRDefault="00F562D6" w:rsidP="002B0EAB">
                  <w:pPr>
                    <w:pStyle w:val="Paragraph"/>
                    <w:spacing w:before="0" w:after="0"/>
                    <w:jc w:val="right"/>
                    <w:rPr>
                      <w:rFonts w:cs="Arial"/>
                      <w:color w:val="FFFFFF" w:themeColor="background1"/>
                      <w:sz w:val="16"/>
                      <w:szCs w:val="16"/>
                    </w:rPr>
                  </w:pPr>
                  <w:r>
                    <w:rPr>
                      <w:rFonts w:cs="Arial"/>
                      <w:color w:val="FFFFFF" w:themeColor="background1"/>
                      <w:sz w:val="16"/>
                      <w:szCs w:val="16"/>
                    </w:rPr>
                    <w:t>2014</w:t>
                  </w:r>
                </w:p>
              </w:tc>
            </w:tr>
            <w:tr w:rsidR="00F562D6" w:rsidRPr="00CC2AEA" w14:paraId="798B2D44" w14:textId="77777777" w:rsidTr="0016647D">
              <w:trPr>
                <w:trHeight w:val="170"/>
              </w:trPr>
              <w:tc>
                <w:tcPr>
                  <w:tcW w:w="2722" w:type="dxa"/>
                  <w:vAlign w:val="bottom"/>
                </w:tcPr>
                <w:p w14:paraId="0507948D" w14:textId="77777777" w:rsidR="00F562D6" w:rsidRPr="008065A1" w:rsidRDefault="00F562D6" w:rsidP="002B0EAB">
                  <w:pPr>
                    <w:pStyle w:val="Paragraph"/>
                    <w:spacing w:before="0" w:after="0"/>
                    <w:rPr>
                      <w:rFonts w:cs="Arial"/>
                      <w:sz w:val="16"/>
                      <w:szCs w:val="16"/>
                    </w:rPr>
                  </w:pPr>
                  <w:bookmarkStart w:id="7" w:name="_Hlk488764793"/>
                  <w:r>
                    <w:rPr>
                      <w:rFonts w:cs="Arial"/>
                      <w:sz w:val="16"/>
                      <w:szCs w:val="16"/>
                    </w:rPr>
                    <w:t>Brutokasumimarginaal</w:t>
                  </w:r>
                </w:p>
              </w:tc>
              <w:tc>
                <w:tcPr>
                  <w:tcW w:w="861" w:type="dxa"/>
                </w:tcPr>
                <w:p w14:paraId="0EDAA357" w14:textId="77777777" w:rsidR="00F562D6" w:rsidRPr="008065A1" w:rsidRDefault="00F562D6" w:rsidP="0016647D">
                  <w:pPr>
                    <w:pStyle w:val="Paragraph"/>
                    <w:spacing w:before="0" w:after="0"/>
                    <w:jc w:val="right"/>
                    <w:rPr>
                      <w:rFonts w:cs="Arial"/>
                      <w:sz w:val="16"/>
                      <w:szCs w:val="16"/>
                    </w:rPr>
                  </w:pPr>
                  <w:r>
                    <w:rPr>
                      <w:rFonts w:cs="Arial"/>
                      <w:sz w:val="16"/>
                      <w:szCs w:val="16"/>
                    </w:rPr>
                    <w:t>31,0%</w:t>
                  </w:r>
                </w:p>
              </w:tc>
              <w:tc>
                <w:tcPr>
                  <w:tcW w:w="982" w:type="dxa"/>
                  <w:gridSpan w:val="2"/>
                </w:tcPr>
                <w:p w14:paraId="74B90A55" w14:textId="77777777" w:rsidR="00F562D6" w:rsidRPr="008065A1" w:rsidRDefault="00F562D6" w:rsidP="0016647D">
                  <w:pPr>
                    <w:pStyle w:val="Paragraph"/>
                    <w:spacing w:before="0" w:after="0"/>
                    <w:jc w:val="right"/>
                    <w:rPr>
                      <w:rFonts w:cs="Arial"/>
                      <w:sz w:val="16"/>
                      <w:szCs w:val="16"/>
                    </w:rPr>
                  </w:pPr>
                  <w:r>
                    <w:rPr>
                      <w:rFonts w:cs="Arial"/>
                      <w:sz w:val="16"/>
                      <w:szCs w:val="16"/>
                    </w:rPr>
                    <w:t>17,2%</w:t>
                  </w:r>
                </w:p>
              </w:tc>
              <w:tc>
                <w:tcPr>
                  <w:tcW w:w="860" w:type="dxa"/>
                  <w:gridSpan w:val="2"/>
                </w:tcPr>
                <w:p w14:paraId="79CE54E3" w14:textId="77777777" w:rsidR="00F562D6" w:rsidRPr="008065A1" w:rsidRDefault="00F562D6" w:rsidP="0016647D">
                  <w:pPr>
                    <w:pStyle w:val="Paragraph"/>
                    <w:spacing w:before="0" w:after="0"/>
                    <w:jc w:val="right"/>
                    <w:rPr>
                      <w:rFonts w:cs="Arial"/>
                      <w:sz w:val="16"/>
                      <w:szCs w:val="16"/>
                    </w:rPr>
                  </w:pPr>
                  <w:r>
                    <w:rPr>
                      <w:rFonts w:cs="Arial"/>
                      <w:color w:val="000000" w:themeColor="text1"/>
                      <w:sz w:val="16"/>
                      <w:szCs w:val="16"/>
                    </w:rPr>
                    <w:t>29,3%</w:t>
                  </w:r>
                </w:p>
              </w:tc>
              <w:tc>
                <w:tcPr>
                  <w:tcW w:w="920" w:type="dxa"/>
                  <w:gridSpan w:val="2"/>
                </w:tcPr>
                <w:p w14:paraId="7B9B8BF6" w14:textId="77777777" w:rsidR="00F562D6" w:rsidRPr="008065A1" w:rsidRDefault="00F562D6" w:rsidP="0016647D">
                  <w:pPr>
                    <w:pStyle w:val="Paragraph"/>
                    <w:spacing w:before="0" w:after="0"/>
                    <w:jc w:val="right"/>
                    <w:rPr>
                      <w:rFonts w:cs="Arial"/>
                      <w:sz w:val="16"/>
                      <w:szCs w:val="16"/>
                    </w:rPr>
                  </w:pPr>
                  <w:r>
                    <w:rPr>
                      <w:rFonts w:cs="Arial"/>
                      <w:color w:val="000000" w:themeColor="text1"/>
                      <w:sz w:val="16"/>
                      <w:szCs w:val="16"/>
                    </w:rPr>
                    <w:t>24,3%</w:t>
                  </w:r>
                </w:p>
              </w:tc>
              <w:tc>
                <w:tcPr>
                  <w:tcW w:w="920" w:type="dxa"/>
                  <w:gridSpan w:val="2"/>
                </w:tcPr>
                <w:p w14:paraId="1955542E" w14:textId="77777777" w:rsidR="00F562D6" w:rsidRPr="008065A1" w:rsidRDefault="00F562D6" w:rsidP="0016647D">
                  <w:pPr>
                    <w:pStyle w:val="Paragraph"/>
                    <w:spacing w:before="0" w:after="0"/>
                    <w:jc w:val="right"/>
                    <w:rPr>
                      <w:rFonts w:cs="Arial"/>
                      <w:sz w:val="16"/>
                      <w:szCs w:val="16"/>
                    </w:rPr>
                  </w:pPr>
                  <w:r>
                    <w:rPr>
                      <w:rFonts w:cs="Arial"/>
                      <w:sz w:val="16"/>
                      <w:szCs w:val="16"/>
                    </w:rPr>
                    <w:t>24,1%</w:t>
                  </w:r>
                </w:p>
              </w:tc>
            </w:tr>
            <w:tr w:rsidR="00F562D6" w:rsidRPr="00CC2AEA" w14:paraId="796FACFD" w14:textId="77777777" w:rsidTr="0016647D">
              <w:trPr>
                <w:trHeight w:val="170"/>
              </w:trPr>
              <w:tc>
                <w:tcPr>
                  <w:tcW w:w="2722" w:type="dxa"/>
                  <w:vAlign w:val="bottom"/>
                </w:tcPr>
                <w:p w14:paraId="6B54919F" w14:textId="77777777" w:rsidR="00F562D6" w:rsidRPr="008065A1" w:rsidRDefault="00F562D6" w:rsidP="002B0EAB">
                  <w:pPr>
                    <w:pStyle w:val="Paragraph"/>
                    <w:spacing w:before="0" w:after="0"/>
                    <w:rPr>
                      <w:rFonts w:cs="Arial"/>
                      <w:sz w:val="16"/>
                      <w:szCs w:val="16"/>
                    </w:rPr>
                  </w:pPr>
                  <w:r>
                    <w:rPr>
                      <w:rFonts w:cs="Arial"/>
                      <w:sz w:val="16"/>
                      <w:szCs w:val="16"/>
                    </w:rPr>
                    <w:t>Amortisatsioonieelse ärikasumi (EBITDA) marginaal</w:t>
                  </w:r>
                </w:p>
              </w:tc>
              <w:tc>
                <w:tcPr>
                  <w:tcW w:w="861" w:type="dxa"/>
                </w:tcPr>
                <w:p w14:paraId="26636DC9" w14:textId="77777777" w:rsidR="00F562D6" w:rsidRPr="008065A1" w:rsidRDefault="00F562D6" w:rsidP="0016647D">
                  <w:pPr>
                    <w:pStyle w:val="Paragraph"/>
                    <w:spacing w:before="0" w:after="0"/>
                    <w:jc w:val="right"/>
                    <w:rPr>
                      <w:rFonts w:cs="Arial"/>
                      <w:sz w:val="16"/>
                      <w:szCs w:val="16"/>
                    </w:rPr>
                  </w:pPr>
                  <w:r>
                    <w:rPr>
                      <w:rFonts w:cs="Arial"/>
                      <w:sz w:val="16"/>
                      <w:szCs w:val="16"/>
                    </w:rPr>
                    <w:t>-2,3%</w:t>
                  </w:r>
                </w:p>
              </w:tc>
              <w:tc>
                <w:tcPr>
                  <w:tcW w:w="982" w:type="dxa"/>
                  <w:gridSpan w:val="2"/>
                </w:tcPr>
                <w:p w14:paraId="4F777696" w14:textId="77777777" w:rsidR="00F562D6" w:rsidRPr="008065A1" w:rsidRDefault="00F562D6" w:rsidP="0016647D">
                  <w:pPr>
                    <w:pStyle w:val="Paragraph"/>
                    <w:spacing w:before="0" w:after="0"/>
                    <w:jc w:val="right"/>
                    <w:rPr>
                      <w:rFonts w:cs="Arial"/>
                      <w:sz w:val="16"/>
                      <w:szCs w:val="16"/>
                    </w:rPr>
                  </w:pPr>
                  <w:r>
                    <w:rPr>
                      <w:rFonts w:cs="Arial"/>
                      <w:sz w:val="16"/>
                      <w:szCs w:val="16"/>
                    </w:rPr>
                    <w:t>-11,1%</w:t>
                  </w:r>
                </w:p>
              </w:tc>
              <w:tc>
                <w:tcPr>
                  <w:tcW w:w="860" w:type="dxa"/>
                  <w:gridSpan w:val="2"/>
                </w:tcPr>
                <w:p w14:paraId="350D25AB" w14:textId="77777777" w:rsidR="00F562D6" w:rsidRPr="008065A1" w:rsidRDefault="00F562D6" w:rsidP="0016647D">
                  <w:pPr>
                    <w:pStyle w:val="Paragraph"/>
                    <w:spacing w:before="0" w:after="0"/>
                    <w:jc w:val="right"/>
                    <w:rPr>
                      <w:rFonts w:cs="Arial"/>
                      <w:sz w:val="16"/>
                      <w:szCs w:val="16"/>
                    </w:rPr>
                  </w:pPr>
                  <w:r>
                    <w:rPr>
                      <w:rFonts w:cs="Arial"/>
                      <w:color w:val="000000" w:themeColor="text1"/>
                      <w:sz w:val="16"/>
                      <w:szCs w:val="16"/>
                    </w:rPr>
                    <w:t>1,9%</w:t>
                  </w:r>
                </w:p>
              </w:tc>
              <w:tc>
                <w:tcPr>
                  <w:tcW w:w="920" w:type="dxa"/>
                  <w:gridSpan w:val="2"/>
                </w:tcPr>
                <w:p w14:paraId="546AEE68" w14:textId="77777777" w:rsidR="00F562D6" w:rsidRPr="008065A1" w:rsidRDefault="00F562D6" w:rsidP="0016647D">
                  <w:pPr>
                    <w:pStyle w:val="Paragraph"/>
                    <w:spacing w:before="0" w:after="0"/>
                    <w:jc w:val="right"/>
                    <w:rPr>
                      <w:rFonts w:cs="Arial"/>
                      <w:sz w:val="16"/>
                      <w:szCs w:val="16"/>
                    </w:rPr>
                  </w:pPr>
                  <w:r>
                    <w:rPr>
                      <w:rFonts w:cs="Arial"/>
                      <w:color w:val="000000" w:themeColor="text1"/>
                      <w:sz w:val="16"/>
                      <w:szCs w:val="16"/>
                    </w:rPr>
                    <w:t>11,6%</w:t>
                  </w:r>
                </w:p>
              </w:tc>
              <w:tc>
                <w:tcPr>
                  <w:tcW w:w="920" w:type="dxa"/>
                  <w:gridSpan w:val="2"/>
                </w:tcPr>
                <w:p w14:paraId="2548EB18" w14:textId="77777777" w:rsidR="00F562D6" w:rsidRPr="008065A1" w:rsidRDefault="00F562D6" w:rsidP="0016647D">
                  <w:pPr>
                    <w:pStyle w:val="Paragraph"/>
                    <w:spacing w:before="0" w:after="0"/>
                    <w:jc w:val="right"/>
                    <w:rPr>
                      <w:rFonts w:cs="Arial"/>
                      <w:sz w:val="16"/>
                      <w:szCs w:val="16"/>
                    </w:rPr>
                  </w:pPr>
                  <w:r>
                    <w:rPr>
                      <w:rFonts w:cs="Arial"/>
                      <w:color w:val="000000" w:themeColor="text1"/>
                      <w:sz w:val="16"/>
                      <w:szCs w:val="16"/>
                    </w:rPr>
                    <w:t>257,5%</w:t>
                  </w:r>
                </w:p>
              </w:tc>
            </w:tr>
            <w:tr w:rsidR="00F562D6" w:rsidRPr="00CC2AEA" w14:paraId="7B326279" w14:textId="77777777" w:rsidTr="0016647D">
              <w:trPr>
                <w:trHeight w:val="170"/>
              </w:trPr>
              <w:tc>
                <w:tcPr>
                  <w:tcW w:w="2722" w:type="dxa"/>
                  <w:vAlign w:val="bottom"/>
                </w:tcPr>
                <w:p w14:paraId="4C4C6BBB" w14:textId="77777777" w:rsidR="00F562D6" w:rsidRPr="008065A1" w:rsidRDefault="00F562D6" w:rsidP="002B0EAB">
                  <w:pPr>
                    <w:pStyle w:val="Paragraph"/>
                    <w:spacing w:before="0" w:after="0"/>
                    <w:rPr>
                      <w:rFonts w:cs="Arial"/>
                      <w:sz w:val="16"/>
                      <w:szCs w:val="16"/>
                    </w:rPr>
                  </w:pPr>
                  <w:r>
                    <w:rPr>
                      <w:rFonts w:cs="Arial"/>
                      <w:sz w:val="16"/>
                      <w:szCs w:val="16"/>
                    </w:rPr>
                    <w:t>Ärikasumimarginaal</w:t>
                  </w:r>
                </w:p>
              </w:tc>
              <w:tc>
                <w:tcPr>
                  <w:tcW w:w="861" w:type="dxa"/>
                </w:tcPr>
                <w:p w14:paraId="2ACDCEA9" w14:textId="77777777" w:rsidR="00F562D6" w:rsidRPr="008065A1" w:rsidRDefault="00F562D6" w:rsidP="0016647D">
                  <w:pPr>
                    <w:pStyle w:val="Paragraph"/>
                    <w:spacing w:before="0" w:after="0"/>
                    <w:jc w:val="right"/>
                    <w:rPr>
                      <w:rFonts w:cs="Arial"/>
                      <w:sz w:val="16"/>
                      <w:szCs w:val="16"/>
                    </w:rPr>
                  </w:pPr>
                  <w:r>
                    <w:rPr>
                      <w:rFonts w:cs="Arial"/>
                      <w:sz w:val="16"/>
                      <w:szCs w:val="16"/>
                    </w:rPr>
                    <w:t>-6,9%</w:t>
                  </w:r>
                </w:p>
              </w:tc>
              <w:tc>
                <w:tcPr>
                  <w:tcW w:w="982" w:type="dxa"/>
                  <w:gridSpan w:val="2"/>
                </w:tcPr>
                <w:p w14:paraId="347DE82F" w14:textId="77777777" w:rsidR="00F562D6" w:rsidRPr="008065A1" w:rsidRDefault="00F562D6" w:rsidP="0016647D">
                  <w:pPr>
                    <w:pStyle w:val="Paragraph"/>
                    <w:spacing w:before="0" w:after="0"/>
                    <w:jc w:val="right"/>
                    <w:rPr>
                      <w:rFonts w:cs="Arial"/>
                      <w:sz w:val="16"/>
                      <w:szCs w:val="16"/>
                    </w:rPr>
                  </w:pPr>
                  <w:r>
                    <w:rPr>
                      <w:rFonts w:cs="Arial"/>
                      <w:sz w:val="16"/>
                      <w:szCs w:val="16"/>
                    </w:rPr>
                    <w:t>-15,5%</w:t>
                  </w:r>
                </w:p>
              </w:tc>
              <w:tc>
                <w:tcPr>
                  <w:tcW w:w="860" w:type="dxa"/>
                  <w:gridSpan w:val="2"/>
                </w:tcPr>
                <w:p w14:paraId="5D413527" w14:textId="77777777" w:rsidR="00F562D6" w:rsidRPr="008065A1" w:rsidRDefault="00F562D6" w:rsidP="0016647D">
                  <w:pPr>
                    <w:pStyle w:val="Paragraph"/>
                    <w:spacing w:before="0" w:after="0"/>
                    <w:jc w:val="right"/>
                    <w:rPr>
                      <w:rFonts w:cs="Arial"/>
                      <w:sz w:val="16"/>
                      <w:szCs w:val="16"/>
                    </w:rPr>
                  </w:pPr>
                  <w:r>
                    <w:rPr>
                      <w:rFonts w:cs="Arial"/>
                      <w:color w:val="000000" w:themeColor="text1"/>
                      <w:sz w:val="16"/>
                      <w:szCs w:val="16"/>
                    </w:rPr>
                    <w:t>-1,5%</w:t>
                  </w:r>
                </w:p>
              </w:tc>
              <w:tc>
                <w:tcPr>
                  <w:tcW w:w="920" w:type="dxa"/>
                  <w:gridSpan w:val="2"/>
                </w:tcPr>
                <w:p w14:paraId="29A11075" w14:textId="77777777" w:rsidR="00F562D6" w:rsidRPr="008065A1" w:rsidRDefault="00F562D6" w:rsidP="0016647D">
                  <w:pPr>
                    <w:pStyle w:val="Paragraph"/>
                    <w:spacing w:before="0" w:after="0"/>
                    <w:jc w:val="right"/>
                    <w:rPr>
                      <w:rFonts w:cs="Arial"/>
                      <w:sz w:val="16"/>
                      <w:szCs w:val="16"/>
                    </w:rPr>
                  </w:pPr>
                  <w:r>
                    <w:rPr>
                      <w:rFonts w:cs="Arial"/>
                      <w:color w:val="000000" w:themeColor="text1"/>
                      <w:sz w:val="16"/>
                      <w:szCs w:val="16"/>
                    </w:rPr>
                    <w:t>7,8%</w:t>
                  </w:r>
                </w:p>
              </w:tc>
              <w:tc>
                <w:tcPr>
                  <w:tcW w:w="920" w:type="dxa"/>
                  <w:gridSpan w:val="2"/>
                </w:tcPr>
                <w:p w14:paraId="23011293" w14:textId="77777777" w:rsidR="00F562D6" w:rsidRPr="008065A1" w:rsidRDefault="00F562D6" w:rsidP="0016647D">
                  <w:pPr>
                    <w:pStyle w:val="Paragraph"/>
                    <w:spacing w:before="0" w:after="0"/>
                    <w:jc w:val="right"/>
                    <w:rPr>
                      <w:rFonts w:cs="Arial"/>
                      <w:sz w:val="16"/>
                      <w:szCs w:val="16"/>
                    </w:rPr>
                  </w:pPr>
                  <w:r>
                    <w:rPr>
                      <w:rFonts w:cs="Arial"/>
                      <w:color w:val="000000" w:themeColor="text1"/>
                      <w:sz w:val="16"/>
                      <w:szCs w:val="16"/>
                    </w:rPr>
                    <w:t>250,2%</w:t>
                  </w:r>
                </w:p>
              </w:tc>
            </w:tr>
            <w:tr w:rsidR="00F562D6" w:rsidRPr="00CC2AEA" w14:paraId="79ADC049" w14:textId="77777777" w:rsidTr="0016647D">
              <w:trPr>
                <w:trHeight w:val="170"/>
              </w:trPr>
              <w:tc>
                <w:tcPr>
                  <w:tcW w:w="2722" w:type="dxa"/>
                  <w:vAlign w:val="bottom"/>
                </w:tcPr>
                <w:p w14:paraId="56F8AA53" w14:textId="77777777" w:rsidR="00F562D6" w:rsidRPr="008065A1" w:rsidRDefault="00F562D6" w:rsidP="002B0EAB">
                  <w:pPr>
                    <w:pStyle w:val="Paragraph"/>
                    <w:spacing w:before="0" w:after="0"/>
                    <w:rPr>
                      <w:rFonts w:cs="Arial"/>
                      <w:b/>
                      <w:bCs/>
                      <w:sz w:val="16"/>
                      <w:szCs w:val="16"/>
                    </w:rPr>
                  </w:pPr>
                  <w:r>
                    <w:rPr>
                      <w:rFonts w:cs="Arial"/>
                      <w:sz w:val="16"/>
                      <w:szCs w:val="16"/>
                    </w:rPr>
                    <w:t>Maksueelse kasumi (EBT) marginaal</w:t>
                  </w:r>
                </w:p>
              </w:tc>
              <w:tc>
                <w:tcPr>
                  <w:tcW w:w="861" w:type="dxa"/>
                </w:tcPr>
                <w:p w14:paraId="1CAB216C" w14:textId="77777777" w:rsidR="00F562D6" w:rsidRPr="008065A1" w:rsidRDefault="00F562D6" w:rsidP="0016647D">
                  <w:pPr>
                    <w:pStyle w:val="Paragraph"/>
                    <w:spacing w:before="0" w:after="0"/>
                    <w:jc w:val="right"/>
                    <w:rPr>
                      <w:rFonts w:cs="Arial"/>
                      <w:b/>
                      <w:sz w:val="16"/>
                      <w:szCs w:val="16"/>
                    </w:rPr>
                  </w:pPr>
                  <w:r>
                    <w:rPr>
                      <w:rFonts w:cs="Arial"/>
                      <w:sz w:val="16"/>
                      <w:szCs w:val="16"/>
                    </w:rPr>
                    <w:t>-30,0%</w:t>
                  </w:r>
                </w:p>
              </w:tc>
              <w:tc>
                <w:tcPr>
                  <w:tcW w:w="982" w:type="dxa"/>
                  <w:gridSpan w:val="2"/>
                </w:tcPr>
                <w:p w14:paraId="6C2DFBF5" w14:textId="77777777" w:rsidR="00F562D6" w:rsidRPr="008065A1" w:rsidRDefault="00F562D6" w:rsidP="0016647D">
                  <w:pPr>
                    <w:pStyle w:val="Paragraph"/>
                    <w:spacing w:before="0" w:after="0"/>
                    <w:jc w:val="right"/>
                    <w:rPr>
                      <w:rFonts w:cs="Arial"/>
                      <w:b/>
                      <w:sz w:val="16"/>
                      <w:szCs w:val="16"/>
                    </w:rPr>
                  </w:pPr>
                  <w:r>
                    <w:rPr>
                      <w:rFonts w:cs="Arial"/>
                      <w:sz w:val="16"/>
                      <w:szCs w:val="16"/>
                    </w:rPr>
                    <w:t>-38,2%</w:t>
                  </w:r>
                </w:p>
              </w:tc>
              <w:tc>
                <w:tcPr>
                  <w:tcW w:w="860" w:type="dxa"/>
                  <w:gridSpan w:val="2"/>
                </w:tcPr>
                <w:p w14:paraId="3B27CA09" w14:textId="77777777" w:rsidR="00F562D6" w:rsidRPr="008065A1" w:rsidRDefault="00F562D6" w:rsidP="0016647D">
                  <w:pPr>
                    <w:pStyle w:val="Paragraph"/>
                    <w:spacing w:before="0" w:after="0"/>
                    <w:jc w:val="right"/>
                    <w:rPr>
                      <w:rFonts w:cs="Arial"/>
                      <w:b/>
                      <w:bCs/>
                      <w:sz w:val="16"/>
                      <w:szCs w:val="16"/>
                    </w:rPr>
                  </w:pPr>
                  <w:r>
                    <w:rPr>
                      <w:rFonts w:cs="Arial"/>
                      <w:color w:val="000000" w:themeColor="text1"/>
                      <w:sz w:val="16"/>
                      <w:szCs w:val="16"/>
                    </w:rPr>
                    <w:t>-18,4%</w:t>
                  </w:r>
                </w:p>
              </w:tc>
              <w:tc>
                <w:tcPr>
                  <w:tcW w:w="920" w:type="dxa"/>
                  <w:gridSpan w:val="2"/>
                </w:tcPr>
                <w:p w14:paraId="007E81A2" w14:textId="77777777" w:rsidR="00F562D6" w:rsidRPr="008065A1" w:rsidRDefault="00F562D6" w:rsidP="0016647D">
                  <w:pPr>
                    <w:pStyle w:val="Paragraph"/>
                    <w:spacing w:before="0" w:after="0"/>
                    <w:jc w:val="right"/>
                    <w:rPr>
                      <w:rFonts w:cs="Arial"/>
                      <w:b/>
                      <w:bCs/>
                      <w:sz w:val="16"/>
                      <w:szCs w:val="16"/>
                    </w:rPr>
                  </w:pPr>
                  <w:r>
                    <w:rPr>
                      <w:rFonts w:cs="Arial"/>
                      <w:color w:val="000000" w:themeColor="text1"/>
                      <w:sz w:val="16"/>
                      <w:szCs w:val="16"/>
                    </w:rPr>
                    <w:t>-6,4%</w:t>
                  </w:r>
                </w:p>
              </w:tc>
              <w:tc>
                <w:tcPr>
                  <w:tcW w:w="920" w:type="dxa"/>
                  <w:gridSpan w:val="2"/>
                </w:tcPr>
                <w:p w14:paraId="103FC679" w14:textId="77777777" w:rsidR="00F562D6" w:rsidRPr="008065A1" w:rsidRDefault="00F562D6" w:rsidP="0016647D">
                  <w:pPr>
                    <w:pStyle w:val="Paragraph"/>
                    <w:spacing w:before="0" w:after="0"/>
                    <w:jc w:val="right"/>
                    <w:rPr>
                      <w:rFonts w:cs="Arial"/>
                      <w:b/>
                      <w:bCs/>
                      <w:sz w:val="16"/>
                      <w:szCs w:val="16"/>
                    </w:rPr>
                  </w:pPr>
                  <w:r>
                    <w:rPr>
                      <w:rFonts w:cs="Arial"/>
                      <w:color w:val="000000" w:themeColor="text1"/>
                      <w:sz w:val="16"/>
                      <w:szCs w:val="16"/>
                    </w:rPr>
                    <w:t>223,9%</w:t>
                  </w:r>
                </w:p>
              </w:tc>
            </w:tr>
            <w:tr w:rsidR="00F562D6" w:rsidRPr="00CC2AEA" w14:paraId="139270FB" w14:textId="77777777" w:rsidTr="0016647D">
              <w:trPr>
                <w:trHeight w:val="170"/>
              </w:trPr>
              <w:tc>
                <w:tcPr>
                  <w:tcW w:w="2722" w:type="dxa"/>
                  <w:vAlign w:val="bottom"/>
                </w:tcPr>
                <w:p w14:paraId="19B69BEF" w14:textId="77777777" w:rsidR="00F562D6" w:rsidRPr="008065A1" w:rsidRDefault="00F562D6" w:rsidP="002B0EAB">
                  <w:pPr>
                    <w:pStyle w:val="Paragraph"/>
                    <w:spacing w:before="0" w:after="0"/>
                    <w:rPr>
                      <w:rFonts w:cs="Arial"/>
                      <w:sz w:val="16"/>
                      <w:szCs w:val="16"/>
                    </w:rPr>
                  </w:pPr>
                  <w:r>
                    <w:rPr>
                      <w:rFonts w:cs="Arial"/>
                      <w:sz w:val="16"/>
                      <w:szCs w:val="16"/>
                    </w:rPr>
                    <w:t>Puhaskasumimarginaal</w:t>
                  </w:r>
                </w:p>
              </w:tc>
              <w:tc>
                <w:tcPr>
                  <w:tcW w:w="861" w:type="dxa"/>
                </w:tcPr>
                <w:p w14:paraId="0D88CECF" w14:textId="77777777" w:rsidR="00F562D6" w:rsidRPr="008065A1" w:rsidRDefault="00F562D6" w:rsidP="0016647D">
                  <w:pPr>
                    <w:pStyle w:val="Paragraph"/>
                    <w:spacing w:before="0" w:after="0"/>
                    <w:jc w:val="right"/>
                    <w:rPr>
                      <w:rFonts w:cs="Arial"/>
                      <w:sz w:val="16"/>
                      <w:szCs w:val="16"/>
                    </w:rPr>
                  </w:pPr>
                  <w:r>
                    <w:rPr>
                      <w:rFonts w:cs="Arial"/>
                      <w:sz w:val="16"/>
                      <w:szCs w:val="16"/>
                    </w:rPr>
                    <w:t>-30,5%</w:t>
                  </w:r>
                </w:p>
              </w:tc>
              <w:tc>
                <w:tcPr>
                  <w:tcW w:w="982" w:type="dxa"/>
                  <w:gridSpan w:val="2"/>
                </w:tcPr>
                <w:p w14:paraId="54728A67" w14:textId="77777777" w:rsidR="00F562D6" w:rsidRPr="008065A1" w:rsidRDefault="00F562D6" w:rsidP="0016647D">
                  <w:pPr>
                    <w:pStyle w:val="Paragraph"/>
                    <w:spacing w:before="0" w:after="0"/>
                    <w:jc w:val="right"/>
                    <w:rPr>
                      <w:rFonts w:cs="Arial"/>
                      <w:sz w:val="16"/>
                      <w:szCs w:val="16"/>
                    </w:rPr>
                  </w:pPr>
                  <w:r>
                    <w:rPr>
                      <w:rFonts w:cs="Arial"/>
                      <w:sz w:val="16"/>
                      <w:szCs w:val="16"/>
                    </w:rPr>
                    <w:t>-38,4%</w:t>
                  </w:r>
                </w:p>
              </w:tc>
              <w:tc>
                <w:tcPr>
                  <w:tcW w:w="860" w:type="dxa"/>
                  <w:gridSpan w:val="2"/>
                </w:tcPr>
                <w:p w14:paraId="49347BE4" w14:textId="77777777" w:rsidR="00F562D6" w:rsidRPr="008065A1" w:rsidRDefault="00F562D6" w:rsidP="0016647D">
                  <w:pPr>
                    <w:pStyle w:val="Paragraph"/>
                    <w:spacing w:before="0" w:after="0"/>
                    <w:jc w:val="right"/>
                    <w:rPr>
                      <w:rFonts w:cs="Arial"/>
                      <w:sz w:val="16"/>
                      <w:szCs w:val="16"/>
                    </w:rPr>
                  </w:pPr>
                  <w:r>
                    <w:rPr>
                      <w:rFonts w:cs="Arial"/>
                      <w:color w:val="000000" w:themeColor="text1"/>
                      <w:sz w:val="16"/>
                      <w:szCs w:val="16"/>
                    </w:rPr>
                    <w:t>-19,5%</w:t>
                  </w:r>
                </w:p>
              </w:tc>
              <w:tc>
                <w:tcPr>
                  <w:tcW w:w="920" w:type="dxa"/>
                  <w:gridSpan w:val="2"/>
                </w:tcPr>
                <w:p w14:paraId="7D81B7EF" w14:textId="77777777" w:rsidR="00F562D6" w:rsidRPr="008065A1" w:rsidRDefault="00F562D6" w:rsidP="0016647D">
                  <w:pPr>
                    <w:pStyle w:val="Paragraph"/>
                    <w:spacing w:before="0" w:after="0"/>
                    <w:jc w:val="right"/>
                    <w:rPr>
                      <w:rFonts w:cs="Arial"/>
                      <w:sz w:val="16"/>
                      <w:szCs w:val="16"/>
                    </w:rPr>
                  </w:pPr>
                  <w:r>
                    <w:rPr>
                      <w:rFonts w:cs="Arial"/>
                      <w:color w:val="000000" w:themeColor="text1"/>
                      <w:sz w:val="16"/>
                      <w:szCs w:val="16"/>
                    </w:rPr>
                    <w:t>-11,0%</w:t>
                  </w:r>
                </w:p>
              </w:tc>
              <w:tc>
                <w:tcPr>
                  <w:tcW w:w="920" w:type="dxa"/>
                  <w:gridSpan w:val="2"/>
                </w:tcPr>
                <w:p w14:paraId="747A516B" w14:textId="77777777" w:rsidR="00F562D6" w:rsidRPr="008065A1" w:rsidRDefault="00F562D6" w:rsidP="0016647D">
                  <w:pPr>
                    <w:pStyle w:val="Paragraph"/>
                    <w:spacing w:before="0" w:after="0"/>
                    <w:jc w:val="right"/>
                    <w:rPr>
                      <w:rFonts w:cs="Arial"/>
                      <w:sz w:val="16"/>
                      <w:szCs w:val="16"/>
                    </w:rPr>
                  </w:pPr>
                  <w:r>
                    <w:rPr>
                      <w:rFonts w:cs="Arial"/>
                      <w:color w:val="000000" w:themeColor="text1"/>
                      <w:sz w:val="16"/>
                      <w:szCs w:val="16"/>
                    </w:rPr>
                    <w:t>205,5%</w:t>
                  </w:r>
                </w:p>
              </w:tc>
            </w:tr>
            <w:tr w:rsidR="00F562D6" w:rsidRPr="00CC2AEA" w14:paraId="3C25835C" w14:textId="77777777" w:rsidTr="0016647D">
              <w:trPr>
                <w:trHeight w:val="170"/>
              </w:trPr>
              <w:tc>
                <w:tcPr>
                  <w:tcW w:w="2722" w:type="dxa"/>
                  <w:vAlign w:val="bottom"/>
                </w:tcPr>
                <w:p w14:paraId="74051171" w14:textId="77777777" w:rsidR="00F562D6" w:rsidRPr="008065A1" w:rsidRDefault="00F562D6" w:rsidP="002B0EAB">
                  <w:pPr>
                    <w:pStyle w:val="Paragraph"/>
                    <w:spacing w:before="0" w:after="0"/>
                    <w:rPr>
                      <w:rFonts w:cs="Arial"/>
                      <w:sz w:val="16"/>
                      <w:szCs w:val="16"/>
                    </w:rPr>
                  </w:pPr>
                  <w:r>
                    <w:rPr>
                      <w:rFonts w:cs="Arial"/>
                      <w:sz w:val="16"/>
                      <w:szCs w:val="16"/>
                    </w:rPr>
                    <w:t>Puhaskasumimarginaali aktsionäride osa</w:t>
                  </w:r>
                </w:p>
              </w:tc>
              <w:tc>
                <w:tcPr>
                  <w:tcW w:w="861" w:type="dxa"/>
                </w:tcPr>
                <w:p w14:paraId="017B081A" w14:textId="77777777" w:rsidR="00F562D6" w:rsidRPr="008065A1" w:rsidRDefault="00F562D6" w:rsidP="0016647D">
                  <w:pPr>
                    <w:pStyle w:val="Paragraph"/>
                    <w:spacing w:before="0" w:after="0"/>
                    <w:jc w:val="right"/>
                    <w:rPr>
                      <w:rFonts w:cs="Arial"/>
                      <w:sz w:val="16"/>
                      <w:szCs w:val="16"/>
                    </w:rPr>
                  </w:pPr>
                  <w:r>
                    <w:rPr>
                      <w:rFonts w:cs="Arial"/>
                      <w:sz w:val="16"/>
                      <w:szCs w:val="16"/>
                    </w:rPr>
                    <w:t>-29,9%</w:t>
                  </w:r>
                </w:p>
              </w:tc>
              <w:tc>
                <w:tcPr>
                  <w:tcW w:w="982" w:type="dxa"/>
                  <w:gridSpan w:val="2"/>
                </w:tcPr>
                <w:p w14:paraId="67F27E39" w14:textId="77777777" w:rsidR="00F562D6" w:rsidRPr="008065A1" w:rsidRDefault="00F562D6" w:rsidP="0016647D">
                  <w:pPr>
                    <w:pStyle w:val="Paragraph"/>
                    <w:spacing w:before="0" w:after="0"/>
                    <w:jc w:val="right"/>
                    <w:rPr>
                      <w:rFonts w:cs="Arial"/>
                      <w:sz w:val="16"/>
                      <w:szCs w:val="16"/>
                    </w:rPr>
                  </w:pPr>
                  <w:r>
                    <w:rPr>
                      <w:rFonts w:cs="Arial"/>
                      <w:sz w:val="16"/>
                      <w:szCs w:val="16"/>
                    </w:rPr>
                    <w:t>-38,0%</w:t>
                  </w:r>
                </w:p>
              </w:tc>
              <w:tc>
                <w:tcPr>
                  <w:tcW w:w="860" w:type="dxa"/>
                  <w:gridSpan w:val="2"/>
                </w:tcPr>
                <w:p w14:paraId="5CE13410" w14:textId="77777777" w:rsidR="00F562D6" w:rsidRPr="008065A1" w:rsidRDefault="00F562D6" w:rsidP="0016647D">
                  <w:pPr>
                    <w:pStyle w:val="Paragraph"/>
                    <w:spacing w:before="0" w:after="0"/>
                    <w:jc w:val="right"/>
                    <w:rPr>
                      <w:rFonts w:cs="Arial"/>
                      <w:sz w:val="16"/>
                      <w:szCs w:val="16"/>
                    </w:rPr>
                  </w:pPr>
                  <w:r>
                    <w:rPr>
                      <w:rFonts w:cs="Arial"/>
                      <w:color w:val="000000" w:themeColor="text1"/>
                      <w:sz w:val="16"/>
                      <w:szCs w:val="16"/>
                    </w:rPr>
                    <w:t>-18,9%</w:t>
                  </w:r>
                </w:p>
              </w:tc>
              <w:tc>
                <w:tcPr>
                  <w:tcW w:w="920" w:type="dxa"/>
                  <w:gridSpan w:val="2"/>
                </w:tcPr>
                <w:p w14:paraId="46972992" w14:textId="77777777" w:rsidR="00F562D6" w:rsidRPr="008065A1" w:rsidRDefault="00F562D6" w:rsidP="0016647D">
                  <w:pPr>
                    <w:pStyle w:val="Paragraph"/>
                    <w:spacing w:before="0" w:after="0"/>
                    <w:jc w:val="right"/>
                    <w:rPr>
                      <w:rFonts w:cs="Arial"/>
                      <w:sz w:val="16"/>
                      <w:szCs w:val="16"/>
                    </w:rPr>
                  </w:pPr>
                  <w:r>
                    <w:rPr>
                      <w:rFonts w:cs="Arial"/>
                      <w:color w:val="000000" w:themeColor="text1"/>
                      <w:sz w:val="16"/>
                      <w:szCs w:val="16"/>
                    </w:rPr>
                    <w:t>-10,6%</w:t>
                  </w:r>
                </w:p>
              </w:tc>
              <w:tc>
                <w:tcPr>
                  <w:tcW w:w="920" w:type="dxa"/>
                  <w:gridSpan w:val="2"/>
                </w:tcPr>
                <w:p w14:paraId="3022A520" w14:textId="77777777" w:rsidR="00F562D6" w:rsidRPr="008065A1" w:rsidRDefault="00F562D6" w:rsidP="0016647D">
                  <w:pPr>
                    <w:pStyle w:val="Paragraph"/>
                    <w:spacing w:before="0" w:after="0"/>
                    <w:jc w:val="right"/>
                    <w:rPr>
                      <w:rFonts w:cs="Arial"/>
                      <w:sz w:val="16"/>
                      <w:szCs w:val="16"/>
                    </w:rPr>
                  </w:pPr>
                  <w:r>
                    <w:rPr>
                      <w:rFonts w:cs="Arial"/>
                      <w:color w:val="000000" w:themeColor="text1"/>
                      <w:sz w:val="16"/>
                      <w:szCs w:val="16"/>
                    </w:rPr>
                    <w:t>206,9%</w:t>
                  </w:r>
                </w:p>
              </w:tc>
            </w:tr>
            <w:tr w:rsidR="00F562D6" w:rsidRPr="00CC2AEA" w14:paraId="6859DEA5" w14:textId="77777777" w:rsidTr="0016647D">
              <w:trPr>
                <w:trHeight w:val="170"/>
              </w:trPr>
              <w:tc>
                <w:tcPr>
                  <w:tcW w:w="2722" w:type="dxa"/>
                  <w:vAlign w:val="bottom"/>
                </w:tcPr>
                <w:p w14:paraId="062D25E2" w14:textId="77777777" w:rsidR="00F562D6" w:rsidRPr="008065A1" w:rsidRDefault="00F562D6" w:rsidP="002B0EAB">
                  <w:pPr>
                    <w:pStyle w:val="Paragraph"/>
                    <w:spacing w:before="0" w:after="0"/>
                    <w:rPr>
                      <w:rFonts w:cs="Arial"/>
                      <w:sz w:val="16"/>
                      <w:szCs w:val="16"/>
                    </w:rPr>
                  </w:pPr>
                  <w:r>
                    <w:rPr>
                      <w:rFonts w:cs="Arial"/>
                      <w:sz w:val="16"/>
                      <w:szCs w:val="16"/>
                    </w:rPr>
                    <w:t>Kasum aktsia kohta (EPS)</w:t>
                  </w:r>
                </w:p>
              </w:tc>
              <w:tc>
                <w:tcPr>
                  <w:tcW w:w="861" w:type="dxa"/>
                </w:tcPr>
                <w:p w14:paraId="0D131131" w14:textId="77777777" w:rsidR="00F562D6" w:rsidRPr="008065A1" w:rsidRDefault="00F562D6" w:rsidP="0016647D">
                  <w:pPr>
                    <w:pStyle w:val="Paragraph"/>
                    <w:spacing w:before="0" w:after="0"/>
                    <w:jc w:val="right"/>
                    <w:rPr>
                      <w:rFonts w:cs="Arial"/>
                      <w:sz w:val="16"/>
                      <w:szCs w:val="16"/>
                    </w:rPr>
                  </w:pPr>
                  <w:r>
                    <w:rPr>
                      <w:rFonts w:cs="Arial"/>
                      <w:sz w:val="16"/>
                      <w:szCs w:val="16"/>
                    </w:rPr>
                    <w:t>-0,04</w:t>
                  </w:r>
                </w:p>
              </w:tc>
              <w:tc>
                <w:tcPr>
                  <w:tcW w:w="982" w:type="dxa"/>
                  <w:gridSpan w:val="2"/>
                </w:tcPr>
                <w:p w14:paraId="2F874038" w14:textId="77777777" w:rsidR="00F562D6" w:rsidRPr="008065A1" w:rsidRDefault="00F562D6" w:rsidP="0016647D">
                  <w:pPr>
                    <w:pStyle w:val="Paragraph"/>
                    <w:spacing w:before="0" w:after="0"/>
                    <w:jc w:val="right"/>
                    <w:rPr>
                      <w:rFonts w:cs="Arial"/>
                      <w:sz w:val="16"/>
                      <w:szCs w:val="16"/>
                    </w:rPr>
                  </w:pPr>
                  <w:r>
                    <w:rPr>
                      <w:rFonts w:cs="Arial"/>
                      <w:sz w:val="16"/>
                      <w:szCs w:val="16"/>
                    </w:rPr>
                    <w:t>-0,06</w:t>
                  </w:r>
                </w:p>
              </w:tc>
              <w:tc>
                <w:tcPr>
                  <w:tcW w:w="860" w:type="dxa"/>
                  <w:gridSpan w:val="2"/>
                </w:tcPr>
                <w:p w14:paraId="72B77FC1" w14:textId="77777777" w:rsidR="00F562D6" w:rsidRPr="008065A1" w:rsidRDefault="00F562D6" w:rsidP="0016647D">
                  <w:pPr>
                    <w:pStyle w:val="Paragraph"/>
                    <w:spacing w:before="0" w:after="0"/>
                    <w:jc w:val="right"/>
                    <w:rPr>
                      <w:rFonts w:cs="Arial"/>
                      <w:sz w:val="16"/>
                      <w:szCs w:val="16"/>
                    </w:rPr>
                  </w:pPr>
                  <w:r>
                    <w:rPr>
                      <w:rFonts w:cs="Arial"/>
                      <w:color w:val="000000" w:themeColor="text1"/>
                      <w:sz w:val="16"/>
                      <w:szCs w:val="16"/>
                    </w:rPr>
                    <w:t>-0,07</w:t>
                  </w:r>
                </w:p>
              </w:tc>
              <w:tc>
                <w:tcPr>
                  <w:tcW w:w="920" w:type="dxa"/>
                  <w:gridSpan w:val="2"/>
                </w:tcPr>
                <w:p w14:paraId="04AD0009" w14:textId="77777777" w:rsidR="00F562D6" w:rsidRPr="008065A1" w:rsidRDefault="00F562D6" w:rsidP="0016647D">
                  <w:pPr>
                    <w:pStyle w:val="Paragraph"/>
                    <w:spacing w:before="0" w:after="0"/>
                    <w:jc w:val="right"/>
                    <w:rPr>
                      <w:rFonts w:cs="Arial"/>
                      <w:sz w:val="16"/>
                      <w:szCs w:val="16"/>
                    </w:rPr>
                  </w:pPr>
                  <w:r>
                    <w:rPr>
                      <w:rFonts w:cs="Arial"/>
                      <w:color w:val="000000" w:themeColor="text1"/>
                      <w:sz w:val="16"/>
                      <w:szCs w:val="16"/>
                    </w:rPr>
                    <w:t>-0,04</w:t>
                  </w:r>
                </w:p>
              </w:tc>
              <w:tc>
                <w:tcPr>
                  <w:tcW w:w="920" w:type="dxa"/>
                  <w:gridSpan w:val="2"/>
                </w:tcPr>
                <w:p w14:paraId="7BE7028D" w14:textId="77777777" w:rsidR="00F562D6" w:rsidRPr="008065A1" w:rsidRDefault="00F562D6" w:rsidP="0016647D">
                  <w:pPr>
                    <w:pStyle w:val="Paragraph"/>
                    <w:spacing w:before="0" w:after="0"/>
                    <w:jc w:val="right"/>
                    <w:rPr>
                      <w:rFonts w:cs="Arial"/>
                      <w:sz w:val="16"/>
                      <w:szCs w:val="16"/>
                    </w:rPr>
                  </w:pPr>
                  <w:r>
                    <w:rPr>
                      <w:rFonts w:cs="Arial"/>
                      <w:color w:val="000000" w:themeColor="text1"/>
                      <w:sz w:val="16"/>
                      <w:szCs w:val="16"/>
                    </w:rPr>
                    <w:t>0,39</w:t>
                  </w:r>
                </w:p>
              </w:tc>
            </w:tr>
            <w:tr w:rsidR="00F562D6" w:rsidRPr="00CC2AEA" w14:paraId="52E6F663" w14:textId="77777777" w:rsidTr="0016647D">
              <w:trPr>
                <w:trHeight w:val="170"/>
              </w:trPr>
              <w:tc>
                <w:tcPr>
                  <w:tcW w:w="2722" w:type="dxa"/>
                  <w:vAlign w:val="bottom"/>
                </w:tcPr>
                <w:p w14:paraId="5ABF50DB" w14:textId="77777777" w:rsidR="00F562D6" w:rsidRPr="008065A1" w:rsidRDefault="00F562D6" w:rsidP="002B0EAB">
                  <w:pPr>
                    <w:pStyle w:val="Paragraph"/>
                    <w:spacing w:before="0" w:after="0"/>
                    <w:rPr>
                      <w:rFonts w:cs="Arial"/>
                      <w:sz w:val="16"/>
                      <w:szCs w:val="16"/>
                    </w:rPr>
                  </w:pPr>
                  <w:r>
                    <w:rPr>
                      <w:rFonts w:cs="Arial"/>
                      <w:sz w:val="16"/>
                      <w:szCs w:val="16"/>
                    </w:rPr>
                    <w:t>Aktsia sulgemishind (Nasdaq Tallinn)</w:t>
                  </w:r>
                </w:p>
              </w:tc>
              <w:tc>
                <w:tcPr>
                  <w:tcW w:w="861" w:type="dxa"/>
                </w:tcPr>
                <w:p w14:paraId="788DD77E" w14:textId="77777777" w:rsidR="00F562D6" w:rsidRPr="008065A1" w:rsidRDefault="00F562D6" w:rsidP="0016647D">
                  <w:pPr>
                    <w:pStyle w:val="Paragraph"/>
                    <w:spacing w:before="0" w:after="0"/>
                    <w:jc w:val="right"/>
                    <w:rPr>
                      <w:rFonts w:cs="Arial"/>
                      <w:sz w:val="16"/>
                      <w:szCs w:val="16"/>
                    </w:rPr>
                  </w:pPr>
                  <w:r>
                    <w:rPr>
                      <w:rFonts w:cs="Arial"/>
                      <w:sz w:val="16"/>
                      <w:szCs w:val="16"/>
                    </w:rPr>
                    <w:t>2,15</w:t>
                  </w:r>
                </w:p>
              </w:tc>
              <w:tc>
                <w:tcPr>
                  <w:tcW w:w="982" w:type="dxa"/>
                  <w:gridSpan w:val="2"/>
                </w:tcPr>
                <w:p w14:paraId="7490F93A" w14:textId="77777777" w:rsidR="00F562D6" w:rsidRPr="008065A1" w:rsidRDefault="00F562D6" w:rsidP="0016647D">
                  <w:pPr>
                    <w:pStyle w:val="Paragraph"/>
                    <w:spacing w:before="0" w:after="0"/>
                    <w:jc w:val="right"/>
                    <w:rPr>
                      <w:rFonts w:cs="Arial"/>
                      <w:sz w:val="16"/>
                      <w:szCs w:val="16"/>
                    </w:rPr>
                  </w:pPr>
                  <w:r>
                    <w:rPr>
                      <w:rFonts w:cs="Arial"/>
                      <w:sz w:val="16"/>
                      <w:szCs w:val="16"/>
                    </w:rPr>
                    <w:t>2,19</w:t>
                  </w:r>
                </w:p>
              </w:tc>
              <w:tc>
                <w:tcPr>
                  <w:tcW w:w="860" w:type="dxa"/>
                  <w:gridSpan w:val="2"/>
                  <w:vAlign w:val="bottom"/>
                </w:tcPr>
                <w:p w14:paraId="78B61B08" w14:textId="77777777" w:rsidR="00F562D6" w:rsidRPr="008065A1" w:rsidRDefault="00F562D6" w:rsidP="0016647D">
                  <w:pPr>
                    <w:pStyle w:val="Paragraph"/>
                    <w:spacing w:before="0" w:after="0"/>
                    <w:jc w:val="right"/>
                    <w:rPr>
                      <w:rFonts w:cs="Arial"/>
                      <w:sz w:val="16"/>
                      <w:szCs w:val="16"/>
                    </w:rPr>
                  </w:pPr>
                  <w:r>
                    <w:rPr>
                      <w:rFonts w:cs="Arial"/>
                      <w:color w:val="000000" w:themeColor="text1"/>
                      <w:sz w:val="16"/>
                      <w:szCs w:val="16"/>
                    </w:rPr>
                    <w:t>1,96</w:t>
                  </w:r>
                </w:p>
              </w:tc>
              <w:tc>
                <w:tcPr>
                  <w:tcW w:w="920" w:type="dxa"/>
                  <w:gridSpan w:val="2"/>
                  <w:vAlign w:val="bottom"/>
                </w:tcPr>
                <w:p w14:paraId="7D37F092" w14:textId="77777777" w:rsidR="00F562D6" w:rsidRPr="008065A1" w:rsidRDefault="00F562D6" w:rsidP="0016647D">
                  <w:pPr>
                    <w:pStyle w:val="Paragraph"/>
                    <w:spacing w:before="0" w:after="0"/>
                    <w:jc w:val="right"/>
                    <w:rPr>
                      <w:rFonts w:cs="Arial"/>
                      <w:sz w:val="16"/>
                      <w:szCs w:val="16"/>
                    </w:rPr>
                  </w:pPr>
                  <w:r>
                    <w:rPr>
                      <w:rFonts w:cs="Arial"/>
                      <w:color w:val="000000" w:themeColor="text1"/>
                      <w:sz w:val="16"/>
                      <w:szCs w:val="16"/>
                    </w:rPr>
                    <w:t>2,23</w:t>
                  </w:r>
                </w:p>
              </w:tc>
              <w:tc>
                <w:tcPr>
                  <w:tcW w:w="920" w:type="dxa"/>
                  <w:gridSpan w:val="2"/>
                  <w:vAlign w:val="bottom"/>
                </w:tcPr>
                <w:p w14:paraId="66151C2E" w14:textId="77777777" w:rsidR="00F562D6" w:rsidRPr="008065A1" w:rsidRDefault="00F562D6" w:rsidP="0016647D">
                  <w:pPr>
                    <w:pStyle w:val="Paragraph"/>
                    <w:spacing w:before="0" w:after="0"/>
                    <w:jc w:val="right"/>
                    <w:rPr>
                      <w:rFonts w:cs="Arial"/>
                      <w:sz w:val="16"/>
                      <w:szCs w:val="16"/>
                    </w:rPr>
                  </w:pPr>
                  <w:r>
                    <w:rPr>
                      <w:rFonts w:cs="Arial"/>
                      <w:color w:val="000000" w:themeColor="text1"/>
                      <w:sz w:val="16"/>
                      <w:szCs w:val="16"/>
                    </w:rPr>
                    <w:t>2,50</w:t>
                  </w:r>
                </w:p>
              </w:tc>
            </w:tr>
            <w:tr w:rsidR="00F562D6" w:rsidRPr="006E4666" w14:paraId="110B96D9" w14:textId="77777777" w:rsidTr="0016647D">
              <w:trPr>
                <w:trHeight w:val="170"/>
              </w:trPr>
              <w:tc>
                <w:tcPr>
                  <w:tcW w:w="2722" w:type="dxa"/>
                  <w:vAlign w:val="bottom"/>
                </w:tcPr>
                <w:p w14:paraId="01872077" w14:textId="77777777" w:rsidR="00F562D6" w:rsidRPr="008065A1" w:rsidRDefault="00F562D6" w:rsidP="002B0EAB">
                  <w:pPr>
                    <w:pStyle w:val="Paragraph"/>
                    <w:spacing w:before="0" w:after="0"/>
                    <w:rPr>
                      <w:rFonts w:cs="Arial"/>
                      <w:sz w:val="16"/>
                      <w:szCs w:val="16"/>
                    </w:rPr>
                  </w:pPr>
                  <w:r>
                    <w:rPr>
                      <w:rFonts w:cs="Arial"/>
                      <w:sz w:val="16"/>
                      <w:szCs w:val="16"/>
                    </w:rPr>
                    <w:t>Aktsia hinna ja tulukuse suhe (P/E)</w:t>
                  </w:r>
                </w:p>
              </w:tc>
              <w:tc>
                <w:tcPr>
                  <w:tcW w:w="861" w:type="dxa"/>
                </w:tcPr>
                <w:p w14:paraId="37F5294E" w14:textId="77777777" w:rsidR="00F562D6" w:rsidRPr="008065A1" w:rsidRDefault="00F562D6" w:rsidP="0016647D">
                  <w:pPr>
                    <w:pStyle w:val="Paragraph"/>
                    <w:spacing w:before="0" w:after="0"/>
                    <w:jc w:val="right"/>
                    <w:rPr>
                      <w:rFonts w:cs="Arial"/>
                      <w:sz w:val="16"/>
                      <w:szCs w:val="16"/>
                    </w:rPr>
                  </w:pPr>
                  <w:r>
                    <w:rPr>
                      <w:rFonts w:cs="Arial"/>
                      <w:sz w:val="16"/>
                      <w:szCs w:val="16"/>
                    </w:rPr>
                    <w:t>-50,51</w:t>
                  </w:r>
                </w:p>
              </w:tc>
              <w:tc>
                <w:tcPr>
                  <w:tcW w:w="982" w:type="dxa"/>
                  <w:gridSpan w:val="2"/>
                </w:tcPr>
                <w:p w14:paraId="533E7864" w14:textId="77777777" w:rsidR="00F562D6" w:rsidRPr="008065A1" w:rsidRDefault="00F562D6" w:rsidP="0016647D">
                  <w:pPr>
                    <w:pStyle w:val="Paragraph"/>
                    <w:spacing w:before="0" w:after="0"/>
                    <w:jc w:val="right"/>
                    <w:rPr>
                      <w:rFonts w:cs="Arial"/>
                      <w:sz w:val="16"/>
                      <w:szCs w:val="16"/>
                    </w:rPr>
                  </w:pPr>
                  <w:r>
                    <w:rPr>
                      <w:rFonts w:cs="Arial"/>
                      <w:sz w:val="16"/>
                      <w:szCs w:val="16"/>
                    </w:rPr>
                    <w:t>-37,70</w:t>
                  </w:r>
                </w:p>
              </w:tc>
              <w:tc>
                <w:tcPr>
                  <w:tcW w:w="860" w:type="dxa"/>
                  <w:gridSpan w:val="2"/>
                </w:tcPr>
                <w:p w14:paraId="1E9D7E94" w14:textId="77777777" w:rsidR="00F562D6" w:rsidRPr="008065A1" w:rsidRDefault="00F562D6" w:rsidP="0016647D">
                  <w:pPr>
                    <w:pStyle w:val="Paragraph"/>
                    <w:spacing w:before="0" w:after="0"/>
                    <w:jc w:val="right"/>
                    <w:rPr>
                      <w:rFonts w:cs="Arial"/>
                      <w:sz w:val="16"/>
                      <w:szCs w:val="16"/>
                    </w:rPr>
                  </w:pPr>
                  <w:r>
                    <w:rPr>
                      <w:rFonts w:cs="Arial"/>
                      <w:color w:val="000000" w:themeColor="text1"/>
                      <w:sz w:val="16"/>
                      <w:szCs w:val="16"/>
                    </w:rPr>
                    <w:t>-28,00</w:t>
                  </w:r>
                </w:p>
              </w:tc>
              <w:tc>
                <w:tcPr>
                  <w:tcW w:w="920" w:type="dxa"/>
                  <w:gridSpan w:val="2"/>
                </w:tcPr>
                <w:p w14:paraId="1B0DBCF9" w14:textId="77777777" w:rsidR="00F562D6" w:rsidRPr="008065A1" w:rsidRDefault="00F562D6" w:rsidP="0016647D">
                  <w:pPr>
                    <w:pStyle w:val="Paragraph"/>
                    <w:spacing w:before="0" w:after="0"/>
                    <w:jc w:val="right"/>
                    <w:rPr>
                      <w:rFonts w:cs="Arial"/>
                      <w:sz w:val="16"/>
                      <w:szCs w:val="16"/>
                    </w:rPr>
                  </w:pPr>
                  <w:r>
                    <w:rPr>
                      <w:rFonts w:cs="Arial"/>
                      <w:color w:val="000000" w:themeColor="text1"/>
                      <w:sz w:val="16"/>
                      <w:szCs w:val="16"/>
                    </w:rPr>
                    <w:t>-55,75</w:t>
                  </w:r>
                </w:p>
              </w:tc>
              <w:tc>
                <w:tcPr>
                  <w:tcW w:w="920" w:type="dxa"/>
                  <w:gridSpan w:val="2"/>
                </w:tcPr>
                <w:p w14:paraId="791761B0" w14:textId="77777777" w:rsidR="00F562D6" w:rsidRPr="008065A1" w:rsidRDefault="00F562D6" w:rsidP="0016647D">
                  <w:pPr>
                    <w:pStyle w:val="Paragraph"/>
                    <w:spacing w:before="0" w:after="0"/>
                    <w:jc w:val="right"/>
                    <w:rPr>
                      <w:rFonts w:cs="Arial"/>
                      <w:sz w:val="16"/>
                      <w:szCs w:val="16"/>
                    </w:rPr>
                  </w:pPr>
                  <w:r>
                    <w:rPr>
                      <w:rFonts w:cs="Arial"/>
                      <w:color w:val="000000" w:themeColor="text1"/>
                      <w:sz w:val="16"/>
                      <w:szCs w:val="16"/>
                    </w:rPr>
                    <w:t>6,41</w:t>
                  </w:r>
                </w:p>
              </w:tc>
            </w:tr>
            <w:bookmarkEnd w:id="7"/>
            <w:tr w:rsidR="00F562D6" w:rsidRPr="006E4666" w14:paraId="0DBAA333" w14:textId="77777777" w:rsidTr="002B0EAB">
              <w:trPr>
                <w:trHeight w:val="170"/>
              </w:trPr>
              <w:tc>
                <w:tcPr>
                  <w:tcW w:w="7265" w:type="dxa"/>
                  <w:gridSpan w:val="10"/>
                  <w:vAlign w:val="bottom"/>
                </w:tcPr>
                <w:p w14:paraId="04A6CAB1" w14:textId="77777777" w:rsidR="00F562D6" w:rsidRPr="008065A1" w:rsidRDefault="00F562D6" w:rsidP="002B0EAB">
                  <w:pPr>
                    <w:pStyle w:val="Paragraph"/>
                    <w:spacing w:before="0" w:after="0"/>
                    <w:rPr>
                      <w:rFonts w:cs="Arial"/>
                      <w:i/>
                      <w:iCs/>
                      <w:sz w:val="16"/>
                      <w:szCs w:val="16"/>
                    </w:rPr>
                  </w:pPr>
                  <w:r>
                    <w:rPr>
                      <w:rFonts w:cs="Arial"/>
                      <w:i/>
                      <w:iCs/>
                      <w:color w:val="000000" w:themeColor="text1"/>
                      <w:sz w:val="16"/>
                      <w:szCs w:val="16"/>
                    </w:rPr>
                    <w:t>Allikas: Aruanded, Äriühing</w:t>
                  </w:r>
                </w:p>
              </w:tc>
            </w:tr>
            <w:tr w:rsidR="002B1D5D" w:rsidRPr="006E4666" w14:paraId="7EEDD6B1" w14:textId="77777777" w:rsidTr="002B0EAB">
              <w:trPr>
                <w:gridAfter w:val="1"/>
                <w:wAfter w:w="6" w:type="dxa"/>
                <w:trHeight w:val="170"/>
              </w:trPr>
              <w:tc>
                <w:tcPr>
                  <w:tcW w:w="2722" w:type="dxa"/>
                  <w:shd w:val="clear" w:color="auto" w:fill="C8501E"/>
                  <w:vAlign w:val="bottom"/>
                </w:tcPr>
                <w:p w14:paraId="4C138629" w14:textId="77777777" w:rsidR="00F562D6" w:rsidRPr="008065A1" w:rsidRDefault="00F562D6" w:rsidP="002B0EAB">
                  <w:pPr>
                    <w:pStyle w:val="Paragraph"/>
                    <w:spacing w:before="0" w:after="0"/>
                    <w:jc w:val="left"/>
                    <w:rPr>
                      <w:rFonts w:cs="Arial"/>
                      <w:i/>
                      <w:iCs/>
                      <w:color w:val="FFFFFF" w:themeColor="background1"/>
                      <w:sz w:val="16"/>
                      <w:szCs w:val="16"/>
                    </w:rPr>
                  </w:pPr>
                  <w:r>
                    <w:rPr>
                      <w:rFonts w:cs="Arial"/>
                      <w:i/>
                      <w:iCs/>
                      <w:color w:val="FFFFFF" w:themeColor="background1"/>
                      <w:sz w:val="16"/>
                      <w:szCs w:val="16"/>
                    </w:rPr>
                    <w:t>tuhat eurot</w:t>
                  </w:r>
                </w:p>
              </w:tc>
              <w:tc>
                <w:tcPr>
                  <w:tcW w:w="1096" w:type="dxa"/>
                  <w:gridSpan w:val="2"/>
                  <w:shd w:val="clear" w:color="auto" w:fill="C8501E"/>
                  <w:vAlign w:val="bottom"/>
                </w:tcPr>
                <w:p w14:paraId="240EBA4C" w14:textId="77777777" w:rsidR="00F562D6" w:rsidRPr="008065A1" w:rsidRDefault="00F562D6" w:rsidP="002B0EAB">
                  <w:pPr>
                    <w:pStyle w:val="Paragraph"/>
                    <w:spacing w:before="0" w:after="0"/>
                    <w:jc w:val="right"/>
                    <w:rPr>
                      <w:color w:val="FFFFFF" w:themeColor="background1"/>
                      <w:sz w:val="16"/>
                    </w:rPr>
                  </w:pPr>
                  <w:r>
                    <w:rPr>
                      <w:rFonts w:cs="Arial"/>
                      <w:color w:val="FFFFFF" w:themeColor="background1"/>
                      <w:sz w:val="16"/>
                      <w:szCs w:val="16"/>
                    </w:rPr>
                    <w:t>30. juuni</w:t>
                  </w:r>
                </w:p>
              </w:tc>
              <w:tc>
                <w:tcPr>
                  <w:tcW w:w="3441" w:type="dxa"/>
                  <w:gridSpan w:val="6"/>
                  <w:shd w:val="clear" w:color="auto" w:fill="C8501E"/>
                  <w:vAlign w:val="bottom"/>
                </w:tcPr>
                <w:p w14:paraId="640DC28F" w14:textId="77777777" w:rsidR="00F562D6" w:rsidRPr="008065A1" w:rsidRDefault="00F562D6" w:rsidP="002B0EAB">
                  <w:pPr>
                    <w:pStyle w:val="Paragraph"/>
                    <w:spacing w:before="0" w:after="0"/>
                    <w:jc w:val="center"/>
                    <w:rPr>
                      <w:rFonts w:cs="Arial"/>
                      <w:color w:val="FFFFFF" w:themeColor="background1"/>
                      <w:sz w:val="16"/>
                      <w:szCs w:val="16"/>
                    </w:rPr>
                  </w:pPr>
                  <w:r>
                    <w:rPr>
                      <w:rFonts w:cs="Arial"/>
                      <w:color w:val="FFFFFF" w:themeColor="background1"/>
                      <w:sz w:val="16"/>
                      <w:szCs w:val="16"/>
                    </w:rPr>
                    <w:t>31. detsember</w:t>
                  </w:r>
                </w:p>
              </w:tc>
            </w:tr>
            <w:tr w:rsidR="002B1D5D" w:rsidRPr="006E4666" w14:paraId="0EAF5770" w14:textId="77777777" w:rsidTr="002B0EAB">
              <w:trPr>
                <w:gridAfter w:val="1"/>
                <w:wAfter w:w="6" w:type="dxa"/>
                <w:trHeight w:val="170"/>
              </w:trPr>
              <w:tc>
                <w:tcPr>
                  <w:tcW w:w="2722" w:type="dxa"/>
                  <w:shd w:val="clear" w:color="auto" w:fill="C8501E"/>
                </w:tcPr>
                <w:p w14:paraId="05522FFA" w14:textId="77777777" w:rsidR="00F562D6" w:rsidRPr="008065A1" w:rsidRDefault="00F562D6" w:rsidP="002B0EAB">
                  <w:pPr>
                    <w:pStyle w:val="Paragraph"/>
                    <w:spacing w:before="0" w:after="0"/>
                    <w:rPr>
                      <w:rFonts w:cs="Arial"/>
                      <w:color w:val="FFFFFF" w:themeColor="background1"/>
                      <w:sz w:val="16"/>
                      <w:szCs w:val="16"/>
                    </w:rPr>
                  </w:pPr>
                </w:p>
              </w:tc>
              <w:tc>
                <w:tcPr>
                  <w:tcW w:w="1096" w:type="dxa"/>
                  <w:gridSpan w:val="2"/>
                  <w:shd w:val="clear" w:color="auto" w:fill="C8501E"/>
                </w:tcPr>
                <w:p w14:paraId="3D073E0C" w14:textId="77777777" w:rsidR="00F562D6" w:rsidRPr="008065A1" w:rsidRDefault="00F562D6" w:rsidP="002B0EAB">
                  <w:pPr>
                    <w:pStyle w:val="Paragraph"/>
                    <w:spacing w:before="0" w:after="0"/>
                    <w:jc w:val="right"/>
                    <w:rPr>
                      <w:rFonts w:cs="Arial"/>
                      <w:color w:val="FFFFFF" w:themeColor="background1"/>
                      <w:sz w:val="16"/>
                      <w:szCs w:val="16"/>
                    </w:rPr>
                  </w:pPr>
                  <w:r>
                    <w:rPr>
                      <w:rFonts w:cs="Arial"/>
                      <w:color w:val="FFFFFF" w:themeColor="background1"/>
                      <w:sz w:val="16"/>
                      <w:szCs w:val="16"/>
                    </w:rPr>
                    <w:t>2017</w:t>
                  </w:r>
                </w:p>
              </w:tc>
              <w:tc>
                <w:tcPr>
                  <w:tcW w:w="1147" w:type="dxa"/>
                  <w:gridSpan w:val="2"/>
                  <w:shd w:val="clear" w:color="auto" w:fill="C8501E"/>
                </w:tcPr>
                <w:p w14:paraId="59E41CFD" w14:textId="77777777" w:rsidR="00F562D6" w:rsidRPr="008065A1" w:rsidRDefault="00F562D6" w:rsidP="002B0EAB">
                  <w:pPr>
                    <w:pStyle w:val="Paragraph"/>
                    <w:spacing w:before="0" w:after="0"/>
                    <w:jc w:val="right"/>
                    <w:rPr>
                      <w:rFonts w:cs="Arial"/>
                      <w:color w:val="FFFFFF" w:themeColor="background1"/>
                      <w:sz w:val="16"/>
                      <w:szCs w:val="16"/>
                    </w:rPr>
                  </w:pPr>
                  <w:r>
                    <w:rPr>
                      <w:rFonts w:cs="Arial"/>
                      <w:color w:val="FFFFFF" w:themeColor="background1"/>
                      <w:sz w:val="16"/>
                      <w:szCs w:val="16"/>
                    </w:rPr>
                    <w:t>2016</w:t>
                  </w:r>
                </w:p>
              </w:tc>
              <w:tc>
                <w:tcPr>
                  <w:tcW w:w="1147" w:type="dxa"/>
                  <w:gridSpan w:val="2"/>
                  <w:shd w:val="clear" w:color="auto" w:fill="C8501E"/>
                </w:tcPr>
                <w:p w14:paraId="1F38EC74" w14:textId="77777777" w:rsidR="00F562D6" w:rsidRPr="008065A1" w:rsidRDefault="00F562D6" w:rsidP="002B0EAB">
                  <w:pPr>
                    <w:pStyle w:val="Paragraph"/>
                    <w:spacing w:before="0" w:after="0"/>
                    <w:jc w:val="right"/>
                    <w:rPr>
                      <w:rFonts w:cs="Arial"/>
                      <w:color w:val="FFFFFF" w:themeColor="background1"/>
                      <w:sz w:val="16"/>
                      <w:szCs w:val="16"/>
                    </w:rPr>
                  </w:pPr>
                  <w:r>
                    <w:rPr>
                      <w:rFonts w:cs="Arial"/>
                      <w:color w:val="FFFFFF" w:themeColor="background1"/>
                      <w:sz w:val="16"/>
                      <w:szCs w:val="16"/>
                    </w:rPr>
                    <w:t>2015</w:t>
                  </w:r>
                </w:p>
              </w:tc>
              <w:tc>
                <w:tcPr>
                  <w:tcW w:w="1147" w:type="dxa"/>
                  <w:gridSpan w:val="2"/>
                  <w:shd w:val="clear" w:color="auto" w:fill="C8501E"/>
                </w:tcPr>
                <w:p w14:paraId="65D3F01C" w14:textId="77777777" w:rsidR="00F562D6" w:rsidRPr="008065A1" w:rsidRDefault="00F562D6" w:rsidP="002B0EAB">
                  <w:pPr>
                    <w:pStyle w:val="Paragraph"/>
                    <w:spacing w:before="0" w:after="0"/>
                    <w:jc w:val="right"/>
                    <w:rPr>
                      <w:rFonts w:cs="Arial"/>
                      <w:color w:val="FFFFFF" w:themeColor="background1"/>
                      <w:sz w:val="16"/>
                      <w:szCs w:val="16"/>
                    </w:rPr>
                  </w:pPr>
                  <w:r>
                    <w:rPr>
                      <w:rFonts w:cs="Arial"/>
                      <w:color w:val="FFFFFF" w:themeColor="background1"/>
                      <w:sz w:val="16"/>
                      <w:szCs w:val="16"/>
                    </w:rPr>
                    <w:t>2014</w:t>
                  </w:r>
                </w:p>
              </w:tc>
            </w:tr>
            <w:tr w:rsidR="00F562D6" w:rsidRPr="006E4666" w14:paraId="08385D47" w14:textId="77777777" w:rsidTr="002B0EAB">
              <w:trPr>
                <w:gridAfter w:val="1"/>
                <w:wAfter w:w="6" w:type="dxa"/>
                <w:trHeight w:val="170"/>
              </w:trPr>
              <w:tc>
                <w:tcPr>
                  <w:tcW w:w="2722" w:type="dxa"/>
                  <w:vAlign w:val="bottom"/>
                </w:tcPr>
                <w:p w14:paraId="77BA216D" w14:textId="77777777" w:rsidR="00F562D6" w:rsidRPr="008065A1" w:rsidRDefault="00F562D6" w:rsidP="002B0EAB">
                  <w:pPr>
                    <w:pStyle w:val="Paragraph"/>
                    <w:spacing w:before="0" w:after="0"/>
                    <w:rPr>
                      <w:rFonts w:cs="Arial"/>
                      <w:sz w:val="16"/>
                      <w:szCs w:val="16"/>
                    </w:rPr>
                  </w:pPr>
                  <w:bookmarkStart w:id="8" w:name="_Hlk488764806"/>
                  <w:r>
                    <w:rPr>
                      <w:rFonts w:cs="Arial"/>
                      <w:sz w:val="16"/>
                      <w:szCs w:val="16"/>
                    </w:rPr>
                    <w:t>Omakapitali osatähtsus</w:t>
                  </w:r>
                </w:p>
              </w:tc>
              <w:tc>
                <w:tcPr>
                  <w:tcW w:w="1096" w:type="dxa"/>
                  <w:gridSpan w:val="2"/>
                </w:tcPr>
                <w:p w14:paraId="3AA14636" w14:textId="77777777" w:rsidR="00F562D6" w:rsidRPr="008065A1" w:rsidRDefault="00F562D6" w:rsidP="002B0EAB">
                  <w:pPr>
                    <w:pStyle w:val="Paragraph"/>
                    <w:spacing w:before="0" w:after="0"/>
                    <w:jc w:val="right"/>
                    <w:rPr>
                      <w:rFonts w:cs="Arial"/>
                      <w:sz w:val="16"/>
                      <w:szCs w:val="16"/>
                    </w:rPr>
                  </w:pPr>
                  <w:r>
                    <w:rPr>
                      <w:rFonts w:cs="Arial"/>
                      <w:sz w:val="16"/>
                      <w:szCs w:val="16"/>
                    </w:rPr>
                    <w:t>50,9%</w:t>
                  </w:r>
                </w:p>
              </w:tc>
              <w:tc>
                <w:tcPr>
                  <w:tcW w:w="1147" w:type="dxa"/>
                  <w:gridSpan w:val="2"/>
                  <w:vAlign w:val="bottom"/>
                </w:tcPr>
                <w:p w14:paraId="580F69F2"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56,4%</w:t>
                  </w:r>
                </w:p>
              </w:tc>
              <w:tc>
                <w:tcPr>
                  <w:tcW w:w="1147" w:type="dxa"/>
                  <w:gridSpan w:val="2"/>
                  <w:vAlign w:val="bottom"/>
                </w:tcPr>
                <w:p w14:paraId="62604B11"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64,0%</w:t>
                  </w:r>
                </w:p>
              </w:tc>
              <w:tc>
                <w:tcPr>
                  <w:tcW w:w="1147" w:type="dxa"/>
                  <w:gridSpan w:val="2"/>
                  <w:vAlign w:val="bottom"/>
                </w:tcPr>
                <w:p w14:paraId="232CC96F"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68,6%</w:t>
                  </w:r>
                </w:p>
              </w:tc>
            </w:tr>
            <w:tr w:rsidR="00F562D6" w:rsidRPr="006E4666" w14:paraId="2FE0DBC5" w14:textId="77777777" w:rsidTr="002B0EAB">
              <w:trPr>
                <w:gridAfter w:val="1"/>
                <w:wAfter w:w="6" w:type="dxa"/>
                <w:trHeight w:val="170"/>
              </w:trPr>
              <w:tc>
                <w:tcPr>
                  <w:tcW w:w="2722" w:type="dxa"/>
                  <w:vAlign w:val="bottom"/>
                </w:tcPr>
                <w:p w14:paraId="755F17E0" w14:textId="77777777" w:rsidR="00F562D6" w:rsidRPr="008065A1" w:rsidRDefault="00F562D6" w:rsidP="002B0EAB">
                  <w:pPr>
                    <w:pStyle w:val="Paragraph"/>
                    <w:spacing w:before="0" w:after="0"/>
                    <w:rPr>
                      <w:rFonts w:cs="Arial"/>
                      <w:sz w:val="16"/>
                      <w:szCs w:val="16"/>
                    </w:rPr>
                  </w:pPr>
                  <w:r>
                    <w:rPr>
                      <w:rFonts w:cs="Arial"/>
                      <w:sz w:val="16"/>
                      <w:szCs w:val="16"/>
                    </w:rPr>
                    <w:t>Võla ja omakapitali suhe</w:t>
                  </w:r>
                </w:p>
              </w:tc>
              <w:tc>
                <w:tcPr>
                  <w:tcW w:w="1096" w:type="dxa"/>
                  <w:gridSpan w:val="2"/>
                </w:tcPr>
                <w:p w14:paraId="5C23D739" w14:textId="77777777" w:rsidR="00F562D6" w:rsidRPr="008065A1" w:rsidRDefault="00F562D6" w:rsidP="002B0EAB">
                  <w:pPr>
                    <w:pStyle w:val="Paragraph"/>
                    <w:spacing w:before="0" w:after="0"/>
                    <w:jc w:val="right"/>
                    <w:rPr>
                      <w:rFonts w:cs="Arial"/>
                      <w:sz w:val="16"/>
                      <w:szCs w:val="16"/>
                    </w:rPr>
                  </w:pPr>
                  <w:r>
                    <w:rPr>
                      <w:rFonts w:cs="Arial"/>
                      <w:sz w:val="16"/>
                      <w:szCs w:val="16"/>
                    </w:rPr>
                    <w:t>74,6%</w:t>
                  </w:r>
                </w:p>
              </w:tc>
              <w:tc>
                <w:tcPr>
                  <w:tcW w:w="1147" w:type="dxa"/>
                  <w:gridSpan w:val="2"/>
                  <w:vAlign w:val="bottom"/>
                </w:tcPr>
                <w:p w14:paraId="66048071"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57,6%</w:t>
                  </w:r>
                </w:p>
              </w:tc>
              <w:tc>
                <w:tcPr>
                  <w:tcW w:w="1147" w:type="dxa"/>
                  <w:gridSpan w:val="2"/>
                  <w:vAlign w:val="bottom"/>
                </w:tcPr>
                <w:p w14:paraId="55C06DFA"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41,9%</w:t>
                  </w:r>
                </w:p>
              </w:tc>
              <w:tc>
                <w:tcPr>
                  <w:tcW w:w="1147" w:type="dxa"/>
                  <w:gridSpan w:val="2"/>
                  <w:vAlign w:val="bottom"/>
                </w:tcPr>
                <w:p w14:paraId="5248047C"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34,9%</w:t>
                  </w:r>
                </w:p>
              </w:tc>
            </w:tr>
            <w:tr w:rsidR="00F562D6" w:rsidRPr="006E4666" w14:paraId="285D51BE" w14:textId="77777777" w:rsidTr="002B0EAB">
              <w:trPr>
                <w:gridAfter w:val="1"/>
                <w:wAfter w:w="6" w:type="dxa"/>
                <w:trHeight w:val="170"/>
              </w:trPr>
              <w:tc>
                <w:tcPr>
                  <w:tcW w:w="2722" w:type="dxa"/>
                  <w:vAlign w:val="bottom"/>
                </w:tcPr>
                <w:p w14:paraId="605BDC6C" w14:textId="77777777" w:rsidR="00F562D6" w:rsidRPr="008065A1" w:rsidRDefault="00F562D6" w:rsidP="002B0EAB">
                  <w:pPr>
                    <w:pStyle w:val="Paragraph"/>
                    <w:spacing w:before="0" w:after="0"/>
                    <w:rPr>
                      <w:rFonts w:cs="Arial"/>
                      <w:sz w:val="16"/>
                      <w:szCs w:val="16"/>
                    </w:rPr>
                  </w:pPr>
                  <w:r>
                    <w:rPr>
                      <w:rFonts w:cs="Arial"/>
                      <w:sz w:val="16"/>
                      <w:szCs w:val="16"/>
                    </w:rPr>
                    <w:t>Netovõla ja omakapitali suhe</w:t>
                  </w:r>
                </w:p>
              </w:tc>
              <w:tc>
                <w:tcPr>
                  <w:tcW w:w="1096" w:type="dxa"/>
                  <w:gridSpan w:val="2"/>
                </w:tcPr>
                <w:p w14:paraId="3F23FC7E" w14:textId="77777777" w:rsidR="00F562D6" w:rsidRPr="008065A1" w:rsidRDefault="00F562D6" w:rsidP="002B0EAB">
                  <w:pPr>
                    <w:pStyle w:val="Paragraph"/>
                    <w:spacing w:before="0" w:after="0"/>
                    <w:jc w:val="right"/>
                    <w:rPr>
                      <w:rFonts w:cs="Arial"/>
                      <w:sz w:val="16"/>
                      <w:szCs w:val="16"/>
                    </w:rPr>
                  </w:pPr>
                  <w:r>
                    <w:rPr>
                      <w:rFonts w:cs="Arial"/>
                      <w:sz w:val="16"/>
                      <w:szCs w:val="16"/>
                    </w:rPr>
                    <w:t>41,4%</w:t>
                  </w:r>
                </w:p>
              </w:tc>
              <w:tc>
                <w:tcPr>
                  <w:tcW w:w="1147" w:type="dxa"/>
                  <w:gridSpan w:val="2"/>
                  <w:vAlign w:val="bottom"/>
                </w:tcPr>
                <w:p w14:paraId="629A3EC5"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33,7%</w:t>
                  </w:r>
                </w:p>
              </w:tc>
              <w:tc>
                <w:tcPr>
                  <w:tcW w:w="1147" w:type="dxa"/>
                  <w:gridSpan w:val="2"/>
                  <w:vAlign w:val="bottom"/>
                </w:tcPr>
                <w:p w14:paraId="5266F2F7"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25,5%</w:t>
                  </w:r>
                </w:p>
              </w:tc>
              <w:tc>
                <w:tcPr>
                  <w:tcW w:w="1147" w:type="dxa"/>
                  <w:gridSpan w:val="2"/>
                  <w:vAlign w:val="bottom"/>
                </w:tcPr>
                <w:p w14:paraId="5283E10B"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24,6%</w:t>
                  </w:r>
                </w:p>
              </w:tc>
            </w:tr>
            <w:tr w:rsidR="00F562D6" w:rsidRPr="006E4666" w14:paraId="2527443D" w14:textId="77777777" w:rsidTr="002B0EAB">
              <w:trPr>
                <w:gridAfter w:val="1"/>
                <w:wAfter w:w="6" w:type="dxa"/>
                <w:trHeight w:val="170"/>
              </w:trPr>
              <w:tc>
                <w:tcPr>
                  <w:tcW w:w="2722" w:type="dxa"/>
                  <w:vAlign w:val="bottom"/>
                </w:tcPr>
                <w:p w14:paraId="1F15AB56" w14:textId="77777777" w:rsidR="00F562D6" w:rsidRPr="008065A1" w:rsidRDefault="00F562D6" w:rsidP="002B0EAB">
                  <w:pPr>
                    <w:pStyle w:val="Paragraph"/>
                    <w:spacing w:before="0" w:after="0"/>
                    <w:rPr>
                      <w:rFonts w:cs="Arial"/>
                      <w:b/>
                      <w:bCs/>
                      <w:sz w:val="16"/>
                      <w:szCs w:val="16"/>
                    </w:rPr>
                  </w:pPr>
                  <w:r>
                    <w:rPr>
                      <w:rFonts w:cs="Arial"/>
                      <w:sz w:val="16"/>
                      <w:szCs w:val="16"/>
                    </w:rPr>
                    <w:t>Võla ja EBITDA suhe</w:t>
                  </w:r>
                </w:p>
              </w:tc>
              <w:tc>
                <w:tcPr>
                  <w:tcW w:w="1096" w:type="dxa"/>
                  <w:gridSpan w:val="2"/>
                </w:tcPr>
                <w:p w14:paraId="1D5AB665" w14:textId="77777777" w:rsidR="00F562D6" w:rsidRPr="008065A1" w:rsidRDefault="00F562D6" w:rsidP="002B0EAB">
                  <w:pPr>
                    <w:pStyle w:val="Paragraph"/>
                    <w:spacing w:before="0" w:after="0"/>
                    <w:jc w:val="right"/>
                    <w:rPr>
                      <w:rFonts w:cs="Arial"/>
                      <w:b/>
                      <w:sz w:val="16"/>
                      <w:szCs w:val="16"/>
                    </w:rPr>
                  </w:pPr>
                  <w:r>
                    <w:rPr>
                      <w:rFonts w:cs="Arial"/>
                      <w:sz w:val="16"/>
                      <w:szCs w:val="16"/>
                    </w:rPr>
                    <w:t>-334,0</w:t>
                  </w:r>
                </w:p>
              </w:tc>
              <w:tc>
                <w:tcPr>
                  <w:tcW w:w="1147" w:type="dxa"/>
                  <w:gridSpan w:val="2"/>
                  <w:vAlign w:val="bottom"/>
                </w:tcPr>
                <w:p w14:paraId="3C14045A" w14:textId="77777777" w:rsidR="00F562D6" w:rsidRPr="008065A1" w:rsidRDefault="00F562D6" w:rsidP="002B0EAB">
                  <w:pPr>
                    <w:pStyle w:val="Paragraph"/>
                    <w:spacing w:before="0" w:after="0"/>
                    <w:jc w:val="right"/>
                    <w:rPr>
                      <w:rFonts w:cs="Arial"/>
                      <w:b/>
                      <w:bCs/>
                      <w:sz w:val="16"/>
                      <w:szCs w:val="16"/>
                    </w:rPr>
                  </w:pPr>
                  <w:r>
                    <w:rPr>
                      <w:rFonts w:cs="Arial"/>
                      <w:color w:val="000000" w:themeColor="text1"/>
                      <w:sz w:val="16"/>
                      <w:szCs w:val="16"/>
                    </w:rPr>
                    <w:t xml:space="preserve">119,7   </w:t>
                  </w:r>
                </w:p>
              </w:tc>
              <w:tc>
                <w:tcPr>
                  <w:tcW w:w="1147" w:type="dxa"/>
                  <w:gridSpan w:val="2"/>
                  <w:vAlign w:val="bottom"/>
                </w:tcPr>
                <w:p w14:paraId="66F7CB5B" w14:textId="77777777" w:rsidR="00F562D6" w:rsidRPr="008065A1" w:rsidRDefault="00F562D6" w:rsidP="002B0EAB">
                  <w:pPr>
                    <w:pStyle w:val="Paragraph"/>
                    <w:spacing w:before="0" w:after="0"/>
                    <w:jc w:val="right"/>
                    <w:rPr>
                      <w:rFonts w:cs="Arial"/>
                      <w:b/>
                      <w:bCs/>
                      <w:sz w:val="16"/>
                      <w:szCs w:val="16"/>
                    </w:rPr>
                  </w:pPr>
                  <w:r>
                    <w:rPr>
                      <w:rFonts w:cs="Arial"/>
                      <w:color w:val="000000" w:themeColor="text1"/>
                      <w:sz w:val="16"/>
                      <w:szCs w:val="16"/>
                    </w:rPr>
                    <w:t xml:space="preserve">16,5   </w:t>
                  </w:r>
                </w:p>
              </w:tc>
              <w:tc>
                <w:tcPr>
                  <w:tcW w:w="1147" w:type="dxa"/>
                  <w:gridSpan w:val="2"/>
                  <w:vAlign w:val="bottom"/>
                </w:tcPr>
                <w:p w14:paraId="4B415A05" w14:textId="77777777" w:rsidR="00F562D6" w:rsidRPr="008065A1" w:rsidRDefault="00F562D6" w:rsidP="002B0EAB">
                  <w:pPr>
                    <w:pStyle w:val="Paragraph"/>
                    <w:spacing w:before="0" w:after="0"/>
                    <w:jc w:val="right"/>
                    <w:rPr>
                      <w:rFonts w:cs="Arial"/>
                      <w:b/>
                      <w:bCs/>
                      <w:sz w:val="16"/>
                      <w:szCs w:val="16"/>
                    </w:rPr>
                  </w:pPr>
                  <w:r>
                    <w:rPr>
                      <w:rFonts w:cs="Arial"/>
                      <w:color w:val="000000" w:themeColor="text1"/>
                      <w:sz w:val="16"/>
                      <w:szCs w:val="16"/>
                    </w:rPr>
                    <w:t xml:space="preserve">1,1   </w:t>
                  </w:r>
                </w:p>
              </w:tc>
            </w:tr>
            <w:tr w:rsidR="00F562D6" w:rsidRPr="006E4666" w14:paraId="55FC3CC4" w14:textId="77777777" w:rsidTr="0016647D">
              <w:trPr>
                <w:gridAfter w:val="1"/>
                <w:wAfter w:w="6" w:type="dxa"/>
                <w:trHeight w:val="170"/>
              </w:trPr>
              <w:tc>
                <w:tcPr>
                  <w:tcW w:w="2722" w:type="dxa"/>
                  <w:vAlign w:val="bottom"/>
                </w:tcPr>
                <w:p w14:paraId="6E71AA81" w14:textId="77777777" w:rsidR="00F562D6" w:rsidRPr="008065A1" w:rsidRDefault="00F562D6" w:rsidP="002B0EAB">
                  <w:pPr>
                    <w:pStyle w:val="Paragraph"/>
                    <w:spacing w:before="0" w:after="0"/>
                    <w:rPr>
                      <w:rFonts w:cs="Arial"/>
                      <w:sz w:val="16"/>
                      <w:szCs w:val="16"/>
                    </w:rPr>
                  </w:pPr>
                  <w:r>
                    <w:rPr>
                      <w:rFonts w:cs="Arial"/>
                      <w:sz w:val="16"/>
                      <w:szCs w:val="16"/>
                    </w:rPr>
                    <w:t>Lühiajaliste kohustuste kattekordaja</w:t>
                  </w:r>
                </w:p>
              </w:tc>
              <w:tc>
                <w:tcPr>
                  <w:tcW w:w="1096" w:type="dxa"/>
                  <w:gridSpan w:val="2"/>
                </w:tcPr>
                <w:p w14:paraId="19A7089B" w14:textId="77777777" w:rsidR="00F562D6" w:rsidRPr="008065A1" w:rsidRDefault="00F562D6" w:rsidP="002B0EAB">
                  <w:pPr>
                    <w:pStyle w:val="Paragraph"/>
                    <w:spacing w:before="0" w:after="0"/>
                    <w:jc w:val="right"/>
                    <w:rPr>
                      <w:rFonts w:cs="Arial"/>
                      <w:sz w:val="16"/>
                      <w:szCs w:val="16"/>
                    </w:rPr>
                  </w:pPr>
                  <w:r>
                    <w:rPr>
                      <w:rFonts w:cs="Arial"/>
                      <w:sz w:val="16"/>
                      <w:szCs w:val="16"/>
                    </w:rPr>
                    <w:t>2,0</w:t>
                  </w:r>
                </w:p>
              </w:tc>
              <w:tc>
                <w:tcPr>
                  <w:tcW w:w="1147" w:type="dxa"/>
                  <w:gridSpan w:val="2"/>
                </w:tcPr>
                <w:p w14:paraId="3801F1F5" w14:textId="77777777" w:rsidR="00F562D6" w:rsidRPr="008065A1" w:rsidRDefault="00F562D6" w:rsidP="0016647D">
                  <w:pPr>
                    <w:pStyle w:val="Paragraph"/>
                    <w:spacing w:before="0" w:after="0"/>
                    <w:jc w:val="right"/>
                    <w:rPr>
                      <w:rFonts w:cs="Arial"/>
                      <w:sz w:val="16"/>
                      <w:szCs w:val="16"/>
                    </w:rPr>
                  </w:pPr>
                  <w:r>
                    <w:rPr>
                      <w:rFonts w:cs="Arial"/>
                      <w:color w:val="000000" w:themeColor="text1"/>
                      <w:sz w:val="16"/>
                      <w:szCs w:val="16"/>
                    </w:rPr>
                    <w:t xml:space="preserve">1,2   </w:t>
                  </w:r>
                </w:p>
              </w:tc>
              <w:tc>
                <w:tcPr>
                  <w:tcW w:w="1147" w:type="dxa"/>
                  <w:gridSpan w:val="2"/>
                </w:tcPr>
                <w:p w14:paraId="3DAC2111" w14:textId="77777777" w:rsidR="00F562D6" w:rsidRPr="008065A1" w:rsidRDefault="00F562D6" w:rsidP="0016647D">
                  <w:pPr>
                    <w:pStyle w:val="Paragraph"/>
                    <w:spacing w:before="0" w:after="0"/>
                    <w:jc w:val="right"/>
                    <w:rPr>
                      <w:rFonts w:cs="Arial"/>
                      <w:sz w:val="16"/>
                      <w:szCs w:val="16"/>
                    </w:rPr>
                  </w:pPr>
                  <w:r>
                    <w:rPr>
                      <w:rFonts w:cs="Arial"/>
                      <w:color w:val="000000" w:themeColor="text1"/>
                      <w:sz w:val="16"/>
                      <w:szCs w:val="16"/>
                    </w:rPr>
                    <w:t xml:space="preserve">1,3   </w:t>
                  </w:r>
                </w:p>
              </w:tc>
              <w:tc>
                <w:tcPr>
                  <w:tcW w:w="1147" w:type="dxa"/>
                  <w:gridSpan w:val="2"/>
                </w:tcPr>
                <w:p w14:paraId="0F7D5395" w14:textId="77777777" w:rsidR="00F562D6" w:rsidRPr="008065A1" w:rsidRDefault="00F562D6" w:rsidP="0016647D">
                  <w:pPr>
                    <w:pStyle w:val="Paragraph"/>
                    <w:spacing w:before="0" w:after="0"/>
                    <w:jc w:val="right"/>
                    <w:rPr>
                      <w:rFonts w:cs="Arial"/>
                      <w:sz w:val="16"/>
                      <w:szCs w:val="16"/>
                    </w:rPr>
                  </w:pPr>
                  <w:r>
                    <w:rPr>
                      <w:rFonts w:cs="Arial"/>
                      <w:color w:val="000000" w:themeColor="text1"/>
                      <w:sz w:val="16"/>
                      <w:szCs w:val="16"/>
                    </w:rPr>
                    <w:t xml:space="preserve">0,8   </w:t>
                  </w:r>
                </w:p>
              </w:tc>
            </w:tr>
            <w:tr w:rsidR="00F562D6" w:rsidRPr="006E4666" w14:paraId="102A6294" w14:textId="77777777" w:rsidTr="002B0EAB">
              <w:trPr>
                <w:gridAfter w:val="1"/>
                <w:wAfter w:w="6" w:type="dxa"/>
                <w:trHeight w:val="170"/>
              </w:trPr>
              <w:tc>
                <w:tcPr>
                  <w:tcW w:w="2722" w:type="dxa"/>
                  <w:vAlign w:val="bottom"/>
                </w:tcPr>
                <w:p w14:paraId="48B4098A" w14:textId="77777777" w:rsidR="00F562D6" w:rsidRPr="008065A1" w:rsidRDefault="00F562D6" w:rsidP="002B0EAB">
                  <w:pPr>
                    <w:pStyle w:val="Paragraph"/>
                    <w:spacing w:before="0" w:after="0"/>
                    <w:rPr>
                      <w:rFonts w:cs="Arial"/>
                      <w:sz w:val="16"/>
                      <w:szCs w:val="16"/>
                    </w:rPr>
                  </w:pPr>
                  <w:r>
                    <w:rPr>
                      <w:rFonts w:cs="Arial"/>
                      <w:sz w:val="16"/>
                      <w:szCs w:val="16"/>
                    </w:rPr>
                    <w:t>Vara puhasrentaablus</w:t>
                  </w:r>
                </w:p>
              </w:tc>
              <w:tc>
                <w:tcPr>
                  <w:tcW w:w="1096" w:type="dxa"/>
                  <w:gridSpan w:val="2"/>
                </w:tcPr>
                <w:p w14:paraId="3DDEC0E9" w14:textId="77777777" w:rsidR="00F562D6" w:rsidRPr="008065A1" w:rsidRDefault="00F562D6" w:rsidP="002B0EAB">
                  <w:pPr>
                    <w:pStyle w:val="Paragraph"/>
                    <w:spacing w:before="0" w:after="0"/>
                    <w:jc w:val="right"/>
                    <w:rPr>
                      <w:rFonts w:cs="Arial"/>
                      <w:sz w:val="16"/>
                      <w:szCs w:val="16"/>
                    </w:rPr>
                  </w:pPr>
                  <w:r>
                    <w:rPr>
                      <w:rFonts w:cs="Arial"/>
                      <w:sz w:val="16"/>
                      <w:szCs w:val="16"/>
                    </w:rPr>
                    <w:t>-1,6%</w:t>
                  </w:r>
                </w:p>
              </w:tc>
              <w:tc>
                <w:tcPr>
                  <w:tcW w:w="1147" w:type="dxa"/>
                  <w:gridSpan w:val="2"/>
                  <w:vAlign w:val="bottom"/>
                </w:tcPr>
                <w:p w14:paraId="259B72F4"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-3,0%</w:t>
                  </w:r>
                </w:p>
              </w:tc>
              <w:tc>
                <w:tcPr>
                  <w:tcW w:w="1147" w:type="dxa"/>
                  <w:gridSpan w:val="2"/>
                  <w:vAlign w:val="bottom"/>
                </w:tcPr>
                <w:p w14:paraId="5795B8FB"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-1,6%</w:t>
                  </w:r>
                </w:p>
              </w:tc>
              <w:tc>
                <w:tcPr>
                  <w:tcW w:w="1147" w:type="dxa"/>
                  <w:gridSpan w:val="2"/>
                  <w:vAlign w:val="bottom"/>
                </w:tcPr>
                <w:p w14:paraId="25E653D2"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19,0%</w:t>
                  </w:r>
                </w:p>
              </w:tc>
            </w:tr>
            <w:tr w:rsidR="00F562D6" w:rsidRPr="006E4666" w14:paraId="4522BE0D" w14:textId="77777777" w:rsidTr="002B0EAB">
              <w:trPr>
                <w:gridAfter w:val="1"/>
                <w:wAfter w:w="6" w:type="dxa"/>
                <w:trHeight w:val="170"/>
              </w:trPr>
              <w:tc>
                <w:tcPr>
                  <w:tcW w:w="2722" w:type="dxa"/>
                  <w:vAlign w:val="bottom"/>
                </w:tcPr>
                <w:p w14:paraId="45147F96" w14:textId="77777777" w:rsidR="00F562D6" w:rsidRPr="008065A1" w:rsidRDefault="00F562D6" w:rsidP="002B0EAB">
                  <w:pPr>
                    <w:pStyle w:val="Paragraph"/>
                    <w:spacing w:before="0" w:after="0"/>
                    <w:rPr>
                      <w:rFonts w:cs="Arial"/>
                      <w:sz w:val="16"/>
                      <w:szCs w:val="16"/>
                    </w:rPr>
                  </w:pPr>
                  <w:r>
                    <w:rPr>
                      <w:rFonts w:cs="Arial"/>
                      <w:sz w:val="16"/>
                      <w:szCs w:val="16"/>
                    </w:rPr>
                    <w:t>Omakapitali puhasrentaablus</w:t>
                  </w:r>
                </w:p>
              </w:tc>
              <w:tc>
                <w:tcPr>
                  <w:tcW w:w="1096" w:type="dxa"/>
                  <w:gridSpan w:val="2"/>
                </w:tcPr>
                <w:p w14:paraId="3E6F83B2" w14:textId="77777777" w:rsidR="00F562D6" w:rsidRPr="008065A1" w:rsidRDefault="00F562D6" w:rsidP="002B0EAB">
                  <w:pPr>
                    <w:pStyle w:val="Paragraph"/>
                    <w:spacing w:before="0" w:after="0"/>
                    <w:jc w:val="right"/>
                    <w:rPr>
                      <w:rFonts w:cs="Arial"/>
                      <w:sz w:val="16"/>
                      <w:szCs w:val="16"/>
                    </w:rPr>
                  </w:pPr>
                  <w:r>
                    <w:rPr>
                      <w:rFonts w:cs="Arial"/>
                      <w:sz w:val="16"/>
                      <w:szCs w:val="16"/>
                    </w:rPr>
                    <w:t>-2,9%</w:t>
                  </w:r>
                </w:p>
              </w:tc>
              <w:tc>
                <w:tcPr>
                  <w:tcW w:w="1147" w:type="dxa"/>
                  <w:gridSpan w:val="2"/>
                  <w:vAlign w:val="bottom"/>
                </w:tcPr>
                <w:p w14:paraId="571C1436"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-4,8%</w:t>
                  </w:r>
                </w:p>
              </w:tc>
              <w:tc>
                <w:tcPr>
                  <w:tcW w:w="1147" w:type="dxa"/>
                  <w:gridSpan w:val="2"/>
                  <w:vAlign w:val="bottom"/>
                </w:tcPr>
                <w:p w14:paraId="6B403F92"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-2,3%</w:t>
                  </w:r>
                </w:p>
              </w:tc>
              <w:tc>
                <w:tcPr>
                  <w:tcW w:w="1147" w:type="dxa"/>
                  <w:gridSpan w:val="2"/>
                  <w:vAlign w:val="bottom"/>
                </w:tcPr>
                <w:p w14:paraId="1AD3A9B8" w14:textId="77777777" w:rsidR="00F562D6" w:rsidRPr="008065A1" w:rsidRDefault="00F562D6" w:rsidP="002B0EAB">
                  <w:pPr>
                    <w:pStyle w:val="Paragraph"/>
                    <w:spacing w:before="0" w:after="0"/>
                    <w:jc w:val="right"/>
                    <w:rPr>
                      <w:rFonts w:cs="Arial"/>
                      <w:sz w:val="16"/>
                      <w:szCs w:val="16"/>
                    </w:rPr>
                  </w:pPr>
                  <w:r>
                    <w:rPr>
                      <w:rFonts w:cs="Arial"/>
                      <w:color w:val="000000" w:themeColor="text1"/>
                      <w:sz w:val="16"/>
                      <w:szCs w:val="16"/>
                    </w:rPr>
                    <w:t>28,4%</w:t>
                  </w:r>
                </w:p>
              </w:tc>
            </w:tr>
            <w:bookmarkEnd w:id="8"/>
            <w:tr w:rsidR="00F562D6" w:rsidRPr="006E4666" w14:paraId="537A02EC" w14:textId="77777777" w:rsidTr="002B0EAB">
              <w:trPr>
                <w:gridAfter w:val="1"/>
                <w:wAfter w:w="6" w:type="dxa"/>
                <w:trHeight w:val="170"/>
              </w:trPr>
              <w:tc>
                <w:tcPr>
                  <w:tcW w:w="7259" w:type="dxa"/>
                  <w:gridSpan w:val="9"/>
                  <w:vAlign w:val="bottom"/>
                </w:tcPr>
                <w:p w14:paraId="60E1DA21" w14:textId="77777777" w:rsidR="00F562D6" w:rsidRPr="008065A1" w:rsidRDefault="00F562D6" w:rsidP="002B0EAB">
                  <w:pPr>
                    <w:pStyle w:val="Paragraph"/>
                    <w:spacing w:before="0" w:after="0"/>
                    <w:rPr>
                      <w:rFonts w:cs="Arial"/>
                      <w:i/>
                      <w:iCs/>
                      <w:sz w:val="16"/>
                      <w:szCs w:val="16"/>
                    </w:rPr>
                  </w:pPr>
                  <w:r>
                    <w:rPr>
                      <w:rFonts w:cs="Arial"/>
                      <w:i/>
                      <w:iCs/>
                      <w:color w:val="000000" w:themeColor="text1"/>
                      <w:sz w:val="16"/>
                      <w:szCs w:val="16"/>
                    </w:rPr>
                    <w:t>Allikas: Aruanded, Äriühing</w:t>
                  </w:r>
                </w:p>
              </w:tc>
            </w:tr>
          </w:tbl>
          <w:p w14:paraId="0ACEF6E6" w14:textId="77777777" w:rsidR="00F562D6" w:rsidRPr="00D6671D" w:rsidRDefault="00F562D6" w:rsidP="002B0EAB">
            <w:pPr>
              <w:jc w:val="both"/>
              <w:rPr>
                <w:rFonts w:ascii="Arial" w:hAnsi="Arial" w:cs="Arial"/>
                <w:sz w:val="16"/>
                <w:szCs w:val="16"/>
                <w:lang w:val="et-EE"/>
              </w:rPr>
            </w:pPr>
            <w:r w:rsidRPr="00D6671D">
              <w:rPr>
                <w:rFonts w:ascii="Arial" w:hAnsi="Arial" w:cs="Arial"/>
                <w:sz w:val="16"/>
                <w:szCs w:val="16"/>
                <w:lang w:val="et-EE"/>
              </w:rPr>
              <w:t>Finantssuhtarvude arvutamisel kasutatud valemid:</w:t>
            </w:r>
          </w:p>
          <w:tbl>
            <w:tblPr>
              <w:tblStyle w:val="TableGrid"/>
              <w:tblW w:w="72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ayout w:type="fixed"/>
              <w:tblLook w:val="04A0" w:firstRow="1" w:lastRow="0" w:firstColumn="1" w:lastColumn="0" w:noHBand="0" w:noVBand="1"/>
            </w:tblPr>
            <w:tblGrid>
              <w:gridCol w:w="2672"/>
              <w:gridCol w:w="4587"/>
            </w:tblGrid>
            <w:tr w:rsidR="00F562D6" w:rsidRPr="00CC2AEA" w14:paraId="234609DF" w14:textId="77777777" w:rsidTr="002B0EAB">
              <w:trPr>
                <w:trHeight w:val="170"/>
              </w:trPr>
              <w:tc>
                <w:tcPr>
                  <w:tcW w:w="2672" w:type="dxa"/>
                </w:tcPr>
                <w:p w14:paraId="40E27CE4" w14:textId="77777777" w:rsidR="00F562D6" w:rsidRPr="008065A1" w:rsidRDefault="00F562D6" w:rsidP="002B0EAB">
                  <w:pPr>
                    <w:rPr>
                      <w:rFonts w:ascii="Arial" w:hAnsi="Arial"/>
                      <w:sz w:val="16"/>
                    </w:rPr>
                  </w:pPr>
                  <w:r>
                    <w:rPr>
                      <w:rFonts w:ascii="Arial" w:hAnsi="Arial" w:cs="Arial"/>
                      <w:sz w:val="16"/>
                      <w:szCs w:val="16"/>
                    </w:rPr>
                    <w:t>Brutokasumimarginaal, %</w:t>
                  </w:r>
                </w:p>
              </w:tc>
              <w:tc>
                <w:tcPr>
                  <w:tcW w:w="4587" w:type="dxa"/>
                </w:tcPr>
                <w:p w14:paraId="4BDE1E87" w14:textId="77777777" w:rsidR="00F562D6" w:rsidRPr="008065A1" w:rsidRDefault="00F562D6" w:rsidP="002B0EAB">
                  <w:pPr>
                    <w:rPr>
                      <w:rFonts w:ascii="Arial" w:hAnsi="Arial"/>
                      <w:sz w:val="16"/>
                    </w:rPr>
                  </w:pPr>
                  <w:r>
                    <w:rPr>
                      <w:rFonts w:ascii="Arial" w:hAnsi="Arial" w:cs="Arial"/>
                      <w:sz w:val="16"/>
                      <w:szCs w:val="16"/>
                    </w:rPr>
                    <w:t>Brutokasum / tulud * 100</w:t>
                  </w:r>
                </w:p>
              </w:tc>
            </w:tr>
            <w:tr w:rsidR="00F562D6" w:rsidRPr="00CC2AEA" w14:paraId="26705A92" w14:textId="77777777" w:rsidTr="002B0EAB">
              <w:trPr>
                <w:trHeight w:val="170"/>
              </w:trPr>
              <w:tc>
                <w:tcPr>
                  <w:tcW w:w="2672" w:type="dxa"/>
                </w:tcPr>
                <w:p w14:paraId="50F567E8" w14:textId="77777777" w:rsidR="00F562D6" w:rsidRPr="008065A1" w:rsidRDefault="00F562D6" w:rsidP="002B0EAB">
                  <w:pPr>
                    <w:rPr>
                      <w:rFonts w:ascii="Arial" w:hAnsi="Arial"/>
                      <w:sz w:val="16"/>
                    </w:rPr>
                  </w:pPr>
                  <w:r>
                    <w:rPr>
                      <w:rFonts w:ascii="Arial" w:hAnsi="Arial" w:cs="Arial"/>
                      <w:sz w:val="16"/>
                      <w:szCs w:val="16"/>
                    </w:rPr>
                    <w:t>Amortisatsioonieelse ärikasumi (EBITDA) marginaal, %</w:t>
                  </w:r>
                </w:p>
              </w:tc>
              <w:tc>
                <w:tcPr>
                  <w:tcW w:w="4587" w:type="dxa"/>
                </w:tcPr>
                <w:p w14:paraId="71A01C73" w14:textId="77777777" w:rsidR="00F562D6" w:rsidRPr="008065A1" w:rsidRDefault="00F562D6" w:rsidP="002B0EAB">
                  <w:pPr>
                    <w:rPr>
                      <w:rFonts w:ascii="Arial" w:hAnsi="Arial"/>
                      <w:sz w:val="16"/>
                    </w:rPr>
                  </w:pPr>
                  <w:r>
                    <w:rPr>
                      <w:rFonts w:ascii="Arial" w:hAnsi="Arial" w:cs="Arial"/>
                      <w:sz w:val="16"/>
                      <w:szCs w:val="16"/>
                    </w:rPr>
                    <w:t>EBITDA / tulud * 100</w:t>
                  </w:r>
                </w:p>
              </w:tc>
            </w:tr>
            <w:tr w:rsidR="00F562D6" w:rsidRPr="00CC2AEA" w14:paraId="11204736" w14:textId="77777777" w:rsidTr="002B0EAB">
              <w:trPr>
                <w:trHeight w:val="170"/>
              </w:trPr>
              <w:tc>
                <w:tcPr>
                  <w:tcW w:w="2672" w:type="dxa"/>
                </w:tcPr>
                <w:p w14:paraId="3F4F5101" w14:textId="77777777" w:rsidR="00F562D6" w:rsidRPr="008065A1" w:rsidRDefault="00F562D6" w:rsidP="002B0EAB">
                  <w:pPr>
                    <w:rPr>
                      <w:rFonts w:ascii="Arial" w:hAnsi="Arial"/>
                      <w:sz w:val="16"/>
                    </w:rPr>
                  </w:pPr>
                  <w:r>
                    <w:rPr>
                      <w:rFonts w:ascii="Arial" w:hAnsi="Arial" w:cs="Arial"/>
                      <w:sz w:val="16"/>
                      <w:szCs w:val="16"/>
                    </w:rPr>
                    <w:t>Ärikasumimarginaal, %</w:t>
                  </w:r>
                </w:p>
              </w:tc>
              <w:tc>
                <w:tcPr>
                  <w:tcW w:w="4587" w:type="dxa"/>
                </w:tcPr>
                <w:p w14:paraId="60E37585" w14:textId="77777777" w:rsidR="00F562D6" w:rsidRPr="008065A1" w:rsidRDefault="00F562D6" w:rsidP="002B0EAB">
                  <w:pPr>
                    <w:rPr>
                      <w:rFonts w:ascii="Arial" w:hAnsi="Arial"/>
                      <w:sz w:val="16"/>
                    </w:rPr>
                  </w:pPr>
                  <w:r>
                    <w:rPr>
                      <w:rFonts w:ascii="Arial" w:hAnsi="Arial" w:cs="Arial"/>
                      <w:sz w:val="16"/>
                      <w:szCs w:val="16"/>
                    </w:rPr>
                    <w:t>Ärikasum või -kahjum / tulud * 100</w:t>
                  </w:r>
                </w:p>
              </w:tc>
            </w:tr>
            <w:tr w:rsidR="00F562D6" w:rsidRPr="00CC2AEA" w14:paraId="3B2DC41C" w14:textId="77777777" w:rsidTr="002B0EAB">
              <w:trPr>
                <w:trHeight w:val="170"/>
              </w:trPr>
              <w:tc>
                <w:tcPr>
                  <w:tcW w:w="2672" w:type="dxa"/>
                </w:tcPr>
                <w:p w14:paraId="1E589891" w14:textId="77777777" w:rsidR="00F562D6" w:rsidRPr="008065A1" w:rsidRDefault="00F562D6" w:rsidP="002B0EAB">
                  <w:pPr>
                    <w:rPr>
                      <w:rFonts w:ascii="Arial" w:hAnsi="Arial"/>
                      <w:sz w:val="16"/>
                    </w:rPr>
                  </w:pPr>
                  <w:r>
                    <w:rPr>
                      <w:rFonts w:ascii="Arial" w:hAnsi="Arial" w:cs="Arial"/>
                      <w:sz w:val="16"/>
                      <w:szCs w:val="16"/>
                    </w:rPr>
                    <w:t>Maksueelse kasumi (EBT) marginaal, %</w:t>
                  </w:r>
                </w:p>
              </w:tc>
              <w:tc>
                <w:tcPr>
                  <w:tcW w:w="4587" w:type="dxa"/>
                </w:tcPr>
                <w:p w14:paraId="47E1C41F" w14:textId="77777777" w:rsidR="00F562D6" w:rsidRPr="008065A1" w:rsidRDefault="00F562D6" w:rsidP="002B0EAB">
                  <w:pPr>
                    <w:rPr>
                      <w:rFonts w:ascii="Arial" w:hAnsi="Arial"/>
                      <w:sz w:val="16"/>
                    </w:rPr>
                  </w:pPr>
                  <w:r>
                    <w:rPr>
                      <w:rFonts w:ascii="Arial" w:hAnsi="Arial" w:cs="Arial"/>
                      <w:sz w:val="16"/>
                      <w:szCs w:val="16"/>
                    </w:rPr>
                    <w:t>EBT / tulud * 100</w:t>
                  </w:r>
                </w:p>
              </w:tc>
            </w:tr>
            <w:tr w:rsidR="00F562D6" w:rsidRPr="00CC2AEA" w14:paraId="75172922" w14:textId="77777777" w:rsidTr="002B0EAB">
              <w:trPr>
                <w:trHeight w:val="170"/>
              </w:trPr>
              <w:tc>
                <w:tcPr>
                  <w:tcW w:w="2672" w:type="dxa"/>
                </w:tcPr>
                <w:p w14:paraId="65C940C2" w14:textId="77777777" w:rsidR="00F562D6" w:rsidRPr="008065A1" w:rsidRDefault="00F562D6" w:rsidP="002B0EAB">
                  <w:pPr>
                    <w:rPr>
                      <w:rFonts w:ascii="Arial" w:hAnsi="Arial"/>
                      <w:sz w:val="16"/>
                    </w:rPr>
                  </w:pPr>
                  <w:r>
                    <w:rPr>
                      <w:rFonts w:ascii="Arial" w:hAnsi="Arial" w:cs="Arial"/>
                      <w:sz w:val="16"/>
                      <w:szCs w:val="16"/>
                    </w:rPr>
                    <w:t>Puhaskasumimarginaal, %</w:t>
                  </w:r>
                </w:p>
              </w:tc>
              <w:tc>
                <w:tcPr>
                  <w:tcW w:w="4587" w:type="dxa"/>
                </w:tcPr>
                <w:p w14:paraId="74C64377" w14:textId="77777777" w:rsidR="00F562D6" w:rsidRPr="008065A1" w:rsidRDefault="00F562D6" w:rsidP="002B0EAB">
                  <w:pPr>
                    <w:rPr>
                      <w:rFonts w:ascii="Arial" w:hAnsi="Arial"/>
                      <w:sz w:val="16"/>
                    </w:rPr>
                  </w:pPr>
                  <w:r>
                    <w:rPr>
                      <w:rFonts w:ascii="Arial" w:hAnsi="Arial" w:cs="Arial"/>
                      <w:sz w:val="16"/>
                      <w:szCs w:val="16"/>
                    </w:rPr>
                    <w:t>Puhaskasum või -kahjum / tulud * 100</w:t>
                  </w:r>
                </w:p>
              </w:tc>
            </w:tr>
            <w:tr w:rsidR="00F562D6" w:rsidRPr="006E4666" w14:paraId="6B00529B" w14:textId="77777777" w:rsidTr="002B0EAB">
              <w:trPr>
                <w:trHeight w:val="170"/>
              </w:trPr>
              <w:tc>
                <w:tcPr>
                  <w:tcW w:w="2672" w:type="dxa"/>
                </w:tcPr>
                <w:p w14:paraId="1491F5C4" w14:textId="77777777" w:rsidR="00F562D6" w:rsidRPr="008065A1" w:rsidRDefault="00F562D6" w:rsidP="002B0EAB">
                  <w:pPr>
                    <w:rPr>
                      <w:rFonts w:ascii="Arial" w:hAnsi="Arial"/>
                      <w:sz w:val="16"/>
                    </w:rPr>
                  </w:pPr>
                  <w:r>
                    <w:rPr>
                      <w:rFonts w:ascii="Arial" w:hAnsi="Arial" w:cs="Arial"/>
                      <w:sz w:val="16"/>
                      <w:szCs w:val="16"/>
                    </w:rPr>
                    <w:t>Puhaskasumimarginaali aktsionäride osa, %</w:t>
                  </w:r>
                </w:p>
              </w:tc>
              <w:tc>
                <w:tcPr>
                  <w:tcW w:w="4587" w:type="dxa"/>
                </w:tcPr>
                <w:p w14:paraId="3E8E0FC8" w14:textId="77777777" w:rsidR="00F562D6" w:rsidRPr="008065A1" w:rsidRDefault="00F562D6" w:rsidP="002B0EAB">
                  <w:pPr>
                    <w:rPr>
                      <w:rFonts w:ascii="Arial" w:hAnsi="Arial"/>
                      <w:sz w:val="16"/>
                    </w:rPr>
                  </w:pPr>
                  <w:r>
                    <w:rPr>
                      <w:rFonts w:ascii="Arial" w:hAnsi="Arial" w:cs="Arial"/>
                      <w:sz w:val="16"/>
                      <w:szCs w:val="16"/>
                    </w:rPr>
                    <w:t>Aktsionäride osa puhaskasumis või -kahjumis / tulud * 100</w:t>
                  </w:r>
                </w:p>
              </w:tc>
            </w:tr>
            <w:tr w:rsidR="00F562D6" w:rsidRPr="006E4666" w14:paraId="20548270" w14:textId="77777777" w:rsidTr="002B0EAB">
              <w:trPr>
                <w:trHeight w:val="170"/>
              </w:trPr>
              <w:tc>
                <w:tcPr>
                  <w:tcW w:w="2672" w:type="dxa"/>
                </w:tcPr>
                <w:p w14:paraId="066DF42E" w14:textId="77777777" w:rsidR="00F562D6" w:rsidRPr="008065A1" w:rsidRDefault="00F562D6" w:rsidP="002B0EAB">
                  <w:pPr>
                    <w:rPr>
                      <w:rFonts w:ascii="Arial" w:hAnsi="Arial"/>
                      <w:sz w:val="16"/>
                    </w:rPr>
                  </w:pPr>
                  <w:r>
                    <w:rPr>
                      <w:rFonts w:ascii="Arial" w:hAnsi="Arial" w:cs="Arial"/>
                      <w:sz w:val="16"/>
                      <w:szCs w:val="16"/>
                    </w:rPr>
                    <w:t>Kasum aktsia kohta (EPS)</w:t>
                  </w:r>
                </w:p>
              </w:tc>
              <w:tc>
                <w:tcPr>
                  <w:tcW w:w="4587" w:type="dxa"/>
                </w:tcPr>
                <w:p w14:paraId="433D4388" w14:textId="77777777" w:rsidR="00F562D6" w:rsidRPr="008065A1" w:rsidRDefault="00F562D6" w:rsidP="002B0EAB">
                  <w:pPr>
                    <w:rPr>
                      <w:rFonts w:ascii="Arial" w:hAnsi="Arial"/>
                      <w:sz w:val="16"/>
                    </w:rPr>
                  </w:pPr>
                  <w:r>
                    <w:rPr>
                      <w:rFonts w:ascii="Arial" w:hAnsi="Arial" w:cs="Arial"/>
                      <w:sz w:val="16"/>
                      <w:szCs w:val="16"/>
                    </w:rPr>
                    <w:t xml:space="preserve">Puhaskasum või -kahjum / aktsiate keskmine arv </w:t>
                  </w:r>
                </w:p>
              </w:tc>
            </w:tr>
            <w:tr w:rsidR="00F562D6" w:rsidRPr="006E4666" w14:paraId="501C340C" w14:textId="77777777" w:rsidTr="002B0EAB">
              <w:trPr>
                <w:trHeight w:val="170"/>
              </w:trPr>
              <w:tc>
                <w:tcPr>
                  <w:tcW w:w="2672" w:type="dxa"/>
                </w:tcPr>
                <w:p w14:paraId="651CC7D8" w14:textId="77777777" w:rsidR="00F562D6" w:rsidRPr="008065A1" w:rsidRDefault="00F562D6" w:rsidP="002B0EAB">
                  <w:pPr>
                    <w:rPr>
                      <w:rFonts w:ascii="Arial" w:hAnsi="Arial"/>
                      <w:sz w:val="16"/>
                    </w:rPr>
                  </w:pPr>
                  <w:r>
                    <w:rPr>
                      <w:rFonts w:ascii="Arial" w:hAnsi="Arial" w:cs="Arial"/>
                      <w:sz w:val="16"/>
                      <w:szCs w:val="16"/>
                    </w:rPr>
                    <w:t>Aktsia hinna ja tulukuse suhe (P/E)</w:t>
                  </w:r>
                </w:p>
              </w:tc>
              <w:tc>
                <w:tcPr>
                  <w:tcW w:w="4587" w:type="dxa"/>
                </w:tcPr>
                <w:p w14:paraId="1C2B9C69" w14:textId="77777777" w:rsidR="00F562D6" w:rsidRPr="008065A1" w:rsidRDefault="00F562D6" w:rsidP="002B0EAB">
                  <w:pPr>
                    <w:rPr>
                      <w:rFonts w:ascii="Arial" w:hAnsi="Arial"/>
                      <w:sz w:val="16"/>
                    </w:rPr>
                  </w:pPr>
                  <w:r>
                    <w:rPr>
                      <w:rFonts w:ascii="Arial" w:hAnsi="Arial" w:cs="Arial"/>
                      <w:sz w:val="16"/>
                      <w:szCs w:val="16"/>
                    </w:rPr>
                    <w:t>Aktsia sulgemishind / kasum aktsia kohta</w:t>
                  </w:r>
                </w:p>
              </w:tc>
            </w:tr>
            <w:tr w:rsidR="00F562D6" w:rsidRPr="00CC2AEA" w14:paraId="47891FCF" w14:textId="77777777" w:rsidTr="002B0EAB">
              <w:trPr>
                <w:trHeight w:val="170"/>
              </w:trPr>
              <w:tc>
                <w:tcPr>
                  <w:tcW w:w="2672" w:type="dxa"/>
                </w:tcPr>
                <w:p w14:paraId="65058A45" w14:textId="77777777" w:rsidR="00F562D6" w:rsidRPr="008065A1" w:rsidRDefault="00F562D6" w:rsidP="002B0EAB">
                  <w:pPr>
                    <w:rPr>
                      <w:rFonts w:ascii="Arial" w:hAnsi="Arial"/>
                      <w:sz w:val="16"/>
                    </w:rPr>
                  </w:pPr>
                  <w:r>
                    <w:rPr>
                      <w:rFonts w:ascii="Arial" w:hAnsi="Arial" w:cs="Arial"/>
                      <w:sz w:val="16"/>
                      <w:szCs w:val="16"/>
                    </w:rPr>
                    <w:t>Omakapitali osatähtsus, %</w:t>
                  </w:r>
                </w:p>
              </w:tc>
              <w:tc>
                <w:tcPr>
                  <w:tcW w:w="4587" w:type="dxa"/>
                </w:tcPr>
                <w:p w14:paraId="20967812" w14:textId="77777777" w:rsidR="00F562D6" w:rsidRPr="008065A1" w:rsidRDefault="00F562D6" w:rsidP="002B0EAB">
                  <w:pPr>
                    <w:rPr>
                      <w:rFonts w:ascii="Arial" w:hAnsi="Arial"/>
                      <w:sz w:val="16"/>
                    </w:rPr>
                  </w:pPr>
                  <w:r>
                    <w:rPr>
                      <w:rFonts w:ascii="Arial" w:hAnsi="Arial" w:cs="Arial"/>
                      <w:sz w:val="16"/>
                      <w:szCs w:val="16"/>
                    </w:rPr>
                    <w:t>Omakapital / varad kokku * 100</w:t>
                  </w:r>
                </w:p>
              </w:tc>
            </w:tr>
            <w:tr w:rsidR="00F562D6" w:rsidRPr="00CC2AEA" w14:paraId="1F0A9D21" w14:textId="77777777" w:rsidTr="002B0EAB">
              <w:trPr>
                <w:trHeight w:val="170"/>
              </w:trPr>
              <w:tc>
                <w:tcPr>
                  <w:tcW w:w="2672" w:type="dxa"/>
                </w:tcPr>
                <w:p w14:paraId="729616CC" w14:textId="77777777" w:rsidR="00F562D6" w:rsidRPr="008065A1" w:rsidRDefault="00F562D6" w:rsidP="002B0EAB">
                  <w:pPr>
                    <w:rPr>
                      <w:rFonts w:ascii="Arial" w:hAnsi="Arial"/>
                      <w:sz w:val="16"/>
                    </w:rPr>
                  </w:pPr>
                  <w:r>
                    <w:rPr>
                      <w:rFonts w:ascii="Arial" w:hAnsi="Arial" w:cs="Arial"/>
                      <w:sz w:val="16"/>
                      <w:szCs w:val="16"/>
                    </w:rPr>
                    <w:t xml:space="preserve">Võla ja omakapitali suhe, % </w:t>
                  </w:r>
                </w:p>
              </w:tc>
              <w:tc>
                <w:tcPr>
                  <w:tcW w:w="4587" w:type="dxa"/>
                </w:tcPr>
                <w:p w14:paraId="02F57EB5" w14:textId="77777777" w:rsidR="00F562D6" w:rsidRPr="008065A1" w:rsidRDefault="00F562D6" w:rsidP="002B0EAB">
                  <w:pPr>
                    <w:rPr>
                      <w:rFonts w:ascii="Arial" w:hAnsi="Arial"/>
                      <w:sz w:val="16"/>
                    </w:rPr>
                  </w:pPr>
                  <w:r>
                    <w:rPr>
                      <w:rFonts w:ascii="Arial" w:hAnsi="Arial" w:cs="Arial"/>
                      <w:sz w:val="16"/>
                      <w:szCs w:val="16"/>
                    </w:rPr>
                    <w:t>Intressi kandvad kohustused / omakapital * 100</w:t>
                  </w:r>
                </w:p>
              </w:tc>
            </w:tr>
            <w:tr w:rsidR="00F562D6" w:rsidRPr="006E4666" w14:paraId="77AC1497" w14:textId="77777777" w:rsidTr="002B0EAB">
              <w:trPr>
                <w:trHeight w:val="170"/>
              </w:trPr>
              <w:tc>
                <w:tcPr>
                  <w:tcW w:w="2672" w:type="dxa"/>
                </w:tcPr>
                <w:p w14:paraId="753AB761" w14:textId="77777777" w:rsidR="00F562D6" w:rsidRPr="008065A1" w:rsidRDefault="00F562D6" w:rsidP="002B0EAB">
                  <w:pPr>
                    <w:rPr>
                      <w:rFonts w:ascii="Arial" w:hAnsi="Arial"/>
                      <w:sz w:val="16"/>
                    </w:rPr>
                  </w:pPr>
                  <w:r>
                    <w:rPr>
                      <w:rFonts w:ascii="Arial" w:hAnsi="Arial" w:cs="Arial"/>
                      <w:sz w:val="16"/>
                      <w:szCs w:val="16"/>
                    </w:rPr>
                    <w:t>Netovõla ja omakapitali suhe, %</w:t>
                  </w:r>
                </w:p>
              </w:tc>
              <w:tc>
                <w:tcPr>
                  <w:tcW w:w="4587" w:type="dxa"/>
                </w:tcPr>
                <w:p w14:paraId="689A0483" w14:textId="77777777" w:rsidR="00F562D6" w:rsidRPr="008065A1" w:rsidRDefault="00F562D6" w:rsidP="002B0EAB">
                  <w:pPr>
                    <w:rPr>
                      <w:rFonts w:ascii="Arial" w:hAnsi="Arial"/>
                      <w:sz w:val="16"/>
                    </w:rPr>
                  </w:pPr>
                  <w:r>
                    <w:rPr>
                      <w:rFonts w:ascii="Arial" w:hAnsi="Arial" w:cs="Arial"/>
                      <w:sz w:val="16"/>
                      <w:szCs w:val="16"/>
                    </w:rPr>
                    <w:t>(Intressi kandvad kohustused - raha ja raha ekvivalendid) / (intressi kandvad kohustused - raha ja raha ekvivalendid + omakapital) * 100</w:t>
                  </w:r>
                </w:p>
              </w:tc>
            </w:tr>
            <w:tr w:rsidR="00F562D6" w:rsidRPr="00CC2AEA" w14:paraId="6321FD0F" w14:textId="77777777" w:rsidTr="002B0EAB">
              <w:trPr>
                <w:trHeight w:val="170"/>
              </w:trPr>
              <w:tc>
                <w:tcPr>
                  <w:tcW w:w="2672" w:type="dxa"/>
                </w:tcPr>
                <w:p w14:paraId="1F9EE07D" w14:textId="77777777" w:rsidR="00F562D6" w:rsidRPr="008065A1" w:rsidRDefault="00F562D6" w:rsidP="002B0EAB">
                  <w:pPr>
                    <w:rPr>
                      <w:rFonts w:ascii="Arial" w:hAnsi="Arial"/>
                      <w:sz w:val="16"/>
                    </w:rPr>
                  </w:pPr>
                  <w:r>
                    <w:rPr>
                      <w:rFonts w:ascii="Arial" w:hAnsi="Arial" w:cs="Arial"/>
                      <w:sz w:val="16"/>
                      <w:szCs w:val="16"/>
                    </w:rPr>
                    <w:t>Võla ja EBITDA suhe</w:t>
                  </w:r>
                </w:p>
              </w:tc>
              <w:tc>
                <w:tcPr>
                  <w:tcW w:w="4587" w:type="dxa"/>
                </w:tcPr>
                <w:p w14:paraId="2D16EA29" w14:textId="77777777" w:rsidR="00F562D6" w:rsidRPr="008065A1" w:rsidRDefault="00F562D6" w:rsidP="002B0EAB">
                  <w:pPr>
                    <w:rPr>
                      <w:rFonts w:ascii="Arial" w:hAnsi="Arial"/>
                      <w:sz w:val="16"/>
                    </w:rPr>
                  </w:pPr>
                  <w:r>
                    <w:rPr>
                      <w:rFonts w:ascii="Arial" w:hAnsi="Arial" w:cs="Arial"/>
                      <w:sz w:val="16"/>
                      <w:szCs w:val="16"/>
                    </w:rPr>
                    <w:t>Intressi kandvad kohustused / EBITDA</w:t>
                  </w:r>
                </w:p>
              </w:tc>
            </w:tr>
            <w:tr w:rsidR="00F562D6" w:rsidRPr="00CC2AEA" w14:paraId="1FC2C557" w14:textId="77777777" w:rsidTr="002B0EAB">
              <w:trPr>
                <w:trHeight w:val="170"/>
              </w:trPr>
              <w:tc>
                <w:tcPr>
                  <w:tcW w:w="2672" w:type="dxa"/>
                </w:tcPr>
                <w:p w14:paraId="29F6244F" w14:textId="77777777" w:rsidR="00F562D6" w:rsidRPr="008065A1" w:rsidRDefault="00F562D6" w:rsidP="002B0EAB">
                  <w:pPr>
                    <w:rPr>
                      <w:rFonts w:ascii="Arial" w:hAnsi="Arial"/>
                      <w:sz w:val="16"/>
                    </w:rPr>
                  </w:pPr>
                  <w:r>
                    <w:rPr>
                      <w:rFonts w:ascii="Arial" w:hAnsi="Arial" w:cs="Arial"/>
                      <w:sz w:val="16"/>
                      <w:szCs w:val="16"/>
                    </w:rPr>
                    <w:t>Lühiajaliste kohustuste kattekordaja</w:t>
                  </w:r>
                </w:p>
              </w:tc>
              <w:tc>
                <w:tcPr>
                  <w:tcW w:w="4587" w:type="dxa"/>
                </w:tcPr>
                <w:p w14:paraId="62DBA7D7" w14:textId="77777777" w:rsidR="00F562D6" w:rsidRPr="008065A1" w:rsidRDefault="00F562D6" w:rsidP="002B0EAB">
                  <w:pPr>
                    <w:rPr>
                      <w:rFonts w:ascii="Arial" w:hAnsi="Arial"/>
                      <w:sz w:val="16"/>
                    </w:rPr>
                  </w:pPr>
                  <w:r>
                    <w:rPr>
                      <w:rFonts w:ascii="Arial" w:hAnsi="Arial" w:cs="Arial"/>
                      <w:sz w:val="16"/>
                      <w:szCs w:val="16"/>
                    </w:rPr>
                    <w:t>Käibevara / lühiajalised kohustused</w:t>
                  </w:r>
                </w:p>
              </w:tc>
            </w:tr>
            <w:tr w:rsidR="00F562D6" w:rsidRPr="006E4666" w14:paraId="1D71130A" w14:textId="77777777" w:rsidTr="002B0EAB">
              <w:trPr>
                <w:trHeight w:val="170"/>
              </w:trPr>
              <w:tc>
                <w:tcPr>
                  <w:tcW w:w="2672" w:type="dxa"/>
                </w:tcPr>
                <w:p w14:paraId="0E19531B" w14:textId="77777777" w:rsidR="00F562D6" w:rsidRPr="008065A1" w:rsidRDefault="00F562D6" w:rsidP="002B0EAB">
                  <w:pPr>
                    <w:rPr>
                      <w:rFonts w:ascii="Arial" w:hAnsi="Arial"/>
                      <w:sz w:val="16"/>
                    </w:rPr>
                  </w:pPr>
                  <w:r>
                    <w:rPr>
                      <w:rFonts w:ascii="Arial" w:hAnsi="Arial" w:cs="Arial"/>
                      <w:sz w:val="16"/>
                      <w:szCs w:val="16"/>
                    </w:rPr>
                    <w:lastRenderedPageBreak/>
                    <w:t>Vara puhasrentaablus, %</w:t>
                  </w:r>
                </w:p>
              </w:tc>
              <w:tc>
                <w:tcPr>
                  <w:tcW w:w="4587" w:type="dxa"/>
                </w:tcPr>
                <w:p w14:paraId="7C95E4A2" w14:textId="77777777" w:rsidR="00F562D6" w:rsidRPr="008065A1" w:rsidRDefault="00F562D6" w:rsidP="002B0EAB">
                  <w:pPr>
                    <w:rPr>
                      <w:rFonts w:ascii="Arial" w:hAnsi="Arial"/>
                      <w:sz w:val="16"/>
                    </w:rPr>
                  </w:pPr>
                  <w:r>
                    <w:rPr>
                      <w:rFonts w:ascii="Arial" w:hAnsi="Arial" w:cs="Arial"/>
                      <w:sz w:val="16"/>
                      <w:szCs w:val="16"/>
                    </w:rPr>
                    <w:t>Puhaskasum või -kahjum / keskmine koguvara * 100</w:t>
                  </w:r>
                </w:p>
              </w:tc>
            </w:tr>
            <w:tr w:rsidR="00F562D6" w:rsidRPr="006E4666" w14:paraId="5A2A2D2D" w14:textId="77777777" w:rsidTr="002B0EAB">
              <w:trPr>
                <w:trHeight w:val="170"/>
              </w:trPr>
              <w:tc>
                <w:tcPr>
                  <w:tcW w:w="2672" w:type="dxa"/>
                </w:tcPr>
                <w:p w14:paraId="15F42799" w14:textId="77777777" w:rsidR="00F562D6" w:rsidRPr="008065A1" w:rsidRDefault="00F562D6" w:rsidP="002B0EAB">
                  <w:pPr>
                    <w:rPr>
                      <w:rFonts w:ascii="Arial" w:hAnsi="Arial"/>
                      <w:sz w:val="16"/>
                    </w:rPr>
                  </w:pPr>
                  <w:r>
                    <w:rPr>
                      <w:rFonts w:ascii="Arial" w:hAnsi="Arial" w:cs="Arial"/>
                      <w:sz w:val="16"/>
                      <w:szCs w:val="16"/>
                    </w:rPr>
                    <w:t>Omakapitali puhasrentaablus, %</w:t>
                  </w:r>
                </w:p>
              </w:tc>
              <w:tc>
                <w:tcPr>
                  <w:tcW w:w="4587" w:type="dxa"/>
                </w:tcPr>
                <w:p w14:paraId="529FDE90" w14:textId="77777777" w:rsidR="00F562D6" w:rsidRPr="008065A1" w:rsidRDefault="00F562D6" w:rsidP="002B0EAB">
                  <w:pPr>
                    <w:rPr>
                      <w:rFonts w:ascii="Arial" w:hAnsi="Arial"/>
                      <w:sz w:val="16"/>
                    </w:rPr>
                  </w:pPr>
                  <w:r>
                    <w:rPr>
                      <w:rFonts w:ascii="Arial" w:hAnsi="Arial" w:cs="Arial"/>
                      <w:sz w:val="16"/>
                      <w:szCs w:val="16"/>
                    </w:rPr>
                    <w:t>Aktsionäride osa puhaskasumis või -kahjumis / keskmine omakapital * 100</w:t>
                  </w:r>
                </w:p>
              </w:tc>
            </w:tr>
          </w:tbl>
          <w:p w14:paraId="1F1402A6" w14:textId="77777777" w:rsidR="00F562D6" w:rsidRPr="00D6671D" w:rsidRDefault="00F562D6" w:rsidP="002B0EAB">
            <w:pPr>
              <w:jc w:val="both"/>
              <w:rPr>
                <w:rFonts w:ascii="Arial" w:hAnsi="Arial" w:cs="Arial"/>
                <w:sz w:val="16"/>
                <w:szCs w:val="16"/>
                <w:lang w:val="fi-FI"/>
              </w:rPr>
            </w:pPr>
          </w:p>
        </w:tc>
      </w:tr>
      <w:tr w:rsidR="00F562D6" w:rsidRPr="00CC2AEA" w14:paraId="4BA463A4" w14:textId="77777777" w:rsidTr="002B0EAB">
        <w:tc>
          <w:tcPr>
            <w:tcW w:w="714" w:type="dxa"/>
            <w:tcBorders>
              <w:left w:val="single" w:sz="4" w:space="0" w:color="BFBFBF" w:themeColor="background1" w:themeShade="BF"/>
            </w:tcBorders>
          </w:tcPr>
          <w:p w14:paraId="3673BC16" w14:textId="77777777" w:rsidR="00F562D6" w:rsidRPr="00CC2AEA" w:rsidRDefault="00F562D6" w:rsidP="002B0EAB">
            <w:pPr>
              <w:rPr>
                <w:rFonts w:ascii="Arial" w:hAnsi="Arial" w:cs="Arial"/>
                <w:sz w:val="16"/>
                <w:szCs w:val="16"/>
              </w:rPr>
            </w:pPr>
            <w:r>
              <w:rPr>
                <w:rFonts w:ascii="Arial" w:hAnsi="Arial" w:cs="Arial"/>
                <w:sz w:val="16"/>
                <w:szCs w:val="16"/>
              </w:rPr>
              <w:lastRenderedPageBreak/>
              <w:t>B.8</w:t>
            </w:r>
          </w:p>
        </w:tc>
        <w:tc>
          <w:tcPr>
            <w:tcW w:w="1554" w:type="dxa"/>
          </w:tcPr>
          <w:p w14:paraId="110370C9" w14:textId="77777777" w:rsidR="00F562D6" w:rsidRPr="00CC2AEA" w:rsidRDefault="00F562D6" w:rsidP="002B0EAB">
            <w:pPr>
              <w:rPr>
                <w:rFonts w:ascii="Arial" w:hAnsi="Arial" w:cs="Arial"/>
                <w:sz w:val="16"/>
                <w:szCs w:val="16"/>
              </w:rPr>
            </w:pPr>
            <w:r>
              <w:rPr>
                <w:rFonts w:ascii="Arial" w:hAnsi="Arial" w:cs="Arial"/>
                <w:sz w:val="16"/>
                <w:szCs w:val="16"/>
              </w:rPr>
              <w:t xml:space="preserve">Valitud peamine </w:t>
            </w:r>
            <w:r>
              <w:rPr>
                <w:rFonts w:ascii="Arial" w:hAnsi="Arial" w:cs="Arial"/>
                <w:i/>
                <w:iCs/>
                <w:sz w:val="16"/>
                <w:szCs w:val="16"/>
              </w:rPr>
              <w:t>pro forma</w:t>
            </w:r>
            <w:r>
              <w:rPr>
                <w:rFonts w:ascii="Arial" w:hAnsi="Arial" w:cs="Arial"/>
                <w:sz w:val="16"/>
                <w:szCs w:val="16"/>
              </w:rPr>
              <w:t xml:space="preserve"> finantsteave</w:t>
            </w:r>
          </w:p>
        </w:tc>
        <w:tc>
          <w:tcPr>
            <w:tcW w:w="7484" w:type="dxa"/>
            <w:tcBorders>
              <w:right w:val="single" w:sz="4" w:space="0" w:color="BFBFBF" w:themeColor="background1" w:themeShade="BF"/>
            </w:tcBorders>
          </w:tcPr>
          <w:p w14:paraId="4C0A8BDC" w14:textId="77777777" w:rsidR="00F562D6" w:rsidRPr="00CC2AEA" w:rsidRDefault="00F562D6" w:rsidP="002B0EAB">
            <w:pPr>
              <w:rPr>
                <w:rFonts w:ascii="Arial" w:hAnsi="Arial" w:cs="Arial"/>
                <w:sz w:val="16"/>
                <w:szCs w:val="16"/>
              </w:rPr>
            </w:pPr>
            <w:r>
              <w:rPr>
                <w:rFonts w:ascii="Arial" w:hAnsi="Arial" w:cs="Arial"/>
                <w:sz w:val="16"/>
                <w:szCs w:val="16"/>
              </w:rPr>
              <w:t xml:space="preserve">Ei ole kohaldatav. </w:t>
            </w:r>
          </w:p>
        </w:tc>
      </w:tr>
      <w:tr w:rsidR="00F562D6" w:rsidRPr="006E4666" w14:paraId="462F93C1" w14:textId="77777777" w:rsidTr="002B0EAB">
        <w:tc>
          <w:tcPr>
            <w:tcW w:w="714" w:type="dxa"/>
            <w:tcBorders>
              <w:left w:val="single" w:sz="4" w:space="0" w:color="BFBFBF" w:themeColor="background1" w:themeShade="BF"/>
            </w:tcBorders>
          </w:tcPr>
          <w:p w14:paraId="7C8F79EB" w14:textId="77777777" w:rsidR="00F562D6" w:rsidRPr="00CC2AEA" w:rsidRDefault="00F562D6" w:rsidP="002B0EAB">
            <w:pPr>
              <w:rPr>
                <w:rFonts w:ascii="Arial" w:hAnsi="Arial" w:cs="Arial"/>
                <w:sz w:val="16"/>
                <w:szCs w:val="16"/>
              </w:rPr>
            </w:pPr>
            <w:r>
              <w:rPr>
                <w:rFonts w:ascii="Arial" w:hAnsi="Arial" w:cs="Arial"/>
                <w:sz w:val="16"/>
                <w:szCs w:val="16"/>
              </w:rPr>
              <w:t>B.9</w:t>
            </w:r>
          </w:p>
        </w:tc>
        <w:tc>
          <w:tcPr>
            <w:tcW w:w="1554" w:type="dxa"/>
          </w:tcPr>
          <w:p w14:paraId="2745296E" w14:textId="77777777" w:rsidR="00F562D6" w:rsidRPr="00CC2AEA" w:rsidRDefault="00F562D6" w:rsidP="002B0EAB">
            <w:pPr>
              <w:rPr>
                <w:rFonts w:ascii="Arial" w:hAnsi="Arial" w:cs="Arial"/>
                <w:sz w:val="16"/>
                <w:szCs w:val="16"/>
              </w:rPr>
            </w:pPr>
            <w:r>
              <w:rPr>
                <w:rFonts w:ascii="Arial" w:hAnsi="Arial" w:cs="Arial"/>
                <w:sz w:val="16"/>
                <w:szCs w:val="16"/>
              </w:rPr>
              <w:t>Kasumiprognoos või -hinnang</w:t>
            </w:r>
          </w:p>
        </w:tc>
        <w:tc>
          <w:tcPr>
            <w:tcW w:w="7484" w:type="dxa"/>
            <w:tcBorders>
              <w:right w:val="single" w:sz="4" w:space="0" w:color="BFBFBF" w:themeColor="background1" w:themeShade="BF"/>
            </w:tcBorders>
          </w:tcPr>
          <w:p w14:paraId="23531A95" w14:textId="77777777" w:rsidR="00F562D6" w:rsidRPr="00D6671D" w:rsidRDefault="00F562D6" w:rsidP="002B0EAB">
            <w:pPr>
              <w:jc w:val="both"/>
              <w:rPr>
                <w:rFonts w:ascii="Arial" w:hAnsi="Arial" w:cs="Arial"/>
                <w:sz w:val="16"/>
                <w:szCs w:val="16"/>
                <w:lang w:val="fi-FI"/>
              </w:rPr>
            </w:pPr>
            <w:r w:rsidRPr="00D6671D">
              <w:rPr>
                <w:rFonts w:ascii="Arial" w:hAnsi="Arial" w:cs="Arial"/>
                <w:sz w:val="16"/>
                <w:szCs w:val="16"/>
                <w:lang w:val="fi-FI"/>
              </w:rPr>
              <w:t xml:space="preserve">Prospekti kuupäeva seisuga ei ole Äriühing kasumiprognoosi ega -hinnangut avaldanud. </w:t>
            </w:r>
          </w:p>
        </w:tc>
      </w:tr>
      <w:tr w:rsidR="00F562D6" w:rsidRPr="006E4666" w14:paraId="19298F06" w14:textId="77777777" w:rsidTr="002B0EAB">
        <w:tc>
          <w:tcPr>
            <w:tcW w:w="714" w:type="dxa"/>
            <w:tcBorders>
              <w:left w:val="single" w:sz="4" w:space="0" w:color="BFBFBF" w:themeColor="background1" w:themeShade="BF"/>
            </w:tcBorders>
          </w:tcPr>
          <w:p w14:paraId="2A4433D9" w14:textId="77777777" w:rsidR="00F562D6" w:rsidRPr="00CC2AEA" w:rsidRDefault="00F562D6" w:rsidP="002B0EAB">
            <w:pPr>
              <w:rPr>
                <w:rFonts w:ascii="Arial" w:hAnsi="Arial" w:cs="Arial"/>
                <w:sz w:val="16"/>
                <w:szCs w:val="16"/>
              </w:rPr>
            </w:pPr>
            <w:r>
              <w:rPr>
                <w:rFonts w:ascii="Arial" w:hAnsi="Arial" w:cs="Arial"/>
                <w:sz w:val="16"/>
                <w:szCs w:val="16"/>
              </w:rPr>
              <w:t>B.10</w:t>
            </w:r>
          </w:p>
        </w:tc>
        <w:tc>
          <w:tcPr>
            <w:tcW w:w="1554" w:type="dxa"/>
          </w:tcPr>
          <w:p w14:paraId="1585D26B" w14:textId="77777777" w:rsidR="00F562D6" w:rsidRPr="00CC2AEA" w:rsidRDefault="00F562D6" w:rsidP="002B0EAB">
            <w:pPr>
              <w:rPr>
                <w:rFonts w:ascii="Arial" w:hAnsi="Arial" w:cs="Arial"/>
                <w:sz w:val="16"/>
                <w:szCs w:val="16"/>
              </w:rPr>
            </w:pPr>
            <w:r>
              <w:rPr>
                <w:rFonts w:ascii="Arial" w:hAnsi="Arial" w:cs="Arial"/>
                <w:sz w:val="16"/>
                <w:szCs w:val="16"/>
              </w:rPr>
              <w:t>Eelnevate perioodide finantsteavet käsitlevas auditiaruandes esitatud märkused</w:t>
            </w:r>
          </w:p>
        </w:tc>
        <w:tc>
          <w:tcPr>
            <w:tcW w:w="7484" w:type="dxa"/>
            <w:tcBorders>
              <w:right w:val="single" w:sz="4" w:space="0" w:color="BFBFBF" w:themeColor="background1" w:themeShade="BF"/>
            </w:tcBorders>
          </w:tcPr>
          <w:p w14:paraId="49E60A65" w14:textId="77777777" w:rsidR="00F562D6" w:rsidRPr="00D6671D" w:rsidRDefault="00F562D6" w:rsidP="002B0EAB">
            <w:pPr>
              <w:jc w:val="both"/>
              <w:rPr>
                <w:rFonts w:ascii="Arial" w:hAnsi="Arial" w:cs="Arial"/>
                <w:sz w:val="16"/>
                <w:szCs w:val="16"/>
                <w:lang w:val="fi-FI"/>
              </w:rPr>
            </w:pPr>
            <w:r w:rsidRPr="00D6671D">
              <w:rPr>
                <w:rFonts w:ascii="Arial" w:hAnsi="Arial" w:cs="Arial"/>
                <w:sz w:val="16"/>
                <w:szCs w:val="16"/>
                <w:lang w:val="fi-FI"/>
              </w:rPr>
              <w:t>Äriühingu 2015. ja 2016. aasta auditeeritud konsolideeritud raamatupidamise aastaaruannete kohta koostatud auditiaruanded ei sisalda märkusi.</w:t>
            </w:r>
          </w:p>
        </w:tc>
      </w:tr>
      <w:tr w:rsidR="00F562D6" w:rsidRPr="006E4666" w14:paraId="63094E58" w14:textId="77777777" w:rsidTr="002B0EAB">
        <w:tc>
          <w:tcPr>
            <w:tcW w:w="714" w:type="dxa"/>
            <w:tcBorders>
              <w:left w:val="single" w:sz="4" w:space="0" w:color="BFBFBF" w:themeColor="background1" w:themeShade="BF"/>
              <w:bottom w:val="single" w:sz="4" w:space="0" w:color="808080" w:themeColor="text1" w:themeTint="7F"/>
            </w:tcBorders>
          </w:tcPr>
          <w:p w14:paraId="6A6093D9" w14:textId="77777777" w:rsidR="00F562D6" w:rsidRPr="00CC2AEA" w:rsidRDefault="00F562D6" w:rsidP="002B0EAB">
            <w:pPr>
              <w:rPr>
                <w:rFonts w:ascii="Arial" w:hAnsi="Arial" w:cs="Arial"/>
                <w:sz w:val="16"/>
                <w:szCs w:val="16"/>
              </w:rPr>
            </w:pPr>
            <w:r>
              <w:rPr>
                <w:rFonts w:ascii="Arial" w:hAnsi="Arial" w:cs="Arial"/>
                <w:sz w:val="16"/>
                <w:szCs w:val="16"/>
              </w:rPr>
              <w:t>B.11</w:t>
            </w:r>
          </w:p>
        </w:tc>
        <w:tc>
          <w:tcPr>
            <w:tcW w:w="1554" w:type="dxa"/>
            <w:tcBorders>
              <w:bottom w:val="single" w:sz="4" w:space="0" w:color="808080" w:themeColor="text1" w:themeTint="7F"/>
            </w:tcBorders>
          </w:tcPr>
          <w:p w14:paraId="1614CE4A" w14:textId="77777777" w:rsidR="00F562D6" w:rsidRPr="00CC2AEA" w:rsidRDefault="00F562D6" w:rsidP="002B0EAB">
            <w:pPr>
              <w:rPr>
                <w:rFonts w:ascii="Arial" w:hAnsi="Arial" w:cs="Arial"/>
                <w:sz w:val="16"/>
                <w:szCs w:val="16"/>
              </w:rPr>
            </w:pPr>
            <w:r>
              <w:rPr>
                <w:rFonts w:ascii="Arial" w:hAnsi="Arial" w:cs="Arial"/>
                <w:sz w:val="16"/>
                <w:szCs w:val="16"/>
              </w:rPr>
              <w:t>Käibekapital</w:t>
            </w:r>
          </w:p>
        </w:tc>
        <w:tc>
          <w:tcPr>
            <w:tcW w:w="7484" w:type="dxa"/>
            <w:tcBorders>
              <w:bottom w:val="single" w:sz="4" w:space="0" w:color="808080" w:themeColor="text1" w:themeTint="7F"/>
              <w:right w:val="single" w:sz="4" w:space="0" w:color="BFBFBF" w:themeColor="background1" w:themeShade="BF"/>
            </w:tcBorders>
          </w:tcPr>
          <w:p w14:paraId="373ABA49" w14:textId="77777777" w:rsidR="00F562D6" w:rsidRPr="00D6671D" w:rsidRDefault="00F562D6" w:rsidP="002B0EAB">
            <w:pPr>
              <w:jc w:val="both"/>
              <w:rPr>
                <w:rFonts w:ascii="Arial" w:hAnsi="Arial" w:cs="Arial"/>
                <w:sz w:val="16"/>
                <w:szCs w:val="16"/>
                <w:lang w:val="fi-FI"/>
              </w:rPr>
            </w:pPr>
            <w:r w:rsidRPr="00D6671D">
              <w:rPr>
                <w:rFonts w:ascii="Arial" w:hAnsi="Arial" w:cs="Arial"/>
                <w:sz w:val="16"/>
                <w:szCs w:val="16"/>
                <w:lang w:val="fi-FI"/>
              </w:rPr>
              <w:t>Juhatuse hinnangul on Grupi käibekapital piisav kõigi kohustuste täitmiseks vähemalt 12 kuu jooksul pärast käesoleva Prospekti kuupäeva.</w:t>
            </w:r>
          </w:p>
        </w:tc>
      </w:tr>
      <w:tr w:rsidR="00F562D6" w:rsidRPr="00CC2AEA" w14:paraId="1C9953A2" w14:textId="77777777" w:rsidTr="002B0EAB">
        <w:tc>
          <w:tcPr>
            <w:tcW w:w="9752" w:type="dxa"/>
            <w:gridSpan w:val="3"/>
            <w:tcBorders>
              <w:left w:val="single" w:sz="4" w:space="0" w:color="BFBFBF" w:themeColor="background1" w:themeShade="BF"/>
              <w:right w:val="single" w:sz="4" w:space="0" w:color="BFBFBF" w:themeColor="background1" w:themeShade="BF"/>
            </w:tcBorders>
            <w:shd w:val="clear" w:color="auto" w:fill="C8501E"/>
          </w:tcPr>
          <w:p w14:paraId="770F7F46" w14:textId="77777777" w:rsidR="00F562D6" w:rsidRPr="00D6671D" w:rsidRDefault="00F562D6" w:rsidP="002B0EAB">
            <w:pPr>
              <w:jc w:val="center"/>
              <w:rPr>
                <w:rFonts w:ascii="Arial" w:hAnsi="Arial" w:cs="Arial"/>
                <w:b/>
                <w:color w:val="FFFFFF" w:themeColor="background1"/>
                <w:lang w:val="fi-FI"/>
              </w:rPr>
            </w:pPr>
          </w:p>
          <w:p w14:paraId="2892A38E" w14:textId="77777777" w:rsidR="00F562D6" w:rsidRPr="00CC2AEA" w:rsidRDefault="00F562D6" w:rsidP="002B0EAB">
            <w:pPr>
              <w:jc w:val="center"/>
              <w:rPr>
                <w:rFonts w:ascii="Arial" w:hAnsi="Arial" w:cs="Arial"/>
                <w:b/>
                <w:bCs/>
                <w:color w:val="FFFFFF" w:themeColor="background1"/>
              </w:rPr>
            </w:pPr>
            <w:r>
              <w:rPr>
                <w:rFonts w:ascii="Arial" w:hAnsi="Arial" w:cs="Arial"/>
                <w:b/>
                <w:bCs/>
                <w:color w:val="FFFFFF" w:themeColor="background1"/>
              </w:rPr>
              <w:t>C jagu — väärtpaberid</w:t>
            </w:r>
          </w:p>
        </w:tc>
      </w:tr>
      <w:tr w:rsidR="00F562D6" w:rsidRPr="00CC2AEA" w14:paraId="00038313" w14:textId="77777777" w:rsidTr="002B0EAB">
        <w:tc>
          <w:tcPr>
            <w:tcW w:w="714" w:type="dxa"/>
            <w:tcBorders>
              <w:left w:val="single" w:sz="4" w:space="0" w:color="BFBFBF" w:themeColor="background1" w:themeShade="BF"/>
            </w:tcBorders>
          </w:tcPr>
          <w:p w14:paraId="412A278C" w14:textId="77777777" w:rsidR="00F562D6" w:rsidRPr="00CC2AEA" w:rsidRDefault="00F562D6" w:rsidP="002B0EAB">
            <w:pPr>
              <w:rPr>
                <w:rFonts w:ascii="Arial" w:hAnsi="Arial" w:cs="Arial"/>
                <w:i/>
                <w:iCs/>
                <w:sz w:val="16"/>
                <w:szCs w:val="16"/>
              </w:rPr>
            </w:pPr>
            <w:r>
              <w:rPr>
                <w:rFonts w:ascii="Arial" w:hAnsi="Arial" w:cs="Arial"/>
                <w:i/>
                <w:iCs/>
                <w:sz w:val="16"/>
                <w:szCs w:val="16"/>
              </w:rPr>
              <w:t>Ele-ment</w:t>
            </w:r>
          </w:p>
        </w:tc>
        <w:tc>
          <w:tcPr>
            <w:tcW w:w="1554" w:type="dxa"/>
          </w:tcPr>
          <w:p w14:paraId="093BFA75" w14:textId="77777777" w:rsidR="00F562D6" w:rsidRPr="00CC2AEA" w:rsidRDefault="00F562D6" w:rsidP="002B0EAB">
            <w:pPr>
              <w:rPr>
                <w:rFonts w:ascii="Arial" w:hAnsi="Arial" w:cs="Arial"/>
                <w:i/>
                <w:iCs/>
                <w:sz w:val="16"/>
                <w:szCs w:val="16"/>
              </w:rPr>
            </w:pPr>
            <w:r>
              <w:rPr>
                <w:rFonts w:ascii="Arial" w:hAnsi="Arial" w:cs="Arial"/>
                <w:i/>
                <w:iCs/>
                <w:sz w:val="16"/>
                <w:szCs w:val="16"/>
              </w:rPr>
              <w:t>Nimetus</w:t>
            </w:r>
          </w:p>
        </w:tc>
        <w:tc>
          <w:tcPr>
            <w:tcW w:w="7484" w:type="dxa"/>
            <w:tcBorders>
              <w:right w:val="single" w:sz="4" w:space="0" w:color="BFBFBF" w:themeColor="background1" w:themeShade="BF"/>
            </w:tcBorders>
          </w:tcPr>
          <w:p w14:paraId="5D0410C0" w14:textId="77777777" w:rsidR="00F562D6" w:rsidRPr="00CC2AEA" w:rsidRDefault="00F562D6" w:rsidP="002B0EAB">
            <w:pPr>
              <w:rPr>
                <w:rFonts w:ascii="Arial" w:hAnsi="Arial" w:cs="Arial"/>
                <w:i/>
                <w:iCs/>
                <w:sz w:val="16"/>
                <w:szCs w:val="16"/>
              </w:rPr>
            </w:pPr>
            <w:r>
              <w:rPr>
                <w:rFonts w:ascii="Arial" w:hAnsi="Arial" w:cs="Arial"/>
                <w:i/>
                <w:iCs/>
                <w:sz w:val="16"/>
                <w:szCs w:val="16"/>
              </w:rPr>
              <w:t>Avaldatav teave</w:t>
            </w:r>
          </w:p>
        </w:tc>
      </w:tr>
      <w:tr w:rsidR="00F562D6" w:rsidRPr="00CC2AEA" w14:paraId="17BA6C57" w14:textId="77777777" w:rsidTr="002B0EAB">
        <w:tc>
          <w:tcPr>
            <w:tcW w:w="714" w:type="dxa"/>
            <w:tcBorders>
              <w:left w:val="single" w:sz="4" w:space="0" w:color="BFBFBF" w:themeColor="background1" w:themeShade="BF"/>
            </w:tcBorders>
          </w:tcPr>
          <w:p w14:paraId="21C823E8" w14:textId="77777777" w:rsidR="00F562D6" w:rsidRPr="00CC2AEA" w:rsidRDefault="00F562D6" w:rsidP="002B0EAB">
            <w:pPr>
              <w:rPr>
                <w:rFonts w:ascii="Arial" w:hAnsi="Arial" w:cs="Arial"/>
                <w:sz w:val="16"/>
                <w:szCs w:val="16"/>
              </w:rPr>
            </w:pPr>
            <w:r>
              <w:rPr>
                <w:rFonts w:ascii="Arial" w:hAnsi="Arial" w:cs="Arial"/>
                <w:sz w:val="16"/>
                <w:szCs w:val="16"/>
              </w:rPr>
              <w:t>C.1</w:t>
            </w:r>
          </w:p>
        </w:tc>
        <w:tc>
          <w:tcPr>
            <w:tcW w:w="1554" w:type="dxa"/>
          </w:tcPr>
          <w:p w14:paraId="16163102" w14:textId="77777777" w:rsidR="00F562D6" w:rsidRPr="00CC2AEA" w:rsidRDefault="00F562D6" w:rsidP="002B0EAB">
            <w:pPr>
              <w:rPr>
                <w:rFonts w:ascii="Arial" w:hAnsi="Arial" w:cs="Arial"/>
                <w:sz w:val="16"/>
                <w:szCs w:val="16"/>
              </w:rPr>
            </w:pPr>
            <w:r>
              <w:rPr>
                <w:rFonts w:ascii="Arial" w:hAnsi="Arial" w:cs="Arial"/>
                <w:sz w:val="16"/>
                <w:szCs w:val="16"/>
              </w:rPr>
              <w:t>Väärtpaberite liik ja klass ning identifitseerimisnumber</w:t>
            </w:r>
          </w:p>
        </w:tc>
        <w:tc>
          <w:tcPr>
            <w:tcW w:w="7484" w:type="dxa"/>
            <w:tcBorders>
              <w:right w:val="single" w:sz="4" w:space="0" w:color="BFBFBF" w:themeColor="background1" w:themeShade="BF"/>
            </w:tcBorders>
          </w:tcPr>
          <w:p w14:paraId="6C62E417" w14:textId="77777777" w:rsidR="00F562D6" w:rsidRPr="00CC2AEA" w:rsidRDefault="00F562D6" w:rsidP="002B0EAB">
            <w:pPr>
              <w:jc w:val="both"/>
              <w:rPr>
                <w:rFonts w:ascii="Arial" w:hAnsi="Arial" w:cs="Arial"/>
                <w:sz w:val="16"/>
                <w:szCs w:val="16"/>
              </w:rPr>
            </w:pPr>
            <w:r>
              <w:rPr>
                <w:rFonts w:ascii="Arial" w:hAnsi="Arial" w:cs="Arial"/>
                <w:sz w:val="16"/>
                <w:szCs w:val="16"/>
              </w:rPr>
              <w:t>Väärtpaber: AS Pro Kapital Grupp lihtaktsiad</w:t>
            </w:r>
          </w:p>
          <w:p w14:paraId="28D53E0E" w14:textId="77777777" w:rsidR="00F562D6" w:rsidRPr="00CC2AEA" w:rsidRDefault="00F562D6" w:rsidP="002B0EAB">
            <w:pPr>
              <w:jc w:val="both"/>
              <w:rPr>
                <w:rFonts w:ascii="Arial" w:hAnsi="Arial" w:cs="Arial"/>
                <w:sz w:val="16"/>
                <w:szCs w:val="16"/>
              </w:rPr>
            </w:pPr>
            <w:r>
              <w:rPr>
                <w:rFonts w:ascii="Arial" w:hAnsi="Arial" w:cs="Arial"/>
                <w:sz w:val="16"/>
                <w:szCs w:val="16"/>
              </w:rPr>
              <w:t>ISIN: EE3100006040</w:t>
            </w:r>
          </w:p>
        </w:tc>
      </w:tr>
      <w:tr w:rsidR="00F562D6" w:rsidRPr="00CC2AEA" w14:paraId="78CB0D31" w14:textId="77777777" w:rsidTr="002B0EAB">
        <w:tc>
          <w:tcPr>
            <w:tcW w:w="714" w:type="dxa"/>
            <w:tcBorders>
              <w:left w:val="single" w:sz="4" w:space="0" w:color="BFBFBF" w:themeColor="background1" w:themeShade="BF"/>
            </w:tcBorders>
          </w:tcPr>
          <w:p w14:paraId="65DB037F" w14:textId="77777777" w:rsidR="00F562D6" w:rsidRPr="00CC2AEA" w:rsidRDefault="00F562D6" w:rsidP="002B0EAB">
            <w:pPr>
              <w:rPr>
                <w:rFonts w:ascii="Arial" w:hAnsi="Arial" w:cs="Arial"/>
                <w:sz w:val="16"/>
                <w:szCs w:val="16"/>
              </w:rPr>
            </w:pPr>
            <w:r>
              <w:rPr>
                <w:rFonts w:ascii="Arial" w:hAnsi="Arial" w:cs="Arial"/>
                <w:sz w:val="16"/>
                <w:szCs w:val="16"/>
              </w:rPr>
              <w:t>C.2</w:t>
            </w:r>
          </w:p>
        </w:tc>
        <w:tc>
          <w:tcPr>
            <w:tcW w:w="1554" w:type="dxa"/>
          </w:tcPr>
          <w:p w14:paraId="1E21FA54" w14:textId="77777777" w:rsidR="00F562D6" w:rsidRPr="00CC2AEA" w:rsidRDefault="00F562D6" w:rsidP="002B0EAB">
            <w:pPr>
              <w:rPr>
                <w:rFonts w:ascii="Arial" w:hAnsi="Arial" w:cs="Arial"/>
                <w:sz w:val="16"/>
                <w:szCs w:val="16"/>
              </w:rPr>
            </w:pPr>
            <w:r>
              <w:rPr>
                <w:rFonts w:ascii="Arial" w:hAnsi="Arial" w:cs="Arial"/>
                <w:sz w:val="16"/>
                <w:szCs w:val="16"/>
              </w:rPr>
              <w:t>Emissiooni vääring</w:t>
            </w:r>
          </w:p>
        </w:tc>
        <w:tc>
          <w:tcPr>
            <w:tcW w:w="7484" w:type="dxa"/>
            <w:tcBorders>
              <w:right w:val="single" w:sz="4" w:space="0" w:color="BFBFBF" w:themeColor="background1" w:themeShade="BF"/>
            </w:tcBorders>
          </w:tcPr>
          <w:p w14:paraId="188D1E2B" w14:textId="77777777" w:rsidR="00F562D6" w:rsidRPr="00CC2AEA" w:rsidRDefault="00F562D6" w:rsidP="002B0EAB">
            <w:pPr>
              <w:jc w:val="both"/>
              <w:rPr>
                <w:rFonts w:ascii="Arial" w:hAnsi="Arial" w:cs="Arial"/>
                <w:sz w:val="16"/>
                <w:szCs w:val="16"/>
              </w:rPr>
            </w:pPr>
            <w:r>
              <w:rPr>
                <w:rFonts w:ascii="Arial" w:hAnsi="Arial" w:cs="Arial"/>
                <w:sz w:val="16"/>
                <w:szCs w:val="16"/>
              </w:rPr>
              <w:t>EUR</w:t>
            </w:r>
          </w:p>
        </w:tc>
      </w:tr>
      <w:tr w:rsidR="00F562D6" w:rsidRPr="006E4666" w14:paraId="4D53CF38" w14:textId="77777777" w:rsidTr="002B0EAB">
        <w:tc>
          <w:tcPr>
            <w:tcW w:w="714" w:type="dxa"/>
            <w:tcBorders>
              <w:left w:val="single" w:sz="4" w:space="0" w:color="BFBFBF" w:themeColor="background1" w:themeShade="BF"/>
            </w:tcBorders>
          </w:tcPr>
          <w:p w14:paraId="20C60C23" w14:textId="77777777" w:rsidR="00F562D6" w:rsidRPr="00CC2AEA" w:rsidRDefault="00F562D6" w:rsidP="002B0EAB">
            <w:pPr>
              <w:rPr>
                <w:rFonts w:ascii="Arial" w:hAnsi="Arial" w:cs="Arial"/>
                <w:sz w:val="16"/>
                <w:szCs w:val="16"/>
              </w:rPr>
            </w:pPr>
            <w:r>
              <w:rPr>
                <w:rFonts w:ascii="Arial" w:hAnsi="Arial" w:cs="Arial"/>
                <w:sz w:val="16"/>
                <w:szCs w:val="16"/>
              </w:rPr>
              <w:t>C.3</w:t>
            </w:r>
          </w:p>
        </w:tc>
        <w:tc>
          <w:tcPr>
            <w:tcW w:w="1554" w:type="dxa"/>
          </w:tcPr>
          <w:p w14:paraId="68CC4D97" w14:textId="77777777" w:rsidR="00F562D6" w:rsidRPr="00CC2AEA" w:rsidRDefault="00F562D6" w:rsidP="002B0EAB">
            <w:pPr>
              <w:rPr>
                <w:rFonts w:ascii="Arial" w:hAnsi="Arial" w:cs="Arial"/>
                <w:sz w:val="16"/>
                <w:szCs w:val="16"/>
              </w:rPr>
            </w:pPr>
            <w:r w:rsidRPr="00D6671D">
              <w:rPr>
                <w:rFonts w:ascii="Arial" w:hAnsi="Arial" w:cs="Arial"/>
                <w:sz w:val="16"/>
                <w:szCs w:val="16"/>
                <w:lang w:val="fi-FI"/>
              </w:rPr>
              <w:t xml:space="preserve">Emiteeritud ja täielikult tasutud aktsiate arv / emiteeritud ja osaliselt tasutud aktsiate arv. </w:t>
            </w:r>
            <w:r>
              <w:rPr>
                <w:rFonts w:ascii="Arial" w:hAnsi="Arial" w:cs="Arial"/>
                <w:sz w:val="16"/>
                <w:szCs w:val="16"/>
              </w:rPr>
              <w:t>Aktsia nimiväärtus</w:t>
            </w:r>
          </w:p>
        </w:tc>
        <w:tc>
          <w:tcPr>
            <w:tcW w:w="7484" w:type="dxa"/>
            <w:tcBorders>
              <w:right w:val="single" w:sz="4" w:space="0" w:color="BFBFBF" w:themeColor="background1" w:themeShade="BF"/>
            </w:tcBorders>
          </w:tcPr>
          <w:p w14:paraId="00C98083" w14:textId="77777777" w:rsidR="00F562D6" w:rsidRPr="00D6671D" w:rsidRDefault="00F562D6" w:rsidP="002B0EAB">
            <w:pPr>
              <w:jc w:val="both"/>
              <w:rPr>
                <w:rFonts w:ascii="Arial" w:hAnsi="Arial" w:cs="Arial"/>
                <w:sz w:val="16"/>
                <w:szCs w:val="16"/>
                <w:lang w:val="fi-FI"/>
              </w:rPr>
            </w:pPr>
            <w:r>
              <w:rPr>
                <w:rFonts w:ascii="Arial" w:hAnsi="Arial" w:cs="Arial"/>
                <w:sz w:val="16"/>
                <w:szCs w:val="16"/>
              </w:rPr>
              <w:t xml:space="preserve">Käesoleva Prospekti avaldamise kuupäeva seisuga moodustab Äriühingu registreeritud aktsiakapital 10 854 344,40 eurot, mis jaguneb 54 271 722 põhikirjajärgseks emiteeritud ja täielikult tasutud aktsiaks nimiväärtusega 0,2 EUR. </w:t>
            </w:r>
            <w:r w:rsidRPr="00D6671D">
              <w:rPr>
                <w:rFonts w:ascii="Arial" w:hAnsi="Arial" w:cs="Arial"/>
                <w:sz w:val="16"/>
                <w:szCs w:val="16"/>
                <w:lang w:val="fi-FI"/>
              </w:rPr>
              <w:t>Äriühingul ei ole emiteeritud aktsiaid, mille eest on tasutud osaliselt.</w:t>
            </w:r>
          </w:p>
        </w:tc>
      </w:tr>
      <w:tr w:rsidR="00F562D6" w:rsidRPr="006E4666" w14:paraId="3498182D" w14:textId="77777777" w:rsidTr="002B0EAB">
        <w:tc>
          <w:tcPr>
            <w:tcW w:w="714" w:type="dxa"/>
            <w:tcBorders>
              <w:left w:val="single" w:sz="4" w:space="0" w:color="BFBFBF" w:themeColor="background1" w:themeShade="BF"/>
            </w:tcBorders>
          </w:tcPr>
          <w:p w14:paraId="234188F0" w14:textId="77777777" w:rsidR="00F562D6" w:rsidRPr="00CC2AEA" w:rsidRDefault="00F562D6" w:rsidP="002B0EAB">
            <w:pPr>
              <w:rPr>
                <w:rFonts w:ascii="Arial" w:hAnsi="Arial" w:cs="Arial"/>
                <w:sz w:val="16"/>
                <w:szCs w:val="16"/>
              </w:rPr>
            </w:pPr>
            <w:r>
              <w:rPr>
                <w:rFonts w:ascii="Arial" w:hAnsi="Arial" w:cs="Arial"/>
                <w:sz w:val="16"/>
                <w:szCs w:val="16"/>
              </w:rPr>
              <w:t>C.4</w:t>
            </w:r>
          </w:p>
        </w:tc>
        <w:tc>
          <w:tcPr>
            <w:tcW w:w="1554" w:type="dxa"/>
          </w:tcPr>
          <w:p w14:paraId="242F2C37" w14:textId="77777777" w:rsidR="00F562D6" w:rsidRPr="00CC2AEA" w:rsidRDefault="00F562D6" w:rsidP="002B0EAB">
            <w:pPr>
              <w:rPr>
                <w:rFonts w:ascii="Arial" w:hAnsi="Arial" w:cs="Arial"/>
                <w:sz w:val="16"/>
                <w:szCs w:val="16"/>
              </w:rPr>
            </w:pPr>
            <w:r>
              <w:rPr>
                <w:rFonts w:ascii="Arial" w:hAnsi="Arial" w:cs="Arial"/>
                <w:sz w:val="16"/>
                <w:szCs w:val="16"/>
              </w:rPr>
              <w:t>Väärtpaberitega seotud õigused</w:t>
            </w:r>
          </w:p>
        </w:tc>
        <w:tc>
          <w:tcPr>
            <w:tcW w:w="7484" w:type="dxa"/>
            <w:tcBorders>
              <w:right w:val="single" w:sz="4" w:space="0" w:color="BFBFBF" w:themeColor="background1" w:themeShade="BF"/>
            </w:tcBorders>
          </w:tcPr>
          <w:p w14:paraId="40C00954" w14:textId="77777777" w:rsidR="00F562D6" w:rsidRPr="00CC2AEA" w:rsidRDefault="00F562D6" w:rsidP="002B0EAB">
            <w:pPr>
              <w:autoSpaceDE w:val="0"/>
              <w:autoSpaceDN w:val="0"/>
              <w:adjustRightInd w:val="0"/>
              <w:jc w:val="both"/>
              <w:rPr>
                <w:rFonts w:ascii="Arial" w:hAnsi="Arial" w:cs="Arial"/>
                <w:color w:val="000000"/>
                <w:sz w:val="16"/>
                <w:szCs w:val="16"/>
              </w:rPr>
            </w:pPr>
            <w:r w:rsidRPr="00D6671D">
              <w:rPr>
                <w:rFonts w:ascii="Arial" w:hAnsi="Arial" w:cs="Arial"/>
                <w:color w:val="000000"/>
                <w:sz w:val="16"/>
                <w:szCs w:val="16"/>
                <w:lang w:val="fi-FI"/>
              </w:rPr>
              <w:t xml:space="preserve">Äriühingu aktsiad kuuluvad ühte aktsiaklassi. Aktsiad jaotuvad </w:t>
            </w:r>
            <w:r w:rsidRPr="00D6671D">
              <w:rPr>
                <w:rFonts w:ascii="Arial" w:hAnsi="Arial" w:cs="Arial"/>
                <w:i/>
                <w:iCs/>
                <w:color w:val="000000"/>
                <w:sz w:val="16"/>
                <w:szCs w:val="16"/>
                <w:lang w:val="fi-FI"/>
              </w:rPr>
              <w:t>pari passu</w:t>
            </w:r>
            <w:r w:rsidRPr="00D6671D">
              <w:rPr>
                <w:rFonts w:ascii="Arial" w:hAnsi="Arial" w:cs="Arial"/>
                <w:color w:val="000000"/>
                <w:sz w:val="16"/>
                <w:szCs w:val="16"/>
                <w:lang w:val="fi-FI"/>
              </w:rPr>
              <w:t xml:space="preserve"> (kuuluvad samasse järku). </w:t>
            </w:r>
            <w:r>
              <w:rPr>
                <w:rFonts w:ascii="Arial" w:hAnsi="Arial" w:cs="Arial"/>
                <w:color w:val="000000"/>
                <w:sz w:val="16"/>
                <w:szCs w:val="16"/>
              </w:rPr>
              <w:t>Iga aktsiaga kaasnevad järgmised õigused:</w:t>
            </w:r>
          </w:p>
          <w:p w14:paraId="2232C312" w14:textId="77777777" w:rsidR="00F562D6" w:rsidRPr="008065A1" w:rsidRDefault="002C4434" w:rsidP="002B0EAB">
            <w:pPr>
              <w:pStyle w:val="ListParagraph"/>
              <w:numPr>
                <w:ilvl w:val="0"/>
                <w:numId w:val="56"/>
              </w:numPr>
              <w:autoSpaceDE w:val="0"/>
              <w:autoSpaceDN w:val="0"/>
              <w:adjustRightInd w:val="0"/>
              <w:spacing w:after="0" w:line="240" w:lineRule="auto"/>
              <w:ind w:left="320" w:hanging="320"/>
              <w:contextualSpacing w:val="0"/>
              <w:jc w:val="both"/>
              <w:rPr>
                <w:rFonts w:ascii="Arial" w:hAnsi="Arial"/>
                <w:color w:val="000000"/>
                <w:sz w:val="16"/>
              </w:rPr>
            </w:pPr>
            <w:r>
              <w:rPr>
                <w:rFonts w:ascii="Arial" w:hAnsi="Arial"/>
                <w:color w:val="000000"/>
                <w:sz w:val="16"/>
              </w:rPr>
              <w:t xml:space="preserve">õigus saada osa Äriühingu kasumist (dividende); </w:t>
            </w:r>
          </w:p>
          <w:p w14:paraId="10723E11" w14:textId="77777777" w:rsidR="00F562D6" w:rsidRPr="008065A1" w:rsidRDefault="002C4434" w:rsidP="002B0EAB">
            <w:pPr>
              <w:pStyle w:val="ListParagraph"/>
              <w:numPr>
                <w:ilvl w:val="0"/>
                <w:numId w:val="56"/>
              </w:numPr>
              <w:autoSpaceDE w:val="0"/>
              <w:autoSpaceDN w:val="0"/>
              <w:adjustRightInd w:val="0"/>
              <w:spacing w:after="0" w:line="240" w:lineRule="auto"/>
              <w:ind w:left="320" w:hanging="320"/>
              <w:contextualSpacing w:val="0"/>
              <w:jc w:val="both"/>
              <w:rPr>
                <w:rFonts w:ascii="Arial" w:hAnsi="Arial"/>
                <w:color w:val="000000"/>
                <w:sz w:val="16"/>
              </w:rPr>
            </w:pPr>
            <w:r>
              <w:rPr>
                <w:rFonts w:ascii="Arial" w:hAnsi="Arial"/>
                <w:color w:val="000000"/>
                <w:sz w:val="16"/>
              </w:rPr>
              <w:t xml:space="preserve">õigus saada Äriühingu rahalisi vahendeid, kui Äriühingu aktsiakapitali vähendatakse eesmärgiga maksta aktsionäridele välja Äriühingu rahalisi vahendeid; </w:t>
            </w:r>
          </w:p>
          <w:p w14:paraId="09C3D251" w14:textId="77777777" w:rsidR="00F562D6" w:rsidRPr="008065A1" w:rsidRDefault="002C4434" w:rsidP="002B0EAB">
            <w:pPr>
              <w:pStyle w:val="ListParagraph"/>
              <w:numPr>
                <w:ilvl w:val="0"/>
                <w:numId w:val="56"/>
              </w:numPr>
              <w:autoSpaceDE w:val="0"/>
              <w:autoSpaceDN w:val="0"/>
              <w:adjustRightInd w:val="0"/>
              <w:spacing w:after="0" w:line="240" w:lineRule="auto"/>
              <w:ind w:left="320" w:hanging="320"/>
              <w:contextualSpacing w:val="0"/>
              <w:jc w:val="both"/>
              <w:rPr>
                <w:rFonts w:ascii="Arial" w:hAnsi="Arial"/>
                <w:color w:val="000000"/>
                <w:sz w:val="16"/>
              </w:rPr>
            </w:pPr>
            <w:r>
              <w:rPr>
                <w:rFonts w:ascii="Arial" w:hAnsi="Arial"/>
                <w:color w:val="000000"/>
                <w:sz w:val="16"/>
              </w:rPr>
              <w:t xml:space="preserve">õigus saada tasuta aktsiaid, kui aktsiakapitali suurendatakse omakapitali arvelt (fondiemissioon); </w:t>
            </w:r>
          </w:p>
          <w:p w14:paraId="3868337C" w14:textId="77777777" w:rsidR="00F562D6" w:rsidRPr="008065A1" w:rsidRDefault="002C4434" w:rsidP="002B0EAB">
            <w:pPr>
              <w:pStyle w:val="ListParagraph"/>
              <w:numPr>
                <w:ilvl w:val="0"/>
                <w:numId w:val="56"/>
              </w:numPr>
              <w:autoSpaceDE w:val="0"/>
              <w:autoSpaceDN w:val="0"/>
              <w:adjustRightInd w:val="0"/>
              <w:spacing w:after="0" w:line="240" w:lineRule="auto"/>
              <w:ind w:left="320" w:hanging="320"/>
              <w:contextualSpacing w:val="0"/>
              <w:jc w:val="both"/>
              <w:rPr>
                <w:rFonts w:ascii="Arial" w:hAnsi="Arial"/>
                <w:color w:val="000000"/>
                <w:sz w:val="16"/>
              </w:rPr>
            </w:pPr>
            <w:r>
              <w:rPr>
                <w:rFonts w:ascii="Arial" w:hAnsi="Arial"/>
                <w:color w:val="000000"/>
                <w:sz w:val="16"/>
              </w:rPr>
              <w:t xml:space="preserve">Äriühingu uute emiteeritud aktsiate või vahetusvõlakirjade ostueesõigus, välja arvatud juhul, kui aktsionäride üldkoosolek otsustab ostueesõiguse kõigi aktsionäride puhul välistada; </w:t>
            </w:r>
          </w:p>
          <w:p w14:paraId="108BEF85" w14:textId="77777777" w:rsidR="00F562D6" w:rsidRPr="008065A1" w:rsidRDefault="002C4434" w:rsidP="002B0EAB">
            <w:pPr>
              <w:pStyle w:val="ListParagraph"/>
              <w:numPr>
                <w:ilvl w:val="0"/>
                <w:numId w:val="56"/>
              </w:numPr>
              <w:autoSpaceDE w:val="0"/>
              <w:autoSpaceDN w:val="0"/>
              <w:adjustRightInd w:val="0"/>
              <w:spacing w:after="0" w:line="240" w:lineRule="auto"/>
              <w:ind w:left="320" w:hanging="320"/>
              <w:contextualSpacing w:val="0"/>
              <w:jc w:val="both"/>
              <w:rPr>
                <w:rFonts w:ascii="Arial" w:hAnsi="Arial"/>
                <w:color w:val="000000"/>
                <w:sz w:val="16"/>
              </w:rPr>
            </w:pPr>
            <w:r>
              <w:rPr>
                <w:rFonts w:ascii="Arial" w:hAnsi="Arial"/>
                <w:color w:val="000000"/>
                <w:sz w:val="16"/>
              </w:rPr>
              <w:t xml:space="preserve">õigus saada Äriühingu likvideerimisel osa Äriühingu varast; </w:t>
            </w:r>
          </w:p>
          <w:p w14:paraId="63708221" w14:textId="77777777" w:rsidR="00F562D6" w:rsidRPr="008065A1" w:rsidRDefault="002C4434" w:rsidP="002B0EAB">
            <w:pPr>
              <w:pStyle w:val="ListParagraph"/>
              <w:numPr>
                <w:ilvl w:val="0"/>
                <w:numId w:val="56"/>
              </w:numPr>
              <w:autoSpaceDE w:val="0"/>
              <w:autoSpaceDN w:val="0"/>
              <w:adjustRightInd w:val="0"/>
              <w:spacing w:after="0" w:line="240" w:lineRule="auto"/>
              <w:ind w:left="320" w:hanging="320"/>
              <w:contextualSpacing w:val="0"/>
              <w:jc w:val="both"/>
              <w:rPr>
                <w:rFonts w:ascii="Arial" w:hAnsi="Arial"/>
                <w:color w:val="000000"/>
                <w:sz w:val="16"/>
              </w:rPr>
            </w:pPr>
            <w:r>
              <w:rPr>
                <w:rFonts w:ascii="Arial" w:hAnsi="Arial"/>
                <w:color w:val="000000"/>
                <w:sz w:val="16"/>
              </w:rPr>
              <w:t xml:space="preserve">õigus osaleda aktsionäride üldkoosolekutel; </w:t>
            </w:r>
          </w:p>
          <w:p w14:paraId="6E3D0A65" w14:textId="77777777" w:rsidR="00F562D6" w:rsidRPr="008065A1" w:rsidRDefault="002C4434" w:rsidP="002B0EAB">
            <w:pPr>
              <w:pStyle w:val="ListParagraph"/>
              <w:numPr>
                <w:ilvl w:val="0"/>
                <w:numId w:val="56"/>
              </w:numPr>
              <w:autoSpaceDE w:val="0"/>
              <w:autoSpaceDN w:val="0"/>
              <w:adjustRightInd w:val="0"/>
              <w:spacing w:after="0" w:line="240" w:lineRule="auto"/>
              <w:ind w:left="320" w:hanging="320"/>
              <w:contextualSpacing w:val="0"/>
              <w:jc w:val="both"/>
              <w:rPr>
                <w:rFonts w:ascii="Arial" w:hAnsi="Arial"/>
                <w:color w:val="000000"/>
                <w:sz w:val="16"/>
              </w:rPr>
            </w:pPr>
            <w:r>
              <w:rPr>
                <w:rFonts w:ascii="Arial" w:hAnsi="Arial"/>
                <w:color w:val="000000"/>
                <w:sz w:val="16"/>
              </w:rPr>
              <w:t xml:space="preserve">õigus hääletada aktsionäride üldkoosolekutel vastavalt aktsionäri aktsiatega kaasnevatele hääleõigustele; </w:t>
            </w:r>
          </w:p>
          <w:p w14:paraId="36C4BFCD" w14:textId="77777777" w:rsidR="00F562D6" w:rsidRPr="008065A1" w:rsidRDefault="002C4434" w:rsidP="002B0EAB">
            <w:pPr>
              <w:pStyle w:val="ListParagraph"/>
              <w:numPr>
                <w:ilvl w:val="0"/>
                <w:numId w:val="56"/>
              </w:numPr>
              <w:autoSpaceDE w:val="0"/>
              <w:autoSpaceDN w:val="0"/>
              <w:adjustRightInd w:val="0"/>
              <w:spacing w:after="0" w:line="240" w:lineRule="auto"/>
              <w:ind w:left="320" w:hanging="320"/>
              <w:contextualSpacing w:val="0"/>
              <w:jc w:val="both"/>
              <w:rPr>
                <w:rFonts w:ascii="Arial" w:hAnsi="Arial"/>
                <w:color w:val="000000"/>
                <w:sz w:val="16"/>
              </w:rPr>
            </w:pPr>
            <w:r>
              <w:rPr>
                <w:rFonts w:ascii="Arial" w:hAnsi="Arial"/>
                <w:color w:val="000000"/>
                <w:sz w:val="16"/>
              </w:rPr>
              <w:t xml:space="preserve">õigus saada aktsionäride üldkoosolekul juhatuselt teavet Äriühingu tegevuse kohta, välja arvatud juhul, kui see võib oluliselt kahjustada Äriühingu huve; </w:t>
            </w:r>
          </w:p>
          <w:p w14:paraId="34FEDFBC" w14:textId="77777777" w:rsidR="00F562D6" w:rsidRPr="005360B1" w:rsidRDefault="002C4434" w:rsidP="002B0EAB">
            <w:pPr>
              <w:pStyle w:val="ListParagraph"/>
              <w:numPr>
                <w:ilvl w:val="0"/>
                <w:numId w:val="56"/>
              </w:numPr>
              <w:autoSpaceDE w:val="0"/>
              <w:autoSpaceDN w:val="0"/>
              <w:adjustRightInd w:val="0"/>
              <w:spacing w:after="0" w:line="240" w:lineRule="auto"/>
              <w:ind w:left="320" w:hanging="320"/>
              <w:contextualSpacing w:val="0"/>
              <w:jc w:val="both"/>
              <w:rPr>
                <w:rFonts w:ascii="Arial" w:hAnsi="Arial"/>
                <w:color w:val="000000"/>
                <w:sz w:val="16"/>
              </w:rPr>
            </w:pPr>
            <w:r>
              <w:rPr>
                <w:rFonts w:ascii="Arial" w:hAnsi="Arial"/>
                <w:color w:val="000000"/>
                <w:sz w:val="16"/>
              </w:rPr>
              <w:t xml:space="preserve">õigus nõuda aktsionäride üldkoosoleku kokkukutsumist, kui seda nõuavad aktsionärid, kelle aktsiatega on esindatud vähemalt üks kahekümnendik Äriühingu aktsiakapitalist, ning õigus kutsuda kokku aktsionäride üldkoosolek, kui juhatus ei kutsu kokku aktsionäride üldkoosolekut ühe kuu jooksul pärast vastava nõudmise saamist aktsionäridelt, kelle aktsiatega on esindatud vähemalt üks kahekümnendik Äriühingu aktsiakapitalist; </w:t>
            </w:r>
          </w:p>
          <w:p w14:paraId="30D9F4FB" w14:textId="77777777" w:rsidR="00F562D6" w:rsidRPr="008065A1" w:rsidRDefault="002C4434" w:rsidP="002B0EAB">
            <w:pPr>
              <w:pStyle w:val="ListParagraph"/>
              <w:numPr>
                <w:ilvl w:val="0"/>
                <w:numId w:val="56"/>
              </w:numPr>
              <w:autoSpaceDE w:val="0"/>
              <w:autoSpaceDN w:val="0"/>
              <w:adjustRightInd w:val="0"/>
              <w:spacing w:after="0" w:line="240" w:lineRule="auto"/>
              <w:ind w:left="320" w:hanging="320"/>
              <w:contextualSpacing w:val="0"/>
              <w:jc w:val="both"/>
              <w:rPr>
                <w:rFonts w:ascii="Arial" w:hAnsi="Arial"/>
                <w:color w:val="000000"/>
                <w:sz w:val="16"/>
              </w:rPr>
            </w:pPr>
            <w:r>
              <w:rPr>
                <w:rFonts w:ascii="Arial" w:hAnsi="Arial"/>
                <w:color w:val="000000"/>
                <w:sz w:val="16"/>
              </w:rPr>
              <w:t>õigus aktsionäride üldkoosolekul nõuda Äriühingu juhtimise või finantsseisundiga seotud küsimustes erikontrolli korraldamise otsustamist, kui seda nõuavad aktsionärid, kelle aktsiatega on esindatud vähemalt üks kümnendik Äriühingu aktsiakapitalist.</w:t>
            </w:r>
          </w:p>
        </w:tc>
      </w:tr>
      <w:tr w:rsidR="00F562D6" w:rsidRPr="006E4666" w14:paraId="3B41D093" w14:textId="77777777" w:rsidTr="002B0EAB">
        <w:tc>
          <w:tcPr>
            <w:tcW w:w="714" w:type="dxa"/>
            <w:tcBorders>
              <w:left w:val="single" w:sz="4" w:space="0" w:color="BFBFBF" w:themeColor="background1" w:themeShade="BF"/>
            </w:tcBorders>
          </w:tcPr>
          <w:p w14:paraId="49E44BC4" w14:textId="77777777" w:rsidR="00F562D6" w:rsidRPr="00CC2AEA" w:rsidRDefault="00F562D6" w:rsidP="002B0EAB">
            <w:pPr>
              <w:rPr>
                <w:rFonts w:ascii="Arial" w:hAnsi="Arial" w:cs="Arial"/>
                <w:sz w:val="16"/>
                <w:szCs w:val="16"/>
              </w:rPr>
            </w:pPr>
            <w:r>
              <w:rPr>
                <w:rFonts w:ascii="Arial" w:hAnsi="Arial" w:cs="Arial"/>
                <w:sz w:val="16"/>
                <w:szCs w:val="16"/>
              </w:rPr>
              <w:t>C.5</w:t>
            </w:r>
          </w:p>
        </w:tc>
        <w:tc>
          <w:tcPr>
            <w:tcW w:w="1554" w:type="dxa"/>
          </w:tcPr>
          <w:p w14:paraId="563B7ABD" w14:textId="77777777" w:rsidR="00F562D6" w:rsidRPr="00CC2AEA" w:rsidRDefault="00F562D6" w:rsidP="002B0EAB">
            <w:pPr>
              <w:rPr>
                <w:rFonts w:ascii="Arial" w:hAnsi="Arial" w:cs="Arial"/>
                <w:sz w:val="16"/>
                <w:szCs w:val="16"/>
              </w:rPr>
            </w:pPr>
            <w:r>
              <w:rPr>
                <w:rFonts w:ascii="Arial" w:hAnsi="Arial" w:cs="Arial"/>
                <w:sz w:val="16"/>
                <w:szCs w:val="16"/>
              </w:rPr>
              <w:t>Väärtpaberite vaba võõrandamise piirangud</w:t>
            </w:r>
          </w:p>
        </w:tc>
        <w:tc>
          <w:tcPr>
            <w:tcW w:w="7484" w:type="dxa"/>
            <w:tcBorders>
              <w:right w:val="single" w:sz="4" w:space="0" w:color="BFBFBF" w:themeColor="background1" w:themeShade="BF"/>
            </w:tcBorders>
          </w:tcPr>
          <w:p w14:paraId="42E08B03" w14:textId="77777777" w:rsidR="00F562D6" w:rsidRPr="00D6671D" w:rsidRDefault="00F562D6" w:rsidP="002B0EAB">
            <w:pPr>
              <w:keepNext/>
              <w:jc w:val="both"/>
              <w:rPr>
                <w:rFonts w:ascii="Arial" w:hAnsi="Arial" w:cs="Arial"/>
                <w:sz w:val="16"/>
                <w:szCs w:val="16"/>
                <w:lang w:val="fi-FI"/>
              </w:rPr>
            </w:pPr>
            <w:r w:rsidRPr="00D6671D">
              <w:rPr>
                <w:rFonts w:ascii="Arial" w:hAnsi="Arial" w:cs="Arial"/>
                <w:sz w:val="16"/>
                <w:szCs w:val="16"/>
                <w:lang w:val="fi-FI"/>
              </w:rPr>
              <w:t>Äriühingu põhikiri ei piira aktsiate vaba võõrandamist. Aktsiate suhtes ei kohaldata ühtegi üldist võõrandamise piirangut.</w:t>
            </w:r>
          </w:p>
        </w:tc>
      </w:tr>
      <w:tr w:rsidR="00F562D6" w:rsidRPr="006E4666" w14:paraId="59CCB707" w14:textId="77777777" w:rsidTr="002B0EAB">
        <w:tc>
          <w:tcPr>
            <w:tcW w:w="714" w:type="dxa"/>
            <w:tcBorders>
              <w:left w:val="single" w:sz="4" w:space="0" w:color="BFBFBF" w:themeColor="background1" w:themeShade="BF"/>
            </w:tcBorders>
          </w:tcPr>
          <w:p w14:paraId="66EB731D" w14:textId="77777777" w:rsidR="00F562D6" w:rsidRPr="00CC2AEA" w:rsidRDefault="00F562D6" w:rsidP="002B0EAB">
            <w:pPr>
              <w:rPr>
                <w:rFonts w:ascii="Arial" w:hAnsi="Arial" w:cs="Arial"/>
                <w:sz w:val="16"/>
                <w:szCs w:val="16"/>
              </w:rPr>
            </w:pPr>
            <w:r>
              <w:rPr>
                <w:rFonts w:ascii="Arial" w:hAnsi="Arial" w:cs="Arial"/>
                <w:sz w:val="16"/>
                <w:szCs w:val="16"/>
              </w:rPr>
              <w:t>C.6</w:t>
            </w:r>
          </w:p>
        </w:tc>
        <w:tc>
          <w:tcPr>
            <w:tcW w:w="1554" w:type="dxa"/>
          </w:tcPr>
          <w:p w14:paraId="71AC05F6" w14:textId="77777777" w:rsidR="00F562D6" w:rsidRPr="00D6671D" w:rsidRDefault="00F562D6" w:rsidP="002B0EAB">
            <w:pPr>
              <w:rPr>
                <w:rFonts w:ascii="Arial" w:hAnsi="Arial" w:cs="Arial"/>
                <w:sz w:val="16"/>
                <w:szCs w:val="16"/>
                <w:lang w:val="fi-FI"/>
              </w:rPr>
            </w:pPr>
            <w:r w:rsidRPr="00D6671D">
              <w:rPr>
                <w:rFonts w:ascii="Arial" w:hAnsi="Arial" w:cs="Arial"/>
                <w:sz w:val="16"/>
                <w:szCs w:val="16"/>
                <w:lang w:val="fi-FI"/>
              </w:rPr>
              <w:t>Kauplemisele lubamine / reguleeritud turu nimetus</w:t>
            </w:r>
          </w:p>
        </w:tc>
        <w:tc>
          <w:tcPr>
            <w:tcW w:w="7484" w:type="dxa"/>
            <w:tcBorders>
              <w:right w:val="single" w:sz="4" w:space="0" w:color="BFBFBF" w:themeColor="background1" w:themeShade="BF"/>
            </w:tcBorders>
          </w:tcPr>
          <w:p w14:paraId="6F6D93D1" w14:textId="77777777" w:rsidR="00F562D6" w:rsidRPr="00D6671D" w:rsidRDefault="00F562D6" w:rsidP="002B0EAB">
            <w:pPr>
              <w:jc w:val="both"/>
              <w:rPr>
                <w:rFonts w:ascii="Arial" w:hAnsi="Arial" w:cs="Arial"/>
                <w:sz w:val="16"/>
                <w:szCs w:val="16"/>
                <w:lang w:val="fi-FI"/>
              </w:rPr>
            </w:pPr>
            <w:r w:rsidRPr="00D6671D">
              <w:rPr>
                <w:rFonts w:ascii="Arial" w:hAnsi="Arial" w:cs="Arial"/>
                <w:sz w:val="16"/>
                <w:szCs w:val="16"/>
                <w:lang w:val="fi-FI"/>
              </w:rPr>
              <w:t>Enne Prospekti kuupäeva on Nasdaq Tallinn ASi korraldatava reguleeritud turu Nasdaq Tallinn (edaspidi „</w:t>
            </w:r>
            <w:r w:rsidRPr="00D6671D">
              <w:rPr>
                <w:rFonts w:ascii="Arial" w:hAnsi="Arial" w:cs="Arial"/>
                <w:b/>
                <w:bCs/>
                <w:sz w:val="16"/>
                <w:szCs w:val="16"/>
                <w:lang w:val="fi-FI"/>
              </w:rPr>
              <w:t xml:space="preserve">Reguleeritud </w:t>
            </w:r>
            <w:proofErr w:type="gramStart"/>
            <w:r w:rsidRPr="00D6671D">
              <w:rPr>
                <w:rFonts w:ascii="Arial" w:hAnsi="Arial" w:cs="Arial"/>
                <w:b/>
                <w:bCs/>
                <w:sz w:val="16"/>
                <w:szCs w:val="16"/>
                <w:lang w:val="fi-FI"/>
              </w:rPr>
              <w:t>turg</w:t>
            </w:r>
            <w:r w:rsidRPr="00D6671D">
              <w:rPr>
                <w:rFonts w:ascii="Arial" w:hAnsi="Arial" w:cs="Arial"/>
                <w:sz w:val="16"/>
                <w:szCs w:val="16"/>
                <w:lang w:val="fi-FI"/>
              </w:rPr>
              <w:t>“</w:t>
            </w:r>
            <w:proofErr w:type="gramEnd"/>
            <w:r w:rsidRPr="00D6671D">
              <w:rPr>
                <w:rFonts w:ascii="Arial" w:hAnsi="Arial" w:cs="Arial"/>
                <w:sz w:val="16"/>
                <w:szCs w:val="16"/>
                <w:lang w:val="fi-FI"/>
              </w:rPr>
              <w:t>) lisanimekirjas kauplemisele võetud 54 271 722 Äriühingu aktsiat. Pärast Prospekti registreerimist kavatseb Äriühing taotleda Aktsiate kauplemisele võtmist Reguleeritud turul.</w:t>
            </w:r>
          </w:p>
        </w:tc>
      </w:tr>
      <w:tr w:rsidR="00F562D6" w:rsidRPr="006E4666" w14:paraId="03BA626D" w14:textId="77777777" w:rsidTr="002B0EAB">
        <w:tc>
          <w:tcPr>
            <w:tcW w:w="714" w:type="dxa"/>
            <w:tcBorders>
              <w:left w:val="single" w:sz="4" w:space="0" w:color="BFBFBF" w:themeColor="background1" w:themeShade="BF"/>
              <w:bottom w:val="single" w:sz="4" w:space="0" w:color="808080" w:themeColor="text1" w:themeTint="7F"/>
            </w:tcBorders>
          </w:tcPr>
          <w:p w14:paraId="1D967C5C" w14:textId="77777777" w:rsidR="00F562D6" w:rsidRPr="00CC2AEA" w:rsidRDefault="00F562D6" w:rsidP="002B0EAB">
            <w:pPr>
              <w:rPr>
                <w:rFonts w:ascii="Arial" w:hAnsi="Arial" w:cs="Arial"/>
                <w:sz w:val="16"/>
                <w:szCs w:val="16"/>
              </w:rPr>
            </w:pPr>
            <w:r>
              <w:rPr>
                <w:rFonts w:ascii="Arial" w:hAnsi="Arial" w:cs="Arial"/>
                <w:sz w:val="16"/>
                <w:szCs w:val="16"/>
              </w:rPr>
              <w:lastRenderedPageBreak/>
              <w:t>C.7</w:t>
            </w:r>
          </w:p>
        </w:tc>
        <w:tc>
          <w:tcPr>
            <w:tcW w:w="1554" w:type="dxa"/>
            <w:tcBorders>
              <w:bottom w:val="single" w:sz="4" w:space="0" w:color="808080" w:themeColor="text1" w:themeTint="7F"/>
            </w:tcBorders>
          </w:tcPr>
          <w:p w14:paraId="312D8FB8" w14:textId="77777777" w:rsidR="00F562D6" w:rsidRPr="00CC2AEA" w:rsidRDefault="00F562D6" w:rsidP="002B0EAB">
            <w:pPr>
              <w:rPr>
                <w:rFonts w:ascii="Arial" w:hAnsi="Arial" w:cs="Arial"/>
                <w:sz w:val="16"/>
                <w:szCs w:val="16"/>
              </w:rPr>
            </w:pPr>
            <w:r>
              <w:rPr>
                <w:rFonts w:ascii="Arial" w:hAnsi="Arial" w:cs="Arial"/>
                <w:sz w:val="16"/>
                <w:szCs w:val="16"/>
              </w:rPr>
              <w:t>Dividendipoliitika</w:t>
            </w:r>
          </w:p>
        </w:tc>
        <w:tc>
          <w:tcPr>
            <w:tcW w:w="7484" w:type="dxa"/>
            <w:tcBorders>
              <w:bottom w:val="single" w:sz="4" w:space="0" w:color="808080" w:themeColor="text1" w:themeTint="7F"/>
              <w:right w:val="single" w:sz="4" w:space="0" w:color="BFBFBF" w:themeColor="background1" w:themeShade="BF"/>
            </w:tcBorders>
          </w:tcPr>
          <w:p w14:paraId="3BEF4575" w14:textId="77777777" w:rsidR="00F562D6" w:rsidRPr="00D6671D" w:rsidRDefault="00F562D6" w:rsidP="002B0EAB">
            <w:pPr>
              <w:jc w:val="both"/>
              <w:rPr>
                <w:rFonts w:ascii="Arial" w:hAnsi="Arial" w:cs="Arial"/>
                <w:sz w:val="16"/>
                <w:szCs w:val="16"/>
                <w:lang w:val="fi-FI"/>
              </w:rPr>
            </w:pPr>
            <w:r w:rsidRPr="00D6671D">
              <w:rPr>
                <w:rFonts w:ascii="Arial" w:hAnsi="Arial" w:cs="Arial"/>
                <w:sz w:val="16"/>
                <w:szCs w:val="16"/>
                <w:lang w:val="fi-FI"/>
              </w:rPr>
              <w:t xml:space="preserve">Äriühing on oma äritegevust varasemalt rahastanud peamiselt jaotamata kasumi arvelt. Seetõttu on dividende varem vähe makstud. Alates 2015. aastast ei ole Äriühing dividende maksnud. </w:t>
            </w:r>
          </w:p>
          <w:p w14:paraId="65487B82" w14:textId="77777777" w:rsidR="00F562D6" w:rsidRPr="00D6671D" w:rsidRDefault="00F562D6" w:rsidP="002B0EAB">
            <w:pPr>
              <w:jc w:val="both"/>
              <w:rPr>
                <w:sz w:val="16"/>
                <w:lang w:val="fi-FI"/>
              </w:rPr>
            </w:pPr>
            <w:r w:rsidRPr="00D6671D">
              <w:rPr>
                <w:rFonts w:ascii="Arial" w:hAnsi="Arial" w:cs="Arial"/>
                <w:sz w:val="16"/>
                <w:szCs w:val="16"/>
                <w:lang w:val="fi-FI"/>
              </w:rPr>
              <w:t>Tuginedes oma praegusele prognoosile tulevaste majandustulemuste kohta, kavatseb juhtkond teha aktsionäridele ettepaneku alustada regulaarsete dividendimaksete tegemist alates 2019. majandusaastast. Majandustulemuste prognoosi ületamise korral võidakse regulaarsete dividendimaksete ettepanek teha ka 2018. majandusaasta kohta. Arvesse tuleks võtta, et dividendimaksed sõltuvad Äriühingu tegevustulemist, finantsseisundist, rahavajadustest, tulevikuväljavaadetest, väljamaksmiseks saadaolevast kasumist, võlakohustustest ja muudest teguritest, mida juhatus antud ajahetkel oluliseks peab.</w:t>
            </w:r>
          </w:p>
          <w:p w14:paraId="28B71A8C" w14:textId="77777777" w:rsidR="00F562D6" w:rsidRPr="00D6671D" w:rsidRDefault="00F562D6" w:rsidP="002B0EAB">
            <w:pPr>
              <w:jc w:val="both"/>
              <w:rPr>
                <w:rFonts w:ascii="Arial" w:hAnsi="Arial" w:cs="Arial"/>
                <w:sz w:val="16"/>
                <w:szCs w:val="16"/>
                <w:lang w:val="fi-FI"/>
              </w:rPr>
            </w:pPr>
            <w:r w:rsidRPr="00D6671D">
              <w:rPr>
                <w:rFonts w:ascii="Arial" w:hAnsi="Arial" w:cs="Arial"/>
                <w:sz w:val="16"/>
                <w:szCs w:val="16"/>
                <w:lang w:val="fi-FI"/>
              </w:rPr>
              <w:t>Juhatus võib teha ettepaneku väljamakstavate dividendide summa kohta. Nõukogul on õigus seda ettepanekut muuta. Ettepaneku kohta teeb lõpliku otsuse Äriühingu aktsionäride üldkoosolek.</w:t>
            </w:r>
          </w:p>
          <w:p w14:paraId="13822B0E" w14:textId="77777777" w:rsidR="00F562D6" w:rsidRPr="00D6671D" w:rsidRDefault="00F562D6" w:rsidP="002B0EAB">
            <w:pPr>
              <w:jc w:val="both"/>
              <w:rPr>
                <w:rFonts w:ascii="Arial" w:hAnsi="Arial" w:cs="Arial"/>
                <w:sz w:val="16"/>
                <w:szCs w:val="16"/>
                <w:lang w:val="fi-FI"/>
              </w:rPr>
            </w:pPr>
          </w:p>
        </w:tc>
      </w:tr>
      <w:tr w:rsidR="00F562D6" w:rsidRPr="00CC2AEA" w14:paraId="622B9CAC" w14:textId="77777777" w:rsidTr="002B0EAB">
        <w:tc>
          <w:tcPr>
            <w:tcW w:w="9752" w:type="dxa"/>
            <w:gridSpan w:val="3"/>
            <w:tcBorders>
              <w:left w:val="single" w:sz="4" w:space="0" w:color="BFBFBF" w:themeColor="background1" w:themeShade="BF"/>
              <w:right w:val="single" w:sz="4" w:space="0" w:color="BFBFBF" w:themeColor="background1" w:themeShade="BF"/>
            </w:tcBorders>
            <w:shd w:val="clear" w:color="auto" w:fill="C8501E"/>
          </w:tcPr>
          <w:p w14:paraId="205E94C4" w14:textId="77777777" w:rsidR="00F562D6" w:rsidRPr="00D6671D" w:rsidRDefault="00F562D6" w:rsidP="002B0EAB">
            <w:pPr>
              <w:jc w:val="center"/>
              <w:rPr>
                <w:rFonts w:ascii="Arial" w:hAnsi="Arial" w:cs="Arial"/>
                <w:b/>
                <w:color w:val="FFFFFF" w:themeColor="background1"/>
                <w:lang w:val="fi-FI"/>
              </w:rPr>
            </w:pPr>
          </w:p>
          <w:p w14:paraId="677DDA46" w14:textId="77777777" w:rsidR="00F562D6" w:rsidRPr="00CC2AEA" w:rsidRDefault="00F562D6" w:rsidP="002B0EAB">
            <w:pPr>
              <w:jc w:val="center"/>
              <w:rPr>
                <w:rFonts w:ascii="Arial" w:hAnsi="Arial" w:cs="Arial"/>
                <w:b/>
                <w:bCs/>
                <w:color w:val="FFFFFF" w:themeColor="background1"/>
              </w:rPr>
            </w:pPr>
            <w:r>
              <w:rPr>
                <w:rFonts w:ascii="Arial" w:hAnsi="Arial" w:cs="Arial"/>
                <w:b/>
                <w:bCs/>
                <w:color w:val="FFFFFF" w:themeColor="background1"/>
              </w:rPr>
              <w:t>D jagu – riskid</w:t>
            </w:r>
          </w:p>
        </w:tc>
      </w:tr>
      <w:tr w:rsidR="00F562D6" w:rsidRPr="00CC2AEA" w14:paraId="41F4079A" w14:textId="77777777" w:rsidTr="002B0EAB">
        <w:tc>
          <w:tcPr>
            <w:tcW w:w="714" w:type="dxa"/>
            <w:tcBorders>
              <w:left w:val="single" w:sz="4" w:space="0" w:color="BFBFBF" w:themeColor="background1" w:themeShade="BF"/>
            </w:tcBorders>
          </w:tcPr>
          <w:p w14:paraId="3E266C3E" w14:textId="77777777" w:rsidR="00F562D6" w:rsidRPr="00CC2AEA" w:rsidRDefault="00F562D6" w:rsidP="002B0EAB">
            <w:pPr>
              <w:rPr>
                <w:rFonts w:ascii="Arial" w:hAnsi="Arial" w:cs="Arial"/>
                <w:i/>
                <w:iCs/>
                <w:sz w:val="16"/>
                <w:szCs w:val="16"/>
              </w:rPr>
            </w:pPr>
            <w:r>
              <w:rPr>
                <w:rFonts w:ascii="Arial" w:hAnsi="Arial" w:cs="Arial"/>
                <w:i/>
                <w:iCs/>
                <w:sz w:val="16"/>
                <w:szCs w:val="16"/>
              </w:rPr>
              <w:t>Ele-ment</w:t>
            </w:r>
          </w:p>
        </w:tc>
        <w:tc>
          <w:tcPr>
            <w:tcW w:w="1554" w:type="dxa"/>
          </w:tcPr>
          <w:p w14:paraId="631366BB" w14:textId="77777777" w:rsidR="00F562D6" w:rsidRPr="00CC2AEA" w:rsidRDefault="00F562D6" w:rsidP="002B0EAB">
            <w:pPr>
              <w:rPr>
                <w:rFonts w:ascii="Arial" w:hAnsi="Arial" w:cs="Arial"/>
                <w:i/>
                <w:iCs/>
                <w:sz w:val="16"/>
                <w:szCs w:val="16"/>
              </w:rPr>
            </w:pPr>
            <w:r>
              <w:rPr>
                <w:rFonts w:ascii="Arial" w:hAnsi="Arial" w:cs="Arial"/>
                <w:i/>
                <w:iCs/>
                <w:sz w:val="16"/>
                <w:szCs w:val="16"/>
              </w:rPr>
              <w:t>Nimetus</w:t>
            </w:r>
          </w:p>
        </w:tc>
        <w:tc>
          <w:tcPr>
            <w:tcW w:w="7484" w:type="dxa"/>
            <w:tcBorders>
              <w:right w:val="single" w:sz="4" w:space="0" w:color="BFBFBF" w:themeColor="background1" w:themeShade="BF"/>
            </w:tcBorders>
          </w:tcPr>
          <w:p w14:paraId="7A58F676" w14:textId="77777777" w:rsidR="00F562D6" w:rsidRPr="00CC2AEA" w:rsidRDefault="00F562D6" w:rsidP="002B0EAB">
            <w:pPr>
              <w:rPr>
                <w:rFonts w:ascii="Arial" w:hAnsi="Arial" w:cs="Arial"/>
                <w:i/>
                <w:iCs/>
                <w:sz w:val="16"/>
                <w:szCs w:val="16"/>
              </w:rPr>
            </w:pPr>
            <w:r>
              <w:rPr>
                <w:rFonts w:ascii="Arial" w:hAnsi="Arial" w:cs="Arial"/>
                <w:i/>
                <w:iCs/>
                <w:sz w:val="16"/>
                <w:szCs w:val="16"/>
              </w:rPr>
              <w:t>Avaldatav teave</w:t>
            </w:r>
          </w:p>
        </w:tc>
      </w:tr>
      <w:tr w:rsidR="00F562D6" w:rsidRPr="00CC2AEA" w14:paraId="77A9B2AA" w14:textId="77777777" w:rsidTr="002B0EAB">
        <w:tc>
          <w:tcPr>
            <w:tcW w:w="714" w:type="dxa"/>
            <w:tcBorders>
              <w:left w:val="single" w:sz="4" w:space="0" w:color="BFBFBF" w:themeColor="background1" w:themeShade="BF"/>
              <w:bottom w:val="single" w:sz="4" w:space="0" w:color="808080" w:themeColor="text1" w:themeTint="7F"/>
            </w:tcBorders>
          </w:tcPr>
          <w:p w14:paraId="49D466CD" w14:textId="77777777" w:rsidR="00F562D6" w:rsidRPr="00CC2AEA" w:rsidRDefault="00F562D6" w:rsidP="002B0EAB">
            <w:pPr>
              <w:rPr>
                <w:rFonts w:ascii="Arial" w:hAnsi="Arial" w:cs="Arial"/>
                <w:sz w:val="16"/>
                <w:szCs w:val="16"/>
              </w:rPr>
            </w:pPr>
            <w:r>
              <w:rPr>
                <w:rFonts w:ascii="Arial" w:hAnsi="Arial" w:cs="Arial"/>
                <w:sz w:val="16"/>
                <w:szCs w:val="16"/>
              </w:rPr>
              <w:t>D.1</w:t>
            </w:r>
          </w:p>
        </w:tc>
        <w:tc>
          <w:tcPr>
            <w:tcW w:w="1554" w:type="dxa"/>
            <w:tcBorders>
              <w:bottom w:val="single" w:sz="4" w:space="0" w:color="808080" w:themeColor="text1" w:themeTint="7F"/>
            </w:tcBorders>
          </w:tcPr>
          <w:p w14:paraId="7478A7BA" w14:textId="77777777" w:rsidR="00F562D6" w:rsidRPr="00CC2AEA" w:rsidRDefault="00F562D6" w:rsidP="002B0EAB">
            <w:pPr>
              <w:rPr>
                <w:rFonts w:ascii="Arial" w:hAnsi="Arial" w:cs="Arial"/>
                <w:sz w:val="16"/>
                <w:szCs w:val="16"/>
              </w:rPr>
            </w:pPr>
            <w:r>
              <w:rPr>
                <w:rFonts w:ascii="Arial" w:hAnsi="Arial" w:cs="Arial"/>
                <w:sz w:val="16"/>
                <w:szCs w:val="16"/>
              </w:rPr>
              <w:t>Äriühinguga, Grupiga või tegevusalaga seotud peamised riskid</w:t>
            </w:r>
          </w:p>
        </w:tc>
        <w:tc>
          <w:tcPr>
            <w:tcW w:w="7484" w:type="dxa"/>
            <w:tcBorders>
              <w:bottom w:val="single" w:sz="4" w:space="0" w:color="808080" w:themeColor="text1" w:themeTint="7F"/>
              <w:right w:val="single" w:sz="4" w:space="0" w:color="BFBFBF" w:themeColor="background1" w:themeShade="BF"/>
            </w:tcBorders>
          </w:tcPr>
          <w:p w14:paraId="53C781EE" w14:textId="77777777" w:rsidR="00F562D6" w:rsidRPr="00CC2AEA" w:rsidRDefault="00F562D6" w:rsidP="002B0EAB">
            <w:pPr>
              <w:keepNext/>
              <w:rPr>
                <w:rFonts w:ascii="Arial" w:hAnsi="Arial" w:cs="Arial"/>
                <w:b/>
                <w:sz w:val="16"/>
                <w:szCs w:val="16"/>
              </w:rPr>
            </w:pPr>
            <w:r>
              <w:rPr>
                <w:rFonts w:ascii="Arial" w:hAnsi="Arial" w:cs="Arial"/>
                <w:b/>
                <w:bCs/>
                <w:sz w:val="16"/>
                <w:szCs w:val="16"/>
              </w:rPr>
              <w:t>Grupi äritegevusega seotud riskid</w:t>
            </w:r>
          </w:p>
          <w:p w14:paraId="27D06EF0" w14:textId="77777777" w:rsidR="00F562D6" w:rsidRPr="006E4666" w:rsidRDefault="00F562D6" w:rsidP="002B0EAB">
            <w:pPr>
              <w:pStyle w:val="Paragraph"/>
              <w:spacing w:before="0" w:after="0"/>
              <w:rPr>
                <w:b/>
                <w:bCs/>
                <w:i/>
                <w:iCs/>
                <w:sz w:val="16"/>
                <w:szCs w:val="16"/>
              </w:rPr>
            </w:pPr>
            <w:r w:rsidRPr="006E4666">
              <w:rPr>
                <w:b/>
                <w:bCs/>
                <w:i/>
                <w:iCs/>
                <w:sz w:val="16"/>
                <w:szCs w:val="16"/>
              </w:rPr>
              <w:t>Kinnisvara arendamise projektide pikaajalisuse tõttu on Grupi tegevus seotud mitmesuguste riskidega</w:t>
            </w:r>
          </w:p>
          <w:p w14:paraId="023CC11C" w14:textId="77777777" w:rsidR="00F562D6" w:rsidRPr="00D6671D" w:rsidRDefault="00F562D6" w:rsidP="002B0EAB">
            <w:pPr>
              <w:pStyle w:val="Paragraph"/>
              <w:spacing w:before="0" w:after="0"/>
              <w:rPr>
                <w:sz w:val="16"/>
                <w:szCs w:val="16"/>
                <w:lang w:val="fi-FI"/>
              </w:rPr>
            </w:pPr>
            <w:r w:rsidRPr="00D6671D">
              <w:rPr>
                <w:sz w:val="16"/>
                <w:szCs w:val="16"/>
                <w:lang w:val="fi-FI"/>
              </w:rPr>
              <w:t>Grupi põhitegevusala on kinnisvaraarendus. Kinnisvara arendamise protsess kestab tavaliselt mitu aastat. Seetõttu on Grupi äritegevus avatud mitmesugustele riskidele. Grupi äritegevust, tegevustulemit, finantsseisundit ja kasumlikkust võivad muu hulgas negatiivselt mõjutada järgmised asjaolud:</w:t>
            </w:r>
          </w:p>
          <w:p w14:paraId="6FC9136E" w14:textId="77777777" w:rsidR="00F562D6" w:rsidRPr="00D6671D" w:rsidRDefault="00F562D6" w:rsidP="002B0EAB">
            <w:pPr>
              <w:pStyle w:val="Paragraph"/>
              <w:numPr>
                <w:ilvl w:val="0"/>
                <w:numId w:val="19"/>
              </w:numPr>
              <w:tabs>
                <w:tab w:val="clear" w:pos="1080"/>
                <w:tab w:val="num" w:pos="709"/>
              </w:tabs>
              <w:spacing w:before="0" w:after="0"/>
              <w:ind w:left="709" w:hanging="709"/>
              <w:rPr>
                <w:sz w:val="16"/>
                <w:szCs w:val="16"/>
                <w:lang w:val="fi-FI"/>
              </w:rPr>
            </w:pPr>
            <w:r w:rsidRPr="00D6671D">
              <w:rPr>
                <w:sz w:val="16"/>
                <w:szCs w:val="16"/>
                <w:lang w:val="fi-FI"/>
              </w:rPr>
              <w:t>makromajanduslik keskkond, turutingimused ja muud sarnased Grupist olenematud asjaolud võivad aja jooksul muutuda ja põhjustada eeldatust või prognoositust suuremaid arendustegevuse kulusid ja/või eeldatust või prognoositust väiksemat tulu;</w:t>
            </w:r>
          </w:p>
          <w:p w14:paraId="0FFB4F03" w14:textId="77777777" w:rsidR="00F562D6" w:rsidRPr="00D6671D" w:rsidRDefault="00F562D6" w:rsidP="002B0EAB">
            <w:pPr>
              <w:pStyle w:val="Paragraph"/>
              <w:numPr>
                <w:ilvl w:val="0"/>
                <w:numId w:val="19"/>
              </w:numPr>
              <w:tabs>
                <w:tab w:val="clear" w:pos="1080"/>
                <w:tab w:val="num" w:pos="709"/>
              </w:tabs>
              <w:spacing w:before="0" w:after="0"/>
              <w:ind w:left="709" w:hanging="709"/>
              <w:rPr>
                <w:sz w:val="16"/>
                <w:szCs w:val="16"/>
                <w:lang w:val="fi-FI"/>
              </w:rPr>
            </w:pPr>
            <w:r w:rsidRPr="00D6671D">
              <w:rPr>
                <w:sz w:val="16"/>
                <w:szCs w:val="16"/>
                <w:lang w:val="fi-FI"/>
              </w:rPr>
              <w:t>muutunud asjaoludest tulenevalt ei pruugi Grupp olla suuteline oma (rahastamis- või muudest lepingutest tulenevaid) kohustusi nõuetekohaselt täitma;</w:t>
            </w:r>
          </w:p>
          <w:p w14:paraId="3712EDCC" w14:textId="77777777" w:rsidR="00F562D6" w:rsidRPr="00D6671D" w:rsidRDefault="00F562D6" w:rsidP="002B0EAB">
            <w:pPr>
              <w:pStyle w:val="Paragraph"/>
              <w:numPr>
                <w:ilvl w:val="0"/>
                <w:numId w:val="19"/>
              </w:numPr>
              <w:tabs>
                <w:tab w:val="clear" w:pos="1080"/>
                <w:tab w:val="num" w:pos="709"/>
              </w:tabs>
              <w:spacing w:before="0" w:after="0"/>
              <w:ind w:left="709" w:hanging="709"/>
              <w:rPr>
                <w:sz w:val="16"/>
                <w:szCs w:val="16"/>
                <w:lang w:val="fi-FI"/>
              </w:rPr>
            </w:pPr>
            <w:r w:rsidRPr="00D6671D">
              <w:rPr>
                <w:sz w:val="16"/>
                <w:szCs w:val="16"/>
                <w:lang w:val="fi-FI"/>
              </w:rPr>
              <w:t>Grupi suhtes kohaldatavaid seadusi ja muid õigusakte võidakse muuta;</w:t>
            </w:r>
          </w:p>
          <w:p w14:paraId="6C397E6D" w14:textId="77777777" w:rsidR="00F562D6" w:rsidRPr="00D6671D" w:rsidRDefault="00F562D6" w:rsidP="002B0EAB">
            <w:pPr>
              <w:pStyle w:val="Paragraph"/>
              <w:numPr>
                <w:ilvl w:val="0"/>
                <w:numId w:val="19"/>
              </w:numPr>
              <w:tabs>
                <w:tab w:val="clear" w:pos="1080"/>
                <w:tab w:val="num" w:pos="709"/>
              </w:tabs>
              <w:spacing w:before="0" w:after="0"/>
              <w:ind w:left="709" w:hanging="709"/>
              <w:rPr>
                <w:sz w:val="16"/>
                <w:szCs w:val="16"/>
                <w:lang w:val="fi-FI"/>
              </w:rPr>
            </w:pPr>
            <w:r w:rsidRPr="00D6671D">
              <w:rPr>
                <w:sz w:val="16"/>
                <w:szCs w:val="16"/>
                <w:lang w:val="fi-FI"/>
              </w:rPr>
              <w:t>detailplaneering, kinnisvara kasutusotstarve või muud arendustegevuse seisukohast olulised tingimused võivad aja jooksul muutuda ja Grupil ei pruugi olla võimalik selliste muutuste tagajärgi piisavalt mõjutada.</w:t>
            </w:r>
          </w:p>
          <w:p w14:paraId="74B41B33" w14:textId="77777777" w:rsidR="00F562D6" w:rsidRPr="00D6671D" w:rsidRDefault="00F562D6" w:rsidP="002B0EAB">
            <w:pPr>
              <w:pStyle w:val="Paragraph"/>
              <w:spacing w:before="0" w:after="0"/>
              <w:rPr>
                <w:b/>
                <w:bCs/>
                <w:i/>
                <w:iCs/>
                <w:sz w:val="16"/>
                <w:szCs w:val="16"/>
                <w:lang w:val="fi-FI"/>
              </w:rPr>
            </w:pPr>
            <w:r w:rsidRPr="00D6671D">
              <w:rPr>
                <w:b/>
                <w:bCs/>
                <w:i/>
                <w:iCs/>
                <w:sz w:val="16"/>
                <w:szCs w:val="16"/>
                <w:lang w:val="fi-FI"/>
              </w:rPr>
              <w:t>Grupil ei pruugi olla võimalik omandada arendamiseks kinnisvara vastuvõetavatel tingimustel</w:t>
            </w:r>
          </w:p>
          <w:p w14:paraId="3C845A41" w14:textId="77777777" w:rsidR="00F562D6" w:rsidRPr="00D6671D" w:rsidRDefault="00F562D6" w:rsidP="002B0EAB">
            <w:pPr>
              <w:pStyle w:val="Paragraph"/>
              <w:spacing w:before="0" w:after="0"/>
              <w:rPr>
                <w:sz w:val="16"/>
                <w:szCs w:val="16"/>
                <w:lang w:val="fi-FI"/>
              </w:rPr>
            </w:pPr>
            <w:r w:rsidRPr="00D6671D">
              <w:rPr>
                <w:sz w:val="16"/>
                <w:szCs w:val="16"/>
                <w:lang w:val="fi-FI"/>
              </w:rPr>
              <w:t>Grupile kuulub palju kinnisvaraobjekte, mida ta võiks arendada. Kui aga Grupil tuleb omandada arendamiseks täiendavat kinnisvara, peab ta selle omandama õigeaegselt ja vastuvõetavatel tingimustel. Grupil ei pruugi erinevatel põhjustel (sh näiteks kasvanud konkurents kinnisvaraturu vastavates segmentides jms) õnnestuda sellist kinnisvara vastuvõetavatel tingimustel omandada. Kui Grupil ei õnnestu kinnisvara omandada, võib sellel olla oluline negatiivne mõju Grupi äritegevusele, tegevustulemile ja finantsseisundile.</w:t>
            </w:r>
          </w:p>
          <w:p w14:paraId="3C874AA7" w14:textId="77777777" w:rsidR="00F562D6" w:rsidRPr="00D6671D" w:rsidRDefault="00F562D6" w:rsidP="002B0EAB">
            <w:pPr>
              <w:pStyle w:val="Paragraph"/>
              <w:spacing w:before="0" w:after="0"/>
              <w:rPr>
                <w:b/>
                <w:bCs/>
                <w:i/>
                <w:iCs/>
                <w:sz w:val="16"/>
                <w:szCs w:val="16"/>
                <w:lang w:val="fi-FI"/>
              </w:rPr>
            </w:pPr>
            <w:r w:rsidRPr="00D6671D">
              <w:rPr>
                <w:b/>
                <w:bCs/>
                <w:i/>
                <w:iCs/>
                <w:sz w:val="16"/>
                <w:szCs w:val="16"/>
                <w:lang w:val="fi-FI"/>
              </w:rPr>
              <w:t>Grupil ei pruugi õnnestuda saada sobivat detailplaneeringut ning vajalikke lubasid ja muid kooskõlastusi</w:t>
            </w:r>
          </w:p>
          <w:p w14:paraId="2D47B6BF" w14:textId="77777777" w:rsidR="00F562D6" w:rsidRPr="00D6671D" w:rsidRDefault="00F562D6" w:rsidP="002B0EAB">
            <w:pPr>
              <w:pStyle w:val="Paragraph"/>
              <w:spacing w:before="0" w:after="0"/>
              <w:rPr>
                <w:sz w:val="16"/>
                <w:szCs w:val="16"/>
                <w:lang w:val="fi-FI"/>
              </w:rPr>
            </w:pPr>
            <w:r w:rsidRPr="00D6671D">
              <w:rPr>
                <w:sz w:val="16"/>
                <w:szCs w:val="16"/>
                <w:lang w:val="fi-FI"/>
              </w:rPr>
              <w:t>Kinnisvara arendamiseks peab vastava maaüksuse suhtes olema kehtestatud detailplaneering, kus on muu hulgas määratletud maaüksuse kasutusotstarve (või -otstarbed), maaüksusel lubatud hoonete maksimaalne arv, suurim lubatud ehitusalune pindala ning hoonete suurim lubatud kõrgus. Ehitamisega alustamiseks peab olema väljastatud ka kehtiv ehitusluba. Selleks, et alustada maaüksustel hoonete või muude rajatiste ehitamisega, võib Grupil olla vaja hankida ka muid lubasid ja kooskõlastusi. Lisaks võib Grupp vajada luba omandatud maaüksustel olevate ehitiste lammutamiseks. Kui lammutamiseks ei anta luba või kui lammutamise tagajärjel tekkivad jäätmed vajavad erikäitlemist (näiteks seetõttu, et sisaldavad ohtlikke aineid), nõuab see Grupilt täiendavaid rahalisi vahendeid.</w:t>
            </w:r>
          </w:p>
          <w:p w14:paraId="333A7B34" w14:textId="77777777" w:rsidR="00F562D6" w:rsidRPr="00D6671D" w:rsidRDefault="00F562D6" w:rsidP="002B0EAB">
            <w:pPr>
              <w:pStyle w:val="Paragraph"/>
              <w:spacing w:before="0" w:after="0"/>
              <w:rPr>
                <w:sz w:val="16"/>
                <w:szCs w:val="16"/>
                <w:lang w:val="fi-FI"/>
              </w:rPr>
            </w:pPr>
            <w:r w:rsidRPr="00D6671D">
              <w:rPr>
                <w:sz w:val="16"/>
                <w:szCs w:val="16"/>
                <w:lang w:val="fi-FI"/>
              </w:rPr>
              <w:t>Sobiliku detailplaneeringu, ehitusloa ja muude vajalike lubade ning kooskõlastuste hankimise suhtes kohaldatakse seadustes sätestatud üksikasjalikke eeskirju ja menetlusi ning see protsess võib võtta mitu aastat (protsessi kestust on võimatu täpselt ette ennustada ja aega võib minna arvatust oluliselt rohkem). Lisaks kaasnevad nimetatud protsessiga olulised kulud, mida Grupp peab kandma detailplaneeringu või vajalike lubade ja kooskõlastuste taotlemise ajal. Isegi kui Grupp esitab taotluse arendustegevuseks vajaliku detailplaneeringu algatamiseks või muude vajalike lubade ja kooskõlastuste saamiseks, ei pruugi ta saada detailplaneeringut ega lubasid või kooskõlastusi, mis on sobilikud Grupi poolt kavandatavate arendusprojektide tarbeks. Kuid Grupp peab kandma nimetatud kulud olenemata sellest, milline on vastava menetluse tulemus.</w:t>
            </w:r>
          </w:p>
          <w:p w14:paraId="65954E1C" w14:textId="77777777" w:rsidR="00F562D6" w:rsidRPr="00D6671D" w:rsidRDefault="00F562D6" w:rsidP="002B0EAB">
            <w:pPr>
              <w:pStyle w:val="Paragraph"/>
              <w:spacing w:before="0" w:after="0"/>
              <w:rPr>
                <w:sz w:val="16"/>
                <w:szCs w:val="16"/>
                <w:lang w:val="fi-FI"/>
              </w:rPr>
            </w:pPr>
            <w:r w:rsidRPr="00D6671D">
              <w:rPr>
                <w:sz w:val="16"/>
                <w:szCs w:val="16"/>
                <w:lang w:val="fi-FI"/>
              </w:rPr>
              <w:t>Kavandatud kinnisvaraobjektide arendamiseks on Grupil vaja hankida ka mitu ehitusluba ja muid kooskõlastusi.</w:t>
            </w:r>
          </w:p>
          <w:p w14:paraId="2BE2684E" w14:textId="77777777" w:rsidR="00F562D6" w:rsidRPr="00D6671D" w:rsidRDefault="00F562D6" w:rsidP="002B0EAB">
            <w:pPr>
              <w:pStyle w:val="Paragraph"/>
              <w:spacing w:before="0" w:after="0"/>
              <w:rPr>
                <w:sz w:val="16"/>
                <w:szCs w:val="16"/>
                <w:lang w:val="fi-FI"/>
              </w:rPr>
            </w:pPr>
            <w:r w:rsidRPr="00D6671D">
              <w:rPr>
                <w:sz w:val="16"/>
                <w:szCs w:val="16"/>
                <w:lang w:val="fi-FI"/>
              </w:rPr>
              <w:t>Kui nimetatud planeeringut, lubasid või kooskõlastusi ei õnnestu hankida tingimustel, mis on kavandatud arendustegevuseks sobilikud, või kui nimetatud planeering, load või kooskõlastused sisaldavad vigu või kui neid muudetakse, võib see avaldada olulist negatiivset mõju Grupi äritegevusele, tegevustulemile või finantsseisundile.</w:t>
            </w:r>
          </w:p>
          <w:p w14:paraId="27C853E6" w14:textId="77777777" w:rsidR="00F562D6" w:rsidRPr="00D6671D" w:rsidRDefault="00F562D6" w:rsidP="002B0EAB">
            <w:pPr>
              <w:pStyle w:val="Paragraph"/>
              <w:spacing w:before="0" w:after="0"/>
              <w:rPr>
                <w:b/>
                <w:bCs/>
                <w:i/>
                <w:iCs/>
                <w:sz w:val="16"/>
                <w:szCs w:val="16"/>
                <w:lang w:val="fi-FI"/>
              </w:rPr>
            </w:pPr>
            <w:r w:rsidRPr="00D6671D">
              <w:rPr>
                <w:b/>
                <w:bCs/>
                <w:i/>
                <w:iCs/>
                <w:sz w:val="16"/>
                <w:szCs w:val="16"/>
                <w:lang w:val="fi-FI"/>
              </w:rPr>
              <w:t>Grupil ei pruugi olla võimalik kinnisvara vastuvõetava hinnaga võõrandada</w:t>
            </w:r>
          </w:p>
          <w:p w14:paraId="4B47770B" w14:textId="77777777" w:rsidR="00F562D6" w:rsidRPr="00D6671D" w:rsidRDefault="00F562D6" w:rsidP="002B0EAB">
            <w:pPr>
              <w:pStyle w:val="Paragraph"/>
              <w:spacing w:before="0" w:after="0"/>
              <w:rPr>
                <w:sz w:val="16"/>
                <w:szCs w:val="16"/>
                <w:lang w:val="fi-FI"/>
              </w:rPr>
            </w:pPr>
            <w:r w:rsidRPr="00D6671D">
              <w:rPr>
                <w:sz w:val="16"/>
                <w:szCs w:val="16"/>
                <w:lang w:val="fi-FI"/>
              </w:rPr>
              <w:t xml:space="preserve">Vastavalt oma strateegiale on Grupp varem kinnisvaraobjektid osaliselt või täielikult maha müünud ning ta kaalub pidevalt kinnisvaraobjektide võõrandamist niipea, kui need on täielikult välja arendatud. Võõrandatavate kinnisvaraobjektide väärtust ja hinda mõjutavad mitmed tegurid, näiteks üldised majandustingimused, intressimäärad, inflatsiooniprognoosid, investorite ootused investeeringute tootlusele ja muutused konkurentsiolukorras. Samuti võib olla raske müüa kinnisvara, mida turgudel liigitatakse mitte-esmaklassiliseks. Ei saa garanteerida, et Grupil õnnestub tulevikus kinnisvaraobjekte võõrandada vastuvõetavate hindadega või kinnisvaraobjektide arendamise kogukuludest kõrgemate hindadega. Kinnisvaraobjektide võõrandamise viibimine või kahjumiga võõrandamine võib aeglustada Grupi arengut ning sellel võib olla oluline negatiivne mõju Grupi äritegevusele, tegevustulemile ja finantsseisundile.  </w:t>
            </w:r>
          </w:p>
          <w:p w14:paraId="0FAECEB2" w14:textId="77777777" w:rsidR="00F562D6" w:rsidRPr="00D6671D" w:rsidRDefault="00F562D6" w:rsidP="002B0EAB">
            <w:pPr>
              <w:pStyle w:val="Paragraph"/>
              <w:spacing w:before="0" w:after="0"/>
              <w:rPr>
                <w:b/>
                <w:bCs/>
                <w:i/>
                <w:iCs/>
                <w:sz w:val="16"/>
                <w:szCs w:val="16"/>
                <w:lang w:val="fi-FI"/>
              </w:rPr>
            </w:pPr>
            <w:r w:rsidRPr="00D6671D">
              <w:rPr>
                <w:b/>
                <w:bCs/>
                <w:i/>
                <w:iCs/>
                <w:sz w:val="16"/>
                <w:szCs w:val="16"/>
                <w:lang w:val="fi-FI"/>
              </w:rPr>
              <w:t>Grupi kinnisvara võidakse avalikes huvides sundvõõrandada</w:t>
            </w:r>
          </w:p>
          <w:p w14:paraId="403C3325" w14:textId="77777777" w:rsidR="00F562D6" w:rsidRPr="00D6671D" w:rsidRDefault="00F562D6" w:rsidP="002B0EAB">
            <w:pPr>
              <w:pStyle w:val="Paragraph"/>
              <w:spacing w:before="0" w:after="0"/>
              <w:rPr>
                <w:sz w:val="16"/>
                <w:szCs w:val="16"/>
                <w:lang w:val="fi-FI"/>
              </w:rPr>
            </w:pPr>
            <w:r w:rsidRPr="00D6671D">
              <w:rPr>
                <w:sz w:val="16"/>
                <w:szCs w:val="16"/>
                <w:lang w:val="fi-FI"/>
              </w:rPr>
              <w:lastRenderedPageBreak/>
              <w:t>Juhul kui Grupi omandatud maad vajatakse avalikes huvides (näiteks tee-ehituseks), võib riik või kohalik omavalitsus omandada maa Grupilt hüvitise eest, mis ei või olla väiksem maa harilikust väärtusest.</w:t>
            </w:r>
          </w:p>
          <w:p w14:paraId="6082D9EC" w14:textId="77777777" w:rsidR="00F562D6" w:rsidRPr="00D6671D" w:rsidRDefault="00F562D6" w:rsidP="002B0EAB">
            <w:pPr>
              <w:pStyle w:val="Paragraph"/>
              <w:spacing w:before="0" w:after="0"/>
              <w:rPr>
                <w:sz w:val="16"/>
                <w:szCs w:val="16"/>
                <w:lang w:val="fi-FI"/>
              </w:rPr>
            </w:pPr>
            <w:r w:rsidRPr="00D6671D">
              <w:rPr>
                <w:sz w:val="16"/>
                <w:szCs w:val="16"/>
                <w:lang w:val="fi-FI"/>
              </w:rPr>
              <w:t>Selline hüvitis ei pruugi siiski olla piisav, et täies ulatuses korvata Grupi kantud kahju. Grupile kuuluva mis tahes kinnisvaraobjekti sundvõõrandamisel võib olla oluline negatiivne mõju Grupi äritegevusele, tegevustulemile või finantsseisundile.</w:t>
            </w:r>
          </w:p>
          <w:p w14:paraId="16EF1784" w14:textId="77777777" w:rsidR="00F562D6" w:rsidRPr="00D6671D" w:rsidRDefault="00F562D6" w:rsidP="002B0EAB">
            <w:pPr>
              <w:pStyle w:val="Paragraph"/>
              <w:spacing w:before="0" w:after="0"/>
              <w:rPr>
                <w:b/>
                <w:bCs/>
                <w:i/>
                <w:iCs/>
                <w:sz w:val="16"/>
                <w:szCs w:val="16"/>
                <w:lang w:val="fi-FI"/>
              </w:rPr>
            </w:pPr>
            <w:r w:rsidRPr="00D6671D">
              <w:rPr>
                <w:b/>
                <w:bCs/>
                <w:i/>
                <w:iCs/>
                <w:sz w:val="16"/>
                <w:szCs w:val="16"/>
                <w:lang w:val="fi-FI"/>
              </w:rPr>
              <w:t>Sõltuvus vähestest suurprojektidest suurendab riske, mis Grupil seoses iga projektiga on</w:t>
            </w:r>
          </w:p>
          <w:p w14:paraId="6D65E231" w14:textId="77777777" w:rsidR="00F562D6" w:rsidRPr="00D6671D" w:rsidRDefault="00F562D6" w:rsidP="002B0EAB">
            <w:pPr>
              <w:pStyle w:val="Paragraph"/>
              <w:spacing w:before="0" w:after="0"/>
              <w:rPr>
                <w:sz w:val="16"/>
                <w:szCs w:val="16"/>
                <w:lang w:val="fi-FI"/>
              </w:rPr>
            </w:pPr>
            <w:r w:rsidRPr="00D6671D">
              <w:rPr>
                <w:sz w:val="16"/>
                <w:szCs w:val="16"/>
                <w:lang w:val="fi-FI"/>
              </w:rPr>
              <w:t>Grupp plaanib arendada üsna vähesel arvul suurprojekte. Grupi kavandatud arendusprojektid viiakse ellu peamiselt Tallinnas (Eesti), Riias (Läti) või Vilniuses (Leedu). Keskendumine vähestele projektidele võib suurendada Grupi tulemuste volatiilsust.</w:t>
            </w:r>
          </w:p>
          <w:p w14:paraId="78A35753" w14:textId="77777777" w:rsidR="00F562D6" w:rsidRPr="00D6671D" w:rsidRDefault="00F562D6" w:rsidP="002B0EAB">
            <w:pPr>
              <w:pStyle w:val="Paragraph"/>
              <w:spacing w:before="0" w:after="0"/>
              <w:rPr>
                <w:sz w:val="16"/>
                <w:szCs w:val="16"/>
                <w:lang w:val="fi-FI"/>
              </w:rPr>
            </w:pPr>
            <w:r w:rsidRPr="00D6671D">
              <w:rPr>
                <w:sz w:val="16"/>
                <w:szCs w:val="16"/>
                <w:lang w:val="fi-FI"/>
              </w:rPr>
              <w:t>Lisaks suurendab see Grupi riske, mis on seotud (a) Grupi iga arendusprojektiga või (b) Tallinna, Riia ja Vilniuse kinnisvaraturuga. Kui Grupp ei suuda mõnda kavandatud arendusprojekti lõpule viia, võib sellel olla oluline negatiivne mõju Grupi äritegevusele, tegevustulemile või finantsseisundile.</w:t>
            </w:r>
          </w:p>
          <w:p w14:paraId="2D5A1027" w14:textId="77777777" w:rsidR="00F562D6" w:rsidRPr="00D6671D" w:rsidRDefault="00F562D6" w:rsidP="002B0EAB">
            <w:pPr>
              <w:pStyle w:val="Paragraph"/>
              <w:spacing w:before="0" w:after="0"/>
              <w:rPr>
                <w:b/>
                <w:bCs/>
                <w:i/>
                <w:iCs/>
                <w:sz w:val="16"/>
                <w:szCs w:val="16"/>
                <w:lang w:val="fi-FI"/>
              </w:rPr>
            </w:pPr>
            <w:r w:rsidRPr="00D6671D">
              <w:rPr>
                <w:b/>
                <w:bCs/>
                <w:i/>
                <w:iCs/>
                <w:sz w:val="16"/>
                <w:szCs w:val="16"/>
                <w:lang w:val="fi-FI"/>
              </w:rPr>
              <w:t>Projektide pikaajalisuse tõttu võivad prognoosid osutuda ebatäpseks</w:t>
            </w:r>
          </w:p>
          <w:p w14:paraId="732A6B87" w14:textId="77777777" w:rsidR="00F562D6" w:rsidRPr="00D6671D" w:rsidRDefault="00F562D6" w:rsidP="002B0EAB">
            <w:pPr>
              <w:pStyle w:val="Paragraph"/>
              <w:spacing w:before="0" w:after="0"/>
              <w:rPr>
                <w:sz w:val="16"/>
                <w:szCs w:val="16"/>
                <w:lang w:val="fi-FI"/>
              </w:rPr>
            </w:pPr>
            <w:r w:rsidRPr="00D6671D">
              <w:rPr>
                <w:sz w:val="16"/>
                <w:szCs w:val="16"/>
                <w:lang w:val="fi-FI"/>
              </w:rPr>
              <w:t>Grupp arendab kinnisvara vastava projekti jaoks koostatud äriplaani alusel. Äriplaanid põhinevad muu hulgas tulevikus esinevate asjaolude prognoosimisel. Projektide pikaajalisus raskendab tulevaste kulude, tulude, hindade, rahastamisvajaduse ja rahastamise kättesaadavuse ning muude sarnaste arendusprojektidega seotud asjaolude prognoosimist. Kui Grupi prognoosid on ebatäpsed, võib sellel olla oluline negatiivne mõju Grupi äritegevusele, tegevustulemile, finantsseisundile ja kasumlikkusele.</w:t>
            </w:r>
          </w:p>
          <w:p w14:paraId="3D6BFF32" w14:textId="77777777" w:rsidR="00F562D6" w:rsidRPr="00D6671D" w:rsidRDefault="00F562D6" w:rsidP="002B0EAB">
            <w:pPr>
              <w:pStyle w:val="Paragraph"/>
              <w:spacing w:before="0" w:after="0"/>
              <w:rPr>
                <w:b/>
                <w:bCs/>
                <w:i/>
                <w:iCs/>
                <w:sz w:val="16"/>
                <w:szCs w:val="16"/>
                <w:lang w:val="fi-FI"/>
              </w:rPr>
            </w:pPr>
            <w:r w:rsidRPr="00D6671D">
              <w:rPr>
                <w:b/>
                <w:bCs/>
                <w:i/>
                <w:iCs/>
                <w:sz w:val="16"/>
                <w:szCs w:val="16"/>
                <w:lang w:val="fi-FI"/>
              </w:rPr>
              <w:t>Kinnisvarainvesteeringute õiglane väärtus võib muutuda ja Grupi kinnisvaraobjektide väärtus võib tulevikus langeda</w:t>
            </w:r>
          </w:p>
          <w:p w14:paraId="732A0364" w14:textId="77777777" w:rsidR="00F562D6" w:rsidRPr="00D6671D" w:rsidRDefault="00F562D6" w:rsidP="002B0EAB">
            <w:pPr>
              <w:pStyle w:val="Paragraph"/>
              <w:spacing w:before="0" w:after="0"/>
              <w:rPr>
                <w:sz w:val="16"/>
                <w:szCs w:val="16"/>
                <w:lang w:val="fi-FI"/>
              </w:rPr>
            </w:pPr>
            <w:r w:rsidRPr="00D6671D">
              <w:rPr>
                <w:sz w:val="16"/>
                <w:szCs w:val="16"/>
                <w:lang w:val="fi-FI"/>
              </w:rPr>
              <w:t xml:space="preserve">Kinnisvarainvesteeringute õiglase väärtuse muutused on Grupi üks lühiajalisi riske. Kinnisvarainvesteeringute õiglast väärtust mõjutavad mitmed tegurid, näiteks üldised ja kohalikud majandustingimused, intressimäärad, inflatsiooniprognoosid, turu üüritasemed, vabade pindade hulk, kinnisvarainvestorite ootused investeeringute tootlusele ja konkurents. </w:t>
            </w:r>
          </w:p>
          <w:p w14:paraId="2DD1188D" w14:textId="77777777" w:rsidR="00F562D6" w:rsidRPr="00D6671D" w:rsidRDefault="00F562D6" w:rsidP="002B0EAB">
            <w:pPr>
              <w:pStyle w:val="Paragraph"/>
              <w:spacing w:before="0" w:after="0"/>
              <w:rPr>
                <w:sz w:val="16"/>
                <w:szCs w:val="16"/>
                <w:lang w:val="fi-FI"/>
              </w:rPr>
            </w:pPr>
            <w:r w:rsidRPr="00D6671D">
              <w:rPr>
                <w:sz w:val="16"/>
                <w:szCs w:val="16"/>
                <w:lang w:val="fi-FI"/>
              </w:rPr>
              <w:t xml:space="preserve">Kõige olulisemad makromajanduslikud tegurid, mis mõjutavad kinnisvaraobjektide üldist hinnataset, on intressimäärad, SKP kasv, tarbijate kulutused ja inflatsioon. Kinnisvaraobjektide väärtust võivad mõjutada ka linnaplaneerimine ja ehitusprojektid ning muutused konkurentsiolukorras. </w:t>
            </w:r>
          </w:p>
          <w:p w14:paraId="49A7B190" w14:textId="77777777" w:rsidR="00F562D6" w:rsidRPr="00D6671D" w:rsidRDefault="00F562D6" w:rsidP="002B0EAB">
            <w:pPr>
              <w:pStyle w:val="Paragraph"/>
              <w:spacing w:before="0" w:after="0"/>
              <w:rPr>
                <w:sz w:val="16"/>
                <w:szCs w:val="16"/>
                <w:lang w:val="fi-FI"/>
              </w:rPr>
            </w:pPr>
            <w:r w:rsidRPr="006E4666">
              <w:rPr>
                <w:sz w:val="16"/>
                <w:szCs w:val="16"/>
                <w:lang w:val="fi-FI"/>
              </w:rPr>
              <w:t xml:space="preserve">Grupp kasutab oma kinnisvarainvesteeringute väärtuse hindamisel õiglase väärtuse mudelit, mille kohaselt kajastatakse kinnisvarainvesteeringute õiglase väärtuse muutused koondkasumiaruandes (s.t kasum ja kahjum õiglasest väärtusest). </w:t>
            </w:r>
            <w:r w:rsidRPr="00D6671D">
              <w:rPr>
                <w:sz w:val="16"/>
                <w:szCs w:val="16"/>
                <w:lang w:val="fi-FI"/>
              </w:rPr>
              <w:t xml:space="preserve">Colliers Internationali hindamisaruande kohaselt oli Grupi kinnisvaraobjektide investeeringuväärtus 2016. aasta detsembri seisuga 236 miljonit eurot. Nende kinnisvaraobjektide investeeringuväärtuse hindamisel on kasutatud võtteid ja meetodeid, mis erinevad Äriühingu finantsaruannetes kasutusel olevatest. Seetõttu erineb kinnisvaraobjektide väärtus, mis on kajastatud Äriühingu finantsaruannetes, oluliselt hindamisaruandes märgitud investeeringuväärtusest. Colliers International hindas investeeringuväärtust mitmesuguste eelduste alusel. Kui tegelikud asjaolud erinevad eeldustest, millel hindamine põhines, ei pruugi Grupi kinnisvaraobjektide hinnatud investeeringuväärtus õige olla. Hinnatud kinnisvaraobjektide väärtus võib aja jooksul muutuda. Seega, kui hiljem viiakse läbi uus hindamine, võib selle tulemus erineda hindamisaruandes märgitud investeeringuväärtusest. </w:t>
            </w:r>
          </w:p>
          <w:p w14:paraId="4153C112" w14:textId="77777777" w:rsidR="00F562D6" w:rsidRPr="00D6671D" w:rsidRDefault="00F562D6" w:rsidP="002B0EAB">
            <w:pPr>
              <w:pStyle w:val="Paragraph"/>
              <w:spacing w:before="0" w:after="0"/>
              <w:rPr>
                <w:sz w:val="16"/>
                <w:szCs w:val="16"/>
                <w:lang w:val="fi-FI"/>
              </w:rPr>
            </w:pPr>
            <w:r w:rsidRPr="00D6671D">
              <w:rPr>
                <w:sz w:val="16"/>
                <w:szCs w:val="16"/>
                <w:lang w:val="fi-FI"/>
              </w:rPr>
              <w:t>Kinnisvarainvesteeringute õiglase väärtuse muutused mõjutavad Äriühingu koondkasumiaruannet ja finantsseisundi aruannet majandusaasta kohta, kuid neil puudub otsene mõju rahavoogude aruandele. Kinnisvarainvesteeringute õiglase väärtuse olulisel vähenemisel võib olla oluline negatiivne mõju Äriühingu äritegevusele, tegevustulemile ja finantsseisundile.</w:t>
            </w:r>
          </w:p>
          <w:p w14:paraId="4522AEA0" w14:textId="77777777" w:rsidR="00F562D6" w:rsidRPr="00D6671D" w:rsidRDefault="00F562D6" w:rsidP="002B0EAB">
            <w:pPr>
              <w:pStyle w:val="Paragraph"/>
              <w:spacing w:before="0" w:after="0"/>
              <w:rPr>
                <w:b/>
                <w:bCs/>
                <w:i/>
                <w:iCs/>
                <w:sz w:val="16"/>
                <w:szCs w:val="16"/>
                <w:lang w:val="fi-FI"/>
              </w:rPr>
            </w:pPr>
            <w:r w:rsidRPr="00D6671D">
              <w:rPr>
                <w:b/>
                <w:bCs/>
                <w:i/>
                <w:iCs/>
                <w:sz w:val="16"/>
                <w:szCs w:val="16"/>
                <w:lang w:val="fi-FI"/>
              </w:rPr>
              <w:t>Grupil ei pruugi olla kahju hüvitamiseks piisavat kindlustuskaitset või piisavalt reserve</w:t>
            </w:r>
          </w:p>
          <w:p w14:paraId="5E91F6DB" w14:textId="77777777" w:rsidR="0088723D" w:rsidRPr="00D6671D" w:rsidRDefault="00F562D6">
            <w:pPr>
              <w:pStyle w:val="Paragraph"/>
              <w:spacing w:before="0" w:after="0"/>
              <w:rPr>
                <w:sz w:val="16"/>
                <w:szCs w:val="16"/>
                <w:lang w:val="fi-FI"/>
              </w:rPr>
            </w:pPr>
            <w:r w:rsidRPr="00D6671D">
              <w:rPr>
                <w:sz w:val="16"/>
                <w:szCs w:val="16"/>
                <w:lang w:val="fi-FI"/>
              </w:rPr>
              <w:t>Grupp on sõlminud kindlustuslepingud, et kindlustada end mitmesuguste kahjude vastu. Kindlustuskaitse on siiski piiratud ning mitmesugused riskid (näiteks teatavad loodusõnnetused ja terroriaktid) ei ole erinevatel põhjustustel kindlustusega kaetud (näiteks seetõttu, et nende vastu ei saagi kindlustada, või kuna kindlustamise hind on juhatuse hinnangul riski suurusega võrreldes liiga kõrge). Äriühing usub, et hangitud kindlustuskaitse vastab antud tegevusalal kehtivale tavale. Sellele vaatamata ei pruugi kindlustus olla piisav, et korvata Grupile täielikult kogu kantud kahju. Näiteks isegi juhul, kui kindlustus on piisav selleks, et katta Grupi otsene kahju, võib Gruppi negatiivselt mõjutada see, et tal jääb saamata tulu endale kuuluva kinnisvara tõttu või kinnisvaraga seoses. Eelnimetatud negatiivsed sündmused või ebapiisav kindlustuskaitse võivad tuua kaasa investeeringutest või tulevikuks kavandatud tulust ilmajäämise ja Grupil täiendavate kohustuste või täiendava vastutuse tekkimise ning avaldada olulist negatiivset mõju Grupi äritegevusele, tegevustulemile, kasumlikkusele ja finantsseisundile.</w:t>
            </w:r>
          </w:p>
          <w:p w14:paraId="20B81B62" w14:textId="77777777" w:rsidR="00F562D6" w:rsidRPr="00D6671D" w:rsidRDefault="00F562D6" w:rsidP="002B0EAB">
            <w:pPr>
              <w:pStyle w:val="Paragraph"/>
              <w:spacing w:before="0" w:after="0"/>
              <w:rPr>
                <w:sz w:val="16"/>
                <w:szCs w:val="16"/>
                <w:lang w:val="fi-FI"/>
              </w:rPr>
            </w:pPr>
            <w:r w:rsidRPr="00D6671D">
              <w:rPr>
                <w:sz w:val="16"/>
                <w:szCs w:val="16"/>
                <w:lang w:val="fi-FI"/>
              </w:rPr>
              <w:t>Grupil puuduvad eraldi vahendid või reservid nimetatud sündmuste puhuks.</w:t>
            </w:r>
          </w:p>
          <w:p w14:paraId="51FF40B0" w14:textId="77777777" w:rsidR="00F562D6" w:rsidRPr="00D6671D" w:rsidRDefault="00F562D6" w:rsidP="002B0EAB">
            <w:pPr>
              <w:pStyle w:val="Paragraph"/>
              <w:spacing w:before="0" w:after="0"/>
              <w:rPr>
                <w:b/>
                <w:bCs/>
                <w:i/>
                <w:iCs/>
                <w:sz w:val="16"/>
                <w:szCs w:val="16"/>
                <w:lang w:val="fi-FI"/>
              </w:rPr>
            </w:pPr>
            <w:r w:rsidRPr="00D6671D">
              <w:rPr>
                <w:b/>
                <w:bCs/>
                <w:i/>
                <w:iCs/>
                <w:sz w:val="16"/>
                <w:szCs w:val="16"/>
                <w:lang w:val="fi-FI"/>
              </w:rPr>
              <w:t>Grupp tugineb kolmandast isikust ehitustöövõtjatele</w:t>
            </w:r>
          </w:p>
          <w:p w14:paraId="486181B8" w14:textId="77777777" w:rsidR="00F562D6" w:rsidRPr="00D6671D" w:rsidRDefault="00F562D6" w:rsidP="002B0EAB">
            <w:pPr>
              <w:pStyle w:val="Paragraph"/>
              <w:spacing w:before="0" w:after="0"/>
              <w:rPr>
                <w:sz w:val="16"/>
                <w:szCs w:val="16"/>
                <w:lang w:val="fi-FI"/>
              </w:rPr>
            </w:pPr>
            <w:r w:rsidRPr="00D6671D">
              <w:rPr>
                <w:sz w:val="16"/>
                <w:szCs w:val="16"/>
                <w:lang w:val="fi-FI"/>
              </w:rPr>
              <w:t>Grupp tugineb kolmandast isikust ehitustöövõtjatele. Kui Grupil ei õnnestu sõlmida kolmandast isikust ehitustöövõtjatega projekteerimis- või ehituslepinguid vastuvõetavatel tingimustel või kui ta ei jõua kokkuleppele sõlmitud projekteerimis- või ehituslepingutes mõistlike muudatuste tegemises või kui ehitustöövõtjad mis tahes põhjusel rikuvad nimetatud lepinguid või ei täida seaduse imperatiivsetest sätetest tulenevaid kohustusi, sh nõudeid, mis on ehitusloa kehtivuse eeltingimuseks (näiteks kohustus sõlmida ehitusettevõtja vastutuskindlustuse poliis, mis kehtib kogu ehitusloa kehtivuse ajal), võib Grupp olla sunnitud kandma lisakulusid või kahju või jääda ilma kavandatud tulust. Iga selline rikkumine võib kaasa tuua ka vastava arendusprojekti valmimise edasilükkumise. Igal taolisel sündmusel võib olla negatiivne mõju Grupi äritegevusele, tegevustulemile, finantsseisundile ja kasumlikkusele.</w:t>
            </w:r>
          </w:p>
          <w:p w14:paraId="5FBA4B41" w14:textId="77777777" w:rsidR="00F562D6" w:rsidRPr="006E4666" w:rsidRDefault="00F562D6" w:rsidP="002B0EAB">
            <w:pPr>
              <w:pStyle w:val="Paragraph"/>
              <w:spacing w:before="0" w:after="0"/>
              <w:rPr>
                <w:sz w:val="16"/>
                <w:szCs w:val="16"/>
                <w:lang w:val="fi-FI"/>
              </w:rPr>
            </w:pPr>
            <w:r w:rsidRPr="006E4666">
              <w:rPr>
                <w:sz w:val="16"/>
                <w:szCs w:val="16"/>
                <w:lang w:val="fi-FI"/>
              </w:rPr>
              <w:t xml:space="preserve">Samuti peab arvestama sellega, et Leedu õiguse kohaselt vastutab juhul, kui töövõtja ei täida oma kohustusi ning läheb pankrotti või likvideerimisele, garantiiajal ilmnenud vigade ja puuduste eest kinnisvara ostja ees kinnisvaraprojekti arendaja. Kehtivate Leedu õigusaktide kohaselt on ehitise garantiiaeg nähtavate osade puhul (näiteks katus, aknad, uksed, fassaad, seinad) 5 aastat, varjatud osade puhul (s.t osad, mille puhul on vajalik erihindamine, näiteks tehnovõrgud, isolatsioon jne) 10 aastat ning paigaldatud süsteemide puhul (kütte- ja elektrisüsteem jne) tootja määratud periood (tavaliselt 1–5 aastat). Seega, kui mõni Leedu ehitusettevõtja, mida Grupi äriühingud kasutavad, </w:t>
            </w:r>
            <w:r w:rsidRPr="006E4666">
              <w:rPr>
                <w:sz w:val="16"/>
                <w:szCs w:val="16"/>
                <w:lang w:val="fi-FI"/>
              </w:rPr>
              <w:lastRenderedPageBreak/>
              <w:t>pankrotistub või likvideeritakse, võidakse Grupi äriühingud lugeda vastutavaks vastavalt eespool kirjeldatule ning see võib avaldada olulist negatiivset mõju Grupi tegevustulemile ja finantsseisundile.</w:t>
            </w:r>
          </w:p>
          <w:p w14:paraId="08E5ED89" w14:textId="77777777" w:rsidR="00F562D6" w:rsidRPr="00D6671D" w:rsidRDefault="00F562D6" w:rsidP="002B0EAB">
            <w:pPr>
              <w:pStyle w:val="Paragraph"/>
              <w:spacing w:before="0" w:after="0"/>
              <w:rPr>
                <w:b/>
                <w:bCs/>
                <w:i/>
                <w:iCs/>
                <w:sz w:val="16"/>
                <w:szCs w:val="16"/>
                <w:lang w:val="fi-FI"/>
              </w:rPr>
            </w:pPr>
            <w:r w:rsidRPr="00D6671D">
              <w:rPr>
                <w:b/>
                <w:bCs/>
                <w:i/>
                <w:iCs/>
                <w:sz w:val="16"/>
                <w:szCs w:val="16"/>
                <w:lang w:val="fi-FI"/>
              </w:rPr>
              <w:t>Grupil ei ole võimalik projekte oma plaanide kohaselt arendada, kui ta ei suuda kaasata täiendavat kapitali või teenindada olemasolevat võlga</w:t>
            </w:r>
          </w:p>
          <w:p w14:paraId="77D649FA" w14:textId="77777777" w:rsidR="00F562D6" w:rsidRPr="00D6671D" w:rsidRDefault="00F562D6" w:rsidP="002B0EAB">
            <w:pPr>
              <w:pStyle w:val="Paragraph"/>
              <w:spacing w:before="0" w:after="0"/>
              <w:rPr>
                <w:sz w:val="16"/>
                <w:szCs w:val="16"/>
                <w:lang w:val="fi-FI"/>
              </w:rPr>
            </w:pPr>
            <w:r w:rsidRPr="00D6671D">
              <w:rPr>
                <w:sz w:val="16"/>
                <w:szCs w:val="16"/>
                <w:lang w:val="fi-FI"/>
              </w:rPr>
              <w:t>Grupp tegutseb kapitalimahukas majandusharus ning vajab kinnisvaraobjektide omandamiseks ja arendamiseks palju käibekapitali. Seetõttu, kui Grupis genereeritud rahavood või arendatud kinnisvaraobjektide müügist saadud rahavood on oodatust väiksemad või teistelt kohalikelt või üleilmsetelt laenuandjatelt saadavad summad osutuvad vajaminevast väiksemaks, võib sellel olla oluline negatiivne mõju Grupi äritegevusele, tegevustulemile ja finantsseisundile.</w:t>
            </w:r>
          </w:p>
          <w:p w14:paraId="72E0F846" w14:textId="77777777" w:rsidR="00F562D6" w:rsidRPr="00D6671D" w:rsidRDefault="00F562D6" w:rsidP="002B0EAB">
            <w:pPr>
              <w:pStyle w:val="Paragraph"/>
              <w:spacing w:before="0" w:after="0"/>
              <w:rPr>
                <w:sz w:val="16"/>
                <w:szCs w:val="16"/>
                <w:lang w:val="fi-FI"/>
              </w:rPr>
            </w:pPr>
            <w:r w:rsidRPr="00D6671D">
              <w:rPr>
                <w:sz w:val="16"/>
                <w:szCs w:val="16"/>
                <w:lang w:val="fi-FI"/>
              </w:rPr>
              <w:t>31. detsembri 2016. aasta seisuga moodustasid Grupi võlakohustused 43,6 protsenti koguvarast. Kui Grupil ei õnnestu vajaminevat kapitali kaasata (näiteks kui soodsatel tingimustel laenu saamine on piiratud), tuleb projektid edasi lükata. Kui Grupil ei õnnestu kaasata vajaminevat kapitali, ei saa ta oma äritegevust kavandatul kujul ellu viia. See, kas ja millistel tingimusel Grupil õnnestub kaasata täiendavat kapitali ning kas Grupp on võimeline oma võlakohustusi täitma, sõltub mitmesugustest teguritest, sealhulgas teguritest, mis ei sõltu Grupist (näiteks üldine majandus- ja turuolukord, üldised rahalised ja ärilised tegurid jms). Olemasolevad võlakohustused ning vajadus kaasata täiendavat kapitali vähendavad ka Grupi paindlikkust oma äritegevuse kavandamisel ja projektide elluviimisel ning annavad konkurentsieelise Grupi konkurentidele, kellel on vähem võlakohustusi.</w:t>
            </w:r>
          </w:p>
          <w:p w14:paraId="3BA18A65" w14:textId="77777777" w:rsidR="00F562D6" w:rsidRPr="00D6671D" w:rsidRDefault="00F562D6" w:rsidP="002B0EAB">
            <w:pPr>
              <w:pStyle w:val="Paragraph"/>
              <w:spacing w:before="0" w:after="0"/>
              <w:rPr>
                <w:sz w:val="16"/>
                <w:szCs w:val="16"/>
                <w:lang w:val="fi-FI"/>
              </w:rPr>
            </w:pPr>
            <w:r w:rsidRPr="00D6671D">
              <w:rPr>
                <w:sz w:val="16"/>
                <w:szCs w:val="16"/>
                <w:lang w:val="fi-FI"/>
              </w:rPr>
              <w:t>Kui Grupp ei ole võimeline oma võlakohustusi teenindama, refinantseerima või restruktureerima, võib tal tekkida vajadus müüa vara või kaasata täiendavat kapitali. Grupil ei pruugi õnnestuda teha seda soodsatel või Grupile vastuvõetavatel tingimustel. Kui Grupil ei õnnestu kaasata vajaminevat täiendavat kapitali, ei saa ta oma arendusprojekte plaanide kohaselt ellu viia. Kui Grupp ei suuda teenindada, refinantseerida või ümber kujundada oma võlakohustusi või kaasata täiendavat kapitali (võla- või omakapitali), võib sellel olla oluline negatiivne mõju Grupi äritegevusele, tegevustulemile, kasumlikkusele ja finantsseisundile.</w:t>
            </w:r>
          </w:p>
          <w:p w14:paraId="3F470CFF" w14:textId="77777777" w:rsidR="00F562D6" w:rsidRPr="00D6671D" w:rsidRDefault="00F562D6" w:rsidP="002B0EAB">
            <w:pPr>
              <w:pStyle w:val="Paragraph"/>
              <w:spacing w:before="0" w:after="0"/>
              <w:rPr>
                <w:b/>
                <w:i/>
                <w:sz w:val="16"/>
                <w:szCs w:val="16"/>
                <w:lang w:val="fi-FI"/>
              </w:rPr>
            </w:pPr>
            <w:r w:rsidRPr="00D6671D">
              <w:rPr>
                <w:b/>
                <w:bCs/>
                <w:i/>
                <w:iCs/>
                <w:sz w:val="16"/>
                <w:szCs w:val="16"/>
                <w:lang w:val="fi-FI"/>
              </w:rPr>
              <w:t>Grupp peab täitma mitmesuguseid rahastamislepingutest ja finantsinstrumentidest tulenevaid tingimusi. Kui ta seda ei tee, võib ta ilma jääda õigustest oma varale</w:t>
            </w:r>
          </w:p>
          <w:p w14:paraId="23CA7758" w14:textId="77777777" w:rsidR="00F562D6" w:rsidRPr="00D6671D" w:rsidRDefault="00F562D6" w:rsidP="002B0EAB">
            <w:pPr>
              <w:pStyle w:val="Paragraph"/>
              <w:spacing w:before="0" w:after="0"/>
              <w:rPr>
                <w:sz w:val="16"/>
                <w:szCs w:val="16"/>
                <w:lang w:val="fi-FI"/>
              </w:rPr>
            </w:pPr>
            <w:r w:rsidRPr="00D6671D">
              <w:rPr>
                <w:sz w:val="16"/>
                <w:szCs w:val="16"/>
                <w:lang w:val="fi-FI"/>
              </w:rPr>
              <w:t>Grupp on kaasanud võõrkapitali krediidiasutustest rahastamislepingute alusel laenu võtmise ning võlakirjade ja vahetusvõlakirjade emiteerimise teel („</w:t>
            </w:r>
            <w:proofErr w:type="gramStart"/>
            <w:r w:rsidRPr="00D6671D">
              <w:rPr>
                <w:sz w:val="16"/>
                <w:szCs w:val="16"/>
                <w:lang w:val="fi-FI"/>
              </w:rPr>
              <w:t>rahastamislepingud“</w:t>
            </w:r>
            <w:proofErr w:type="gramEnd"/>
            <w:r w:rsidRPr="00D6671D">
              <w:rPr>
                <w:sz w:val="16"/>
                <w:szCs w:val="16"/>
                <w:lang w:val="fi-FI"/>
              </w:rPr>
              <w:t>). Need rahastamislepingud sisaldavad mitmesuguseid kohustusi ja keelde ning tingimusi, mille kohaselt on teatavateks tegevusteks vaja võlausaldaja nõusolekut; sellisteks tegevusteks on muu hulgas täiendava laenu võtmine, tagatise andmine või varade tagatisena kasutamine, kolmandatele isikutele õigusi andvate üüri-, rendi- või muude lepingute sõlmimine koormatud varade suhtes, Grupi struktuuri muutmine, teise äriühinguga ühinemine, Grupi äriühingute aktsiakapitali suurendamine või vähendamine, Grupi äriühingute põhitegevusala või juhatuse pädevuse muutmine, teistesse ettevõtetesse investeerimine või ettevõtte või selle osa võõrandamine. Mõnes Grupi äriühingu rahastamislepingus on sätestatud vastava äriühingu kohustus säilitada rahastamislepingu kehtivuse ajal teatavad rahalised tasemed ja finantssuhtarvud.</w:t>
            </w:r>
          </w:p>
          <w:p w14:paraId="2951233E" w14:textId="77777777" w:rsidR="00F562D6" w:rsidRPr="00D6671D" w:rsidRDefault="00F562D6" w:rsidP="002B0EAB">
            <w:pPr>
              <w:pStyle w:val="Paragraph"/>
              <w:spacing w:before="0" w:after="0"/>
              <w:rPr>
                <w:sz w:val="16"/>
                <w:szCs w:val="16"/>
                <w:lang w:val="fi-FI"/>
              </w:rPr>
            </w:pPr>
            <w:r w:rsidRPr="00D6671D">
              <w:rPr>
                <w:sz w:val="16"/>
                <w:szCs w:val="16"/>
                <w:lang w:val="fi-FI"/>
              </w:rPr>
              <w:t>Grupi rahastamislepingud näevad ette, et kui mõnda kohustust või keeldu rikutakse või kui enne tehingut ei küsita nõuetekohaselt laenuandja nõusolekut, loetakse seda lepingu oluliseks rikkumiseks ning võlausaldajal on õigus nõuda Grupi äriühingutelt ennetähtaegseid makseid ja kasutada muid lepingust või seadusest tulenevaid õiguskaitsevahendeid (näiteks nõuda leppetrahvi ja/või kahju hüvitamist). Gruppi kuuluvate äriühingute sõlmitud rahastamislepingud sisaldavad sätteid, mis käsitlevad täiendavaid lepingurikkumisi, sh rikkumisi, mis tulenevad sama laenuandjaga või teiste võlausaldajatega sõlmitud muude lepingute rikkumisest (</w:t>
            </w:r>
            <w:r w:rsidRPr="00D6671D">
              <w:rPr>
                <w:i/>
                <w:iCs/>
                <w:sz w:val="16"/>
                <w:szCs w:val="16"/>
                <w:lang w:val="fi-FI"/>
              </w:rPr>
              <w:t>„cross-</w:t>
            </w:r>
            <w:proofErr w:type="gramStart"/>
            <w:r w:rsidRPr="00D6671D">
              <w:rPr>
                <w:i/>
                <w:iCs/>
                <w:sz w:val="16"/>
                <w:szCs w:val="16"/>
                <w:lang w:val="fi-FI"/>
              </w:rPr>
              <w:t>default“</w:t>
            </w:r>
            <w:proofErr w:type="gramEnd"/>
            <w:r w:rsidRPr="00D6671D">
              <w:rPr>
                <w:sz w:val="16"/>
                <w:szCs w:val="16"/>
                <w:lang w:val="fi-FI"/>
              </w:rPr>
              <w:t>). Lisaks on rahastamislepingute kohaselt rikkumisega tegemist ka siis, kui laenusaaja võtab endale täiendavaid olulisi finantskohustusi või kontrollosalus laenusaajas muutub ilma laenuandja eelneva nõusolekuta.</w:t>
            </w:r>
          </w:p>
          <w:p w14:paraId="28C1C4D0" w14:textId="77777777" w:rsidR="00F562D6" w:rsidRPr="00D6671D" w:rsidRDefault="00F562D6" w:rsidP="002B0EAB">
            <w:pPr>
              <w:pStyle w:val="Paragraph"/>
              <w:spacing w:before="0" w:after="0"/>
              <w:rPr>
                <w:sz w:val="16"/>
                <w:szCs w:val="16"/>
                <w:lang w:val="fi-FI"/>
              </w:rPr>
            </w:pPr>
            <w:r w:rsidRPr="00D6671D">
              <w:rPr>
                <w:sz w:val="16"/>
                <w:szCs w:val="16"/>
                <w:lang w:val="fi-FI"/>
              </w:rPr>
              <w:t>Peale selle näevad Grupi rahastamislepingud ette Grupi äriühingute kohustuse pantida oma vara (sh kinnisvara, tütarettevõtjate aktsiad või muu vara). Suurem osa Grupi kinnisvarast on asjaomaste laenuandjate kasuks hüpoteegiga koormatud. Mõned pandid ja hüpoteegid tagavad ka kõiki laenuandja olemasolevaid ja potentsiaalseid nõudeid teiste Gruppi kuuluvate äriühingute vastu. Rahastamislepingute rikkumine võib kaasa tuua selle, et Grupp jääb ilma panditud varaga seotud õigustest või vara omandiõigusest, või selle, et Grupp on sunnitud vara ebasoodsatel tingimustel maha müüma (näiteks hinnaga, mis on turuväärtusest madalam ja mis ei kata laenujääki, mistõttu jäävad tal vastava kinnisvaraobjektiga seoses endiselt osaliselt alles kohustused rahastajate ees).</w:t>
            </w:r>
          </w:p>
          <w:p w14:paraId="2CA81763" w14:textId="77777777" w:rsidR="00F562D6" w:rsidRPr="00D6671D" w:rsidRDefault="00F562D6" w:rsidP="002B0EAB">
            <w:pPr>
              <w:pStyle w:val="Paragraph"/>
              <w:spacing w:before="0" w:after="0"/>
              <w:rPr>
                <w:sz w:val="16"/>
                <w:szCs w:val="16"/>
                <w:lang w:val="fi-FI"/>
              </w:rPr>
            </w:pPr>
            <w:r w:rsidRPr="00AA76D9">
              <w:rPr>
                <w:sz w:val="16"/>
                <w:szCs w:val="16"/>
                <w:lang w:val="fi-FI"/>
              </w:rPr>
              <w:t xml:space="preserve">Lisaks on Grupi teatavad liikmed (sh Äriühing) väljastanud garantiisid, millega tagatakse Grupile rahastamislepingutest tulenevaid teatud kohustusi. See võimaldab juhul, kui laenusaaja jätab rahastamislepingus sätestatud kohustused täitmata, finantseerimisasutusel nõuda kohustuste täitmist garantiikirja väljastajalt (näiteks Äriühingult). </w:t>
            </w:r>
            <w:r w:rsidRPr="00D6671D">
              <w:rPr>
                <w:sz w:val="16"/>
                <w:szCs w:val="16"/>
                <w:lang w:val="fi-FI"/>
              </w:rPr>
              <w:t>Seetõttu on Grupp tervikuna avatud riskidele, mis on seotud rahastamislepingutes sätestatud kohustuste täitmata jätmisega tütarettevõtja poolt.</w:t>
            </w:r>
          </w:p>
          <w:p w14:paraId="4795F0CE" w14:textId="77777777" w:rsidR="00F562D6" w:rsidRPr="00D6671D" w:rsidRDefault="00F562D6" w:rsidP="002B0EAB">
            <w:pPr>
              <w:pStyle w:val="Paragraph"/>
              <w:spacing w:before="0" w:after="0"/>
              <w:rPr>
                <w:sz w:val="16"/>
                <w:szCs w:val="16"/>
                <w:lang w:val="fi-FI"/>
              </w:rPr>
            </w:pPr>
            <w:r w:rsidRPr="00D6671D">
              <w:rPr>
                <w:sz w:val="16"/>
                <w:szCs w:val="16"/>
                <w:lang w:val="fi-FI"/>
              </w:rPr>
              <w:t>Peale selle näevad mõned Grupi äriühingute sõlmitud laenulepingud ette, et kõik vastavale äriühingule tema aktsionäri või seotud isiku poolt antud laenud on allutatud panga väljastatud krediidile. Nende lepingute ja vastavate allutamiskokkulepete kohaselt ei või teatavad Grupi äriühingud teistele Grupi äriühingutele ühtegi osa laenust või intressidest tagasi maksta enne, kui on tagasi makstud krediit, millele grupisisesed laenud on allutatud. Seega piiravad kõnealused lepingusätted vahendite liikumist Grupi äriühingute vahel, millel võib olla oluline negatiivne mõju Grupi äriühingute või Grupi kui terviku finantsseisundile.</w:t>
            </w:r>
          </w:p>
          <w:p w14:paraId="5E43DF62" w14:textId="77777777" w:rsidR="00F562D6" w:rsidRPr="00D6671D" w:rsidRDefault="00F562D6" w:rsidP="002B0EAB">
            <w:pPr>
              <w:pStyle w:val="Paragraph"/>
              <w:spacing w:before="0" w:after="0"/>
              <w:rPr>
                <w:sz w:val="16"/>
                <w:szCs w:val="16"/>
                <w:lang w:val="fi-FI"/>
              </w:rPr>
            </w:pPr>
            <w:r w:rsidRPr="00D6671D">
              <w:rPr>
                <w:sz w:val="16"/>
                <w:szCs w:val="16"/>
                <w:lang w:val="fi-FI"/>
              </w:rPr>
              <w:t>Käesoleva Prospekti kuupäeva seisuga ei ole finantsasutused esitanud ühtegi nõuet seoses rahastamislepingute tingimuste võimaliku rikkumisega. Äriühingu juhatuse hinnangul ei riku ükski Gruppi kuuluvatest äriühingutest oma laenulepingutest tulenevaid kohustusi.</w:t>
            </w:r>
          </w:p>
          <w:p w14:paraId="6CDD968E" w14:textId="77777777" w:rsidR="00F562D6" w:rsidRPr="00D6671D" w:rsidRDefault="00F562D6" w:rsidP="002B0EAB">
            <w:pPr>
              <w:pStyle w:val="Paragraph"/>
              <w:spacing w:before="0" w:after="0"/>
              <w:rPr>
                <w:sz w:val="16"/>
                <w:szCs w:val="16"/>
                <w:lang w:val="fi-FI"/>
              </w:rPr>
            </w:pPr>
            <w:r w:rsidRPr="00D6671D">
              <w:rPr>
                <w:sz w:val="16"/>
                <w:szCs w:val="16"/>
                <w:lang w:val="fi-FI"/>
              </w:rPr>
              <w:t>Kui rahastamislepinguid rikutakse või kui mõni laenuandja esitab ennetähtaegse tagasimaksmise nõude või kui mõnelt laenuandjalt ei saada mõneks Grupi tegevuseks luba või kinnitust õigustest loobumise kohta, võib sellel olla oluline negatiivne mõju Grupi äritegevusele, tegevustulemile, kasumlikkusele ja finantsseisundile.</w:t>
            </w:r>
          </w:p>
          <w:p w14:paraId="0BE5AB44" w14:textId="77777777" w:rsidR="00F562D6" w:rsidRPr="00AA76D9" w:rsidRDefault="00F562D6" w:rsidP="002B0EAB">
            <w:pPr>
              <w:pStyle w:val="Paragraph"/>
              <w:spacing w:before="0" w:after="0"/>
              <w:rPr>
                <w:b/>
                <w:bCs/>
                <w:i/>
                <w:iCs/>
                <w:sz w:val="16"/>
                <w:szCs w:val="16"/>
                <w:lang w:val="fi-FI"/>
              </w:rPr>
            </w:pPr>
            <w:bookmarkStart w:id="9" w:name="_GoBack"/>
            <w:r w:rsidRPr="00AA76D9">
              <w:rPr>
                <w:b/>
                <w:bCs/>
                <w:i/>
                <w:iCs/>
                <w:sz w:val="16"/>
                <w:szCs w:val="16"/>
                <w:lang w:val="fi-FI"/>
              </w:rPr>
              <w:t>Äriühing sõltub tütarettevõtjate rahavoogudest</w:t>
            </w:r>
          </w:p>
          <w:bookmarkEnd w:id="9"/>
          <w:p w14:paraId="04E815EA" w14:textId="77777777" w:rsidR="00F562D6" w:rsidRPr="00D6671D" w:rsidRDefault="00F562D6" w:rsidP="002B0EAB">
            <w:pPr>
              <w:pStyle w:val="Paragraph"/>
              <w:spacing w:before="0" w:after="0"/>
              <w:rPr>
                <w:sz w:val="16"/>
                <w:szCs w:val="16"/>
                <w:lang w:val="fi-FI"/>
              </w:rPr>
            </w:pPr>
            <w:r w:rsidRPr="00D6671D">
              <w:rPr>
                <w:sz w:val="16"/>
                <w:szCs w:val="16"/>
                <w:lang w:val="fi-FI"/>
              </w:rPr>
              <w:lastRenderedPageBreak/>
              <w:t>Äriühing on valdusettevõtja, kes tegutseb tütarettevõtjate kaudu. Äriühingule kuulub 100%-line osalus viies peamises tütarettevõtjas, millele omakorda kuulub 100%-line osalus 11 äriühingus, millest viis asuvad Lätis, üks Saksamaal, kaks Leedus ja kolm Eestis, ning 93%-line osalus veel ühes tütarettevõtjas Eestis. Lisaks omab Grupi Eesti tütarettevõtja AS Tondi Kvartal 100%-list osalust veel ühes tütarettevõtjas (OÜ Marsi Elu) ja Grupi Leedu tütarettevõtja PK Invest UAB omab 100%-list osalust veel ühes tütarettevõtjas (Pro Kapital Bonum UAB). Äriühingul endal ei ole olulisi varasid, välja arvatud investeeringud tütarettevõtjatesse. Seetõttu sõltub Äriühingu suutlikkus maksta aktsionäridele dividende ja täita oma kohustusi tütarettevõtjatelt saadavatest dividendidest.</w:t>
            </w:r>
          </w:p>
          <w:p w14:paraId="569D6D0D" w14:textId="77777777" w:rsidR="00F562D6" w:rsidRPr="00D6671D" w:rsidRDefault="00F562D6" w:rsidP="002B0EAB">
            <w:pPr>
              <w:pStyle w:val="Paragraph"/>
              <w:spacing w:before="0" w:after="0"/>
              <w:rPr>
                <w:sz w:val="16"/>
                <w:szCs w:val="16"/>
                <w:lang w:val="fi-FI"/>
              </w:rPr>
            </w:pPr>
            <w:r w:rsidRPr="00D6671D">
              <w:rPr>
                <w:sz w:val="16"/>
                <w:szCs w:val="16"/>
                <w:lang w:val="fi-FI"/>
              </w:rPr>
              <w:t xml:space="preserve">Eesti, Läti, Leedu ja Saksa õiguses on sätestatud kapitali säilitamise ja muud asjakohased nõuded, mis seavad Grupi äriühingutele piirangud dividendide maksmisel ja aktsionäridele muude väljamaksete tegemisel. </w:t>
            </w:r>
          </w:p>
          <w:p w14:paraId="706D6AA7" w14:textId="77777777" w:rsidR="00F562D6" w:rsidRPr="00D6671D" w:rsidRDefault="00F562D6" w:rsidP="002B0EAB">
            <w:pPr>
              <w:pStyle w:val="Paragraph"/>
              <w:spacing w:before="0" w:after="0"/>
              <w:rPr>
                <w:b/>
                <w:bCs/>
                <w:i/>
                <w:iCs/>
                <w:sz w:val="16"/>
                <w:szCs w:val="16"/>
                <w:lang w:val="fi-FI"/>
              </w:rPr>
            </w:pPr>
            <w:r w:rsidRPr="00D6671D">
              <w:rPr>
                <w:b/>
                <w:bCs/>
                <w:i/>
                <w:iCs/>
                <w:sz w:val="16"/>
                <w:szCs w:val="16"/>
                <w:lang w:val="fi-FI"/>
              </w:rPr>
              <w:t>Grupp on avatud oma klientide ja muude tehingu vastaspoolte krediidiriskile</w:t>
            </w:r>
          </w:p>
          <w:p w14:paraId="30A18E31" w14:textId="77777777" w:rsidR="00F562D6" w:rsidRPr="00D6671D" w:rsidRDefault="00F562D6" w:rsidP="002B0EAB">
            <w:pPr>
              <w:pStyle w:val="Paragraph"/>
              <w:spacing w:before="0" w:after="0"/>
              <w:rPr>
                <w:sz w:val="16"/>
                <w:szCs w:val="16"/>
                <w:lang w:val="fi-FI"/>
              </w:rPr>
            </w:pPr>
            <w:r w:rsidRPr="00D6671D">
              <w:rPr>
                <w:sz w:val="16"/>
                <w:szCs w:val="16"/>
                <w:lang w:val="fi-FI"/>
              </w:rPr>
              <w:t>Grupp on avatud krediidiriskile. Grupp jälgib pidevalt oma klientide ja muude tehingu vastaspoolte maksekäitumist. Võib juhtuda, et tehingu vastaspooled ei suuda lisaks lepingulistele rahalistele kohustustele hüvitada Grupile kahju, mis on tekkinud nende mitterahaliste kohustuste täitmata jätmise tagajärjel. Tehingu vastaspoole kohustuste täitmata jätmise tõttu võivad Grupi äriühingud muu hulgas jätta täitmata muudes lepingutes sätestatud kohustused ja peavad seetõttu maksma hüvitist lepingu vastaspoolele, ilma et nad saaksid hüvitist neilt tehingu vastaspooltelt, kes jätsid esmalt enda kohustused täitmata, ning sellel võib olla oluline negatiivne mõju Grupi äritegevusele, tegevustulemile ja finantsseisundile.</w:t>
            </w:r>
          </w:p>
          <w:p w14:paraId="40D8BBA7" w14:textId="77777777" w:rsidR="00F562D6" w:rsidRPr="00AA76D9" w:rsidRDefault="00F562D6" w:rsidP="002B0EAB">
            <w:pPr>
              <w:pStyle w:val="Paragraph"/>
              <w:spacing w:before="0" w:after="0"/>
              <w:rPr>
                <w:b/>
                <w:bCs/>
                <w:i/>
                <w:iCs/>
                <w:sz w:val="16"/>
                <w:szCs w:val="16"/>
                <w:lang w:val="fi-FI"/>
              </w:rPr>
            </w:pPr>
            <w:r w:rsidRPr="00AA76D9">
              <w:rPr>
                <w:b/>
                <w:bCs/>
                <w:i/>
                <w:iCs/>
                <w:sz w:val="16"/>
                <w:szCs w:val="16"/>
                <w:lang w:val="fi-FI"/>
              </w:rPr>
              <w:t>Üürilepingutega seotud riskid</w:t>
            </w:r>
          </w:p>
          <w:p w14:paraId="55A3C4F1" w14:textId="77777777" w:rsidR="00F562D6" w:rsidRPr="00AA76D9" w:rsidRDefault="00F562D6" w:rsidP="002B0EAB">
            <w:pPr>
              <w:pStyle w:val="Paragraph"/>
              <w:spacing w:before="0" w:after="0"/>
              <w:rPr>
                <w:sz w:val="16"/>
                <w:szCs w:val="16"/>
                <w:lang w:val="fi-FI"/>
              </w:rPr>
            </w:pPr>
            <w:r w:rsidRPr="00AA76D9">
              <w:rPr>
                <w:sz w:val="16"/>
                <w:szCs w:val="16"/>
                <w:lang w:val="fi-FI"/>
              </w:rPr>
              <w:t>Grupi üürilepingud jagunevad kahte kategooriasse: tähtajalised üürilepingud ja tähtajatud üürilepingud. Grupp kasutab mõlemat liiki üürilepinguid sõltuvalt turu olukorrast ja asjaomastest kinnisvaraobjektidest.</w:t>
            </w:r>
          </w:p>
          <w:p w14:paraId="06C73223" w14:textId="77777777" w:rsidR="00F562D6" w:rsidRPr="00AA76D9" w:rsidRDefault="00F562D6" w:rsidP="002B0EAB">
            <w:pPr>
              <w:pStyle w:val="Paragraph"/>
              <w:spacing w:before="0" w:after="0"/>
              <w:rPr>
                <w:sz w:val="16"/>
                <w:szCs w:val="16"/>
                <w:lang w:val="fi-FI"/>
              </w:rPr>
            </w:pPr>
            <w:r w:rsidRPr="00AA76D9">
              <w:rPr>
                <w:sz w:val="16"/>
                <w:szCs w:val="16"/>
                <w:lang w:val="fi-FI"/>
              </w:rPr>
              <w:t>Tähtajatute üürilepingutega kaasneb siiski risk, et paljud neist võidakse lühikese aja jooksul lõpetada. Tähtajalisi üürilepinguid kavatseb Grupp pikendada, olles paindlik ja tehes üürnikega koostööd. Samas ei ole garanteeritud, et see Grupil ka õnnestub. Võib juhtuda, et üürilepingute lõpetamise vältimiseks on Grupp sunnitud nõustuma üüri vähendamisega.</w:t>
            </w:r>
          </w:p>
          <w:p w14:paraId="22DB215D" w14:textId="77777777" w:rsidR="00F562D6" w:rsidRPr="00AA76D9" w:rsidRDefault="00F562D6" w:rsidP="002B0EAB">
            <w:pPr>
              <w:pStyle w:val="Paragraph"/>
              <w:spacing w:before="0" w:after="0"/>
              <w:rPr>
                <w:b/>
                <w:bCs/>
                <w:i/>
                <w:iCs/>
                <w:sz w:val="16"/>
                <w:szCs w:val="16"/>
                <w:lang w:val="fi-FI"/>
              </w:rPr>
            </w:pPr>
            <w:r w:rsidRPr="00AA76D9">
              <w:rPr>
                <w:b/>
                <w:bCs/>
                <w:i/>
                <w:iCs/>
                <w:sz w:val="16"/>
                <w:szCs w:val="16"/>
                <w:lang w:val="fi-FI"/>
              </w:rPr>
              <w:t>Lepingulised riskid ja kohtumenetlused</w:t>
            </w:r>
          </w:p>
          <w:p w14:paraId="4B9BAC8C" w14:textId="77777777" w:rsidR="00F562D6" w:rsidRPr="00AA76D9" w:rsidRDefault="00F562D6" w:rsidP="002B0EAB">
            <w:pPr>
              <w:pStyle w:val="Paragraph"/>
              <w:spacing w:before="0" w:after="0"/>
              <w:rPr>
                <w:sz w:val="16"/>
                <w:szCs w:val="16"/>
                <w:lang w:val="fi-FI"/>
              </w:rPr>
            </w:pPr>
            <w:r w:rsidRPr="00AA76D9">
              <w:rPr>
                <w:sz w:val="16"/>
                <w:szCs w:val="16"/>
                <w:lang w:val="fi-FI"/>
              </w:rPr>
              <w:t>Grupi ja tema lepingupartnerite vahel võivad tekkida lepingu kehtivuse või lepinguliste kohustuste täitmisega seotud vaidlused. Need võivad viia vahekohtu- või kohtumenetluseni, mille tulemus ei ole Grupi jaoks soodne. Muu hulgas võib Grupi poolt omandatud või müüdud varal, sh kinnisvaral, olla varjatud puudusi (näiteks reostus või varjatud puudused ehitustöödes jms), mis ilmnevad alles pärast seda, kui vara on omandatud või müüdud, ning see võib viia vaidlusteni Grupi ja lepingupartneri vahel ja Grupi vara omandiõigus võidakse vaidlustada seoses varas leiduvate puudustega või vastava lepingu alusel. Vaidluse kestel Gruppi kuuluvate äriühingute suhtes esialgse õiguskaitse või hagi tagamise abinõude kohaldamine võib oluliselt takistada Grupi äritegevust. Seega võib eeltoodul olla oluline negatiivne mõju Grupi finantsseisundile ja tegevustulemile.</w:t>
            </w:r>
          </w:p>
          <w:p w14:paraId="2E3766CE" w14:textId="77777777" w:rsidR="00F562D6" w:rsidRPr="00AA76D9" w:rsidRDefault="00F562D6" w:rsidP="002B0EAB">
            <w:pPr>
              <w:pStyle w:val="Paragraph"/>
              <w:spacing w:before="0" w:after="0"/>
              <w:rPr>
                <w:b/>
                <w:bCs/>
                <w:i/>
                <w:iCs/>
                <w:sz w:val="16"/>
                <w:szCs w:val="16"/>
                <w:lang w:val="fi-FI"/>
              </w:rPr>
            </w:pPr>
            <w:r w:rsidRPr="00AA76D9">
              <w:rPr>
                <w:b/>
                <w:bCs/>
                <w:i/>
                <w:iCs/>
                <w:sz w:val="16"/>
                <w:szCs w:val="16"/>
                <w:lang w:val="fi-FI"/>
              </w:rPr>
              <w:t>Grupi keskkonnavastutus</w:t>
            </w:r>
          </w:p>
          <w:p w14:paraId="1E6FAE8D" w14:textId="77777777" w:rsidR="00F562D6" w:rsidRPr="00AA76D9" w:rsidRDefault="00F562D6" w:rsidP="002B0EAB">
            <w:pPr>
              <w:pStyle w:val="Paragraph"/>
              <w:spacing w:before="0" w:after="0"/>
              <w:rPr>
                <w:sz w:val="16"/>
                <w:szCs w:val="16"/>
                <w:lang w:val="fi-FI"/>
              </w:rPr>
            </w:pPr>
            <w:r w:rsidRPr="00AA76D9">
              <w:rPr>
                <w:sz w:val="16"/>
                <w:szCs w:val="16"/>
                <w:lang w:val="fi-FI"/>
              </w:rPr>
              <w:t>Grupi tegevuse suhtes kehtivad keskkonnakaitsenormid ja -eeskirjad, mis käsitlevad muu hulgas jäätmekäitlust, pinnasereostust, välisõhu kaitset ja veekasutust. Asjaomaseid õigusakte võidakse tulevikus muuta. Seaduste ja eeskirjade, nende alusel antud lubade ja seotud lepingutingimuste rikkumine (sh Grupi tegevuse muudetud seadustega vastavusse viimata jätmine) võib Grupile kaasa tuua olulisi kulusid ja kohustusi. Sellel võib olla oluline negatiivne mõju Grupi äritegevusele, tegevustulemile ja finantsseisundile.</w:t>
            </w:r>
          </w:p>
          <w:p w14:paraId="3D88162A" w14:textId="77777777" w:rsidR="00F562D6" w:rsidRPr="00CC2AEA" w:rsidRDefault="00F562D6" w:rsidP="002B0EAB">
            <w:pPr>
              <w:pStyle w:val="Paragraph"/>
              <w:spacing w:before="0" w:after="0"/>
              <w:rPr>
                <w:sz w:val="16"/>
                <w:szCs w:val="16"/>
              </w:rPr>
            </w:pPr>
            <w:r w:rsidRPr="00AA76D9">
              <w:rPr>
                <w:sz w:val="16"/>
                <w:szCs w:val="16"/>
                <w:lang w:val="fi-FI"/>
              </w:rPr>
              <w:t xml:space="preserve">Grupi omandatud või omandatavatel maaüksustel võidakse avastada reostus. Keskkonnaalaste õigusaktide kohaselt vastutab omanik sageli oma kinnisasjal avastatud reostuse eest isegi juhul, kui kinnisasi oli reostunud juba enne selle omandamist ning omanik ei teadnud seda omandamise ajal. </w:t>
            </w:r>
            <w:r>
              <w:rPr>
                <w:sz w:val="16"/>
                <w:szCs w:val="16"/>
              </w:rPr>
              <w:t>Seoses selle riskiga tuleb meeles pidada, et:</w:t>
            </w:r>
          </w:p>
          <w:p w14:paraId="28C712EA" w14:textId="77777777" w:rsidR="00F562D6" w:rsidRPr="00CC2AEA" w:rsidRDefault="00F562D6" w:rsidP="002B0EAB">
            <w:pPr>
              <w:pStyle w:val="Paragraph"/>
              <w:numPr>
                <w:ilvl w:val="0"/>
                <w:numId w:val="25"/>
              </w:numPr>
              <w:spacing w:before="0" w:after="0"/>
              <w:ind w:left="709" w:hanging="709"/>
              <w:rPr>
                <w:sz w:val="16"/>
                <w:szCs w:val="16"/>
              </w:rPr>
            </w:pPr>
            <w:r>
              <w:rPr>
                <w:sz w:val="16"/>
                <w:szCs w:val="16"/>
              </w:rPr>
              <w:t>maad ostes ei ole Grupp alati nõudnud müüjalt kinnitust selle kohta, et maa ei ole reostunud; seetõttu ei pruugi reostuse avastamise korral Grupil olla õigust nõuda reostuse kõrvaldamise kulude katmist ja kahju hüvitamist kolmandalt isikult;</w:t>
            </w:r>
          </w:p>
          <w:p w14:paraId="782D63AF" w14:textId="77777777" w:rsidR="00F562D6" w:rsidRPr="00AA76D9" w:rsidRDefault="00F562D6" w:rsidP="002B0EAB">
            <w:pPr>
              <w:pStyle w:val="Paragraph"/>
              <w:numPr>
                <w:ilvl w:val="0"/>
                <w:numId w:val="25"/>
              </w:numPr>
              <w:spacing w:before="0" w:after="0"/>
              <w:ind w:left="709" w:hanging="709"/>
              <w:rPr>
                <w:sz w:val="16"/>
                <w:szCs w:val="16"/>
                <w:lang w:val="fi-FI"/>
              </w:rPr>
            </w:pPr>
            <w:r w:rsidRPr="00AA76D9">
              <w:rPr>
                <w:sz w:val="16"/>
                <w:szCs w:val="16"/>
                <w:lang w:val="fi-FI"/>
              </w:rPr>
              <w:t>mitme maaüksuse puhul ei ole Grupp läbi viinud keskkonnauuringuid. Mõningate maaüksuste ajalooline taust viitab reostuse võimalikkusele (näiteks Tondi kvartali piirkond oli osa Nõukogude sõjaväe linnakust; (ii) Šaltinių Namai elamukompleksi kinnistu on olnud osa masinatehasest; (iii) Zvaigznes’i keskuse alal paiknesid tööstushoonete ohtlike jäätmete mahutid; ning (iv) Kalaranna elamukompleksi piirkonnas on ajalooliselt asunud kalasadam ja turg). Lisaks avastati Tondi kvartalis elamuehituse käigus mõningane reostus. Reostuse kõrvaldamise kogumaksumus oli ligikaudu 60 000 eurot;</w:t>
            </w:r>
          </w:p>
          <w:p w14:paraId="00563820" w14:textId="77777777" w:rsidR="00F562D6" w:rsidRPr="00AA76D9" w:rsidRDefault="00F562D6" w:rsidP="002B0EAB">
            <w:pPr>
              <w:pStyle w:val="Paragraph"/>
              <w:numPr>
                <w:ilvl w:val="0"/>
                <w:numId w:val="25"/>
              </w:numPr>
              <w:spacing w:before="0" w:after="0"/>
              <w:ind w:left="709" w:hanging="709"/>
              <w:rPr>
                <w:sz w:val="16"/>
                <w:szCs w:val="16"/>
                <w:lang w:val="fi-FI"/>
              </w:rPr>
            </w:pPr>
            <w:r w:rsidRPr="00AA76D9">
              <w:rPr>
                <w:sz w:val="16"/>
                <w:szCs w:val="16"/>
                <w:lang w:val="fi-FI"/>
              </w:rPr>
              <w:t>kui Grupp reostust ei avasta ega kõrvalda, võib see kahjustada Grupi võimalusi kinnisvara müüa või üürile anda ning kliendid või kolmandad isikud võivad esitada Grupi vastu nõudeid seoses reostuse tõttu kantud isiku- või varakahjuga;</w:t>
            </w:r>
          </w:p>
          <w:p w14:paraId="06B3C75F" w14:textId="77777777" w:rsidR="00F562D6" w:rsidRPr="00AA76D9" w:rsidRDefault="00F562D6" w:rsidP="002B0EAB">
            <w:pPr>
              <w:pStyle w:val="Paragraph"/>
              <w:numPr>
                <w:ilvl w:val="0"/>
                <w:numId w:val="25"/>
              </w:numPr>
              <w:spacing w:before="0" w:after="0"/>
              <w:ind w:left="709" w:hanging="709"/>
              <w:rPr>
                <w:sz w:val="16"/>
                <w:szCs w:val="16"/>
                <w:lang w:val="fi-FI"/>
              </w:rPr>
            </w:pPr>
            <w:r w:rsidRPr="00AA76D9">
              <w:rPr>
                <w:sz w:val="16"/>
                <w:szCs w:val="16"/>
                <w:lang w:val="fi-FI"/>
              </w:rPr>
              <w:t>kinnisvara müümisel on ostjad nõudnud ja tõenäoliselt nõuavad ka edaspidi Grupilt kinnitust, et kinnisvara alune maa ei ole reostunud; ning</w:t>
            </w:r>
          </w:p>
          <w:p w14:paraId="39F42D47" w14:textId="77777777" w:rsidR="00F562D6" w:rsidRPr="00AA76D9" w:rsidRDefault="00F562D6" w:rsidP="002B0EAB">
            <w:pPr>
              <w:pStyle w:val="Paragraph"/>
              <w:numPr>
                <w:ilvl w:val="0"/>
                <w:numId w:val="25"/>
              </w:numPr>
              <w:spacing w:before="0" w:after="0"/>
              <w:ind w:left="709" w:hanging="709"/>
              <w:rPr>
                <w:sz w:val="16"/>
                <w:szCs w:val="16"/>
                <w:lang w:val="fi-FI"/>
              </w:rPr>
            </w:pPr>
            <w:r w:rsidRPr="00AA76D9">
              <w:rPr>
                <w:sz w:val="16"/>
                <w:szCs w:val="16"/>
                <w:lang w:val="fi-FI"/>
              </w:rPr>
              <w:t>keskkonnavastutuse seisukohalt on oluline ka eespool kirjeldatud risk, mis on seotud lepingupartnerite finantsseisundiga.</w:t>
            </w:r>
          </w:p>
          <w:p w14:paraId="6779D3A0" w14:textId="77777777" w:rsidR="00F562D6" w:rsidRPr="00AA76D9" w:rsidRDefault="00F562D6" w:rsidP="002B0EAB">
            <w:pPr>
              <w:pStyle w:val="Paragraph"/>
              <w:spacing w:before="0" w:after="0"/>
              <w:rPr>
                <w:sz w:val="16"/>
                <w:szCs w:val="16"/>
                <w:lang w:val="fi-FI"/>
              </w:rPr>
            </w:pPr>
            <w:r w:rsidRPr="00AA76D9">
              <w:rPr>
                <w:sz w:val="16"/>
                <w:szCs w:val="16"/>
                <w:lang w:val="fi-FI"/>
              </w:rPr>
              <w:t>Reostuse kõrvaldamise kuludel ning kuludel, mis on seotud klientide, lepingupartnerite või kolmandate isikute poolt Grupi vastu seoses mõnel kinnisasjal avastatud reostusega esitatud nõuetega, võib olla oluline negatiivne mõju Grupi finantsseisundile ja tegevustulemile.</w:t>
            </w:r>
          </w:p>
          <w:p w14:paraId="47B87FAF" w14:textId="77777777" w:rsidR="00F562D6" w:rsidRPr="00AA76D9" w:rsidRDefault="00F562D6" w:rsidP="002B0EAB">
            <w:pPr>
              <w:pStyle w:val="Paragraph"/>
              <w:spacing w:before="0" w:after="0"/>
              <w:rPr>
                <w:b/>
                <w:bCs/>
                <w:i/>
                <w:iCs/>
                <w:sz w:val="16"/>
                <w:szCs w:val="16"/>
                <w:lang w:val="fi-FI"/>
              </w:rPr>
            </w:pPr>
            <w:r w:rsidRPr="00AA76D9">
              <w:rPr>
                <w:b/>
                <w:bCs/>
                <w:i/>
                <w:iCs/>
                <w:sz w:val="16"/>
                <w:szCs w:val="16"/>
                <w:lang w:val="fi-FI"/>
              </w:rPr>
              <w:t>Grupp sõltub võtmepersonalist</w:t>
            </w:r>
          </w:p>
          <w:p w14:paraId="0C073F42" w14:textId="77777777" w:rsidR="00F562D6" w:rsidRPr="00D6671D" w:rsidRDefault="00F562D6" w:rsidP="002B0EAB">
            <w:pPr>
              <w:pStyle w:val="Paragraph"/>
              <w:spacing w:before="0" w:after="0"/>
              <w:rPr>
                <w:sz w:val="16"/>
                <w:szCs w:val="16"/>
                <w:lang w:val="fi-FI"/>
              </w:rPr>
            </w:pPr>
            <w:r w:rsidRPr="00D6671D">
              <w:rPr>
                <w:sz w:val="16"/>
                <w:szCs w:val="16"/>
                <w:lang w:val="fi-FI"/>
              </w:rPr>
              <w:t xml:space="preserve">Grupi äritegevus sõltub üsna väheste võtmetöötajate oskustest, hoolsusest ja töötulemustest. Selleks, et olla edukas, on Grupil vaja igal geograafiliselt turul kontakte omavaid juhte, kellel on vastava turu kohta põhjalikud ja ajakohased teadmised. Praegu ei ole Grupil aktsiatega seotud motivatsiooniskeemi. Kuigi Grupp on sõlminud enamiku võtmetöötajatega lepingu, mis keelab konkureerida Grupiga kuue kuu jooksul pärast töösuhte lõppemist, võib mõni neist võtmetöötajatest Grupiga töösuhte lõpetada. Kui </w:t>
            </w:r>
            <w:r w:rsidRPr="00D6671D">
              <w:rPr>
                <w:sz w:val="16"/>
                <w:szCs w:val="16"/>
                <w:lang w:val="fi-FI"/>
              </w:rPr>
              <w:lastRenderedPageBreak/>
              <w:t>Grupp jääb võtmetöötajate teenustest ilma ja neile ei leita kohe asendajat, kellel oleks vähemalt samaväärne kvalifikatsioon, võib see avaldada negatiivset mõju Grupi tegevustulemile.</w:t>
            </w:r>
          </w:p>
          <w:p w14:paraId="0D1282EC" w14:textId="77777777" w:rsidR="00F562D6" w:rsidRPr="00AA76D9" w:rsidRDefault="00F562D6" w:rsidP="002B0EAB">
            <w:pPr>
              <w:pStyle w:val="Paragraph"/>
              <w:spacing w:before="0" w:after="0"/>
              <w:rPr>
                <w:b/>
                <w:bCs/>
                <w:i/>
                <w:iCs/>
                <w:sz w:val="16"/>
                <w:szCs w:val="16"/>
                <w:lang w:val="fi-FI"/>
              </w:rPr>
            </w:pPr>
            <w:r w:rsidRPr="00AA76D9">
              <w:rPr>
                <w:b/>
                <w:bCs/>
                <w:i/>
                <w:iCs/>
                <w:sz w:val="16"/>
                <w:szCs w:val="16"/>
                <w:lang w:val="fi-FI"/>
              </w:rPr>
              <w:t>Grupi maine võib saada kahjustada</w:t>
            </w:r>
          </w:p>
          <w:p w14:paraId="1A355734" w14:textId="77777777" w:rsidR="00F562D6" w:rsidRPr="00AA76D9" w:rsidRDefault="00F562D6" w:rsidP="002B0EAB">
            <w:pPr>
              <w:pStyle w:val="Paragraph"/>
              <w:spacing w:before="0" w:after="0"/>
              <w:rPr>
                <w:sz w:val="16"/>
                <w:szCs w:val="16"/>
                <w:lang w:val="fi-FI"/>
              </w:rPr>
            </w:pPr>
            <w:r w:rsidRPr="00AA76D9">
              <w:rPr>
                <w:sz w:val="16"/>
                <w:szCs w:val="16"/>
                <w:lang w:val="fi-FI"/>
              </w:rPr>
              <w:t>Grupi maine kahjustamine võib halvata tema suutlikkust leida kinnisvarale ostjaid, leida ja hoida üürnikke, leida arendusprojektidele rahastajaid ning hoida oma töötajaid. Grupi mainet võib mõjutada muu hulgas Grupile kuuluva kinnisvara kvaliteet ja ohutus ning see, kas peetakse kinni seadustest ja muudest õigusaktidest. Kui Grupi maine saab kahjustada näiteks muu hulgas ülalnimetatud asjaolude tõttu, võib sellel olla oluline negatiivne mõju Grupi äritegevusele, tegevustulemile ja finantsseisundile.</w:t>
            </w:r>
          </w:p>
          <w:p w14:paraId="0B5F139A" w14:textId="77777777" w:rsidR="00F562D6" w:rsidRPr="00AA76D9" w:rsidRDefault="00F562D6" w:rsidP="002B0EAB">
            <w:pPr>
              <w:pStyle w:val="Paragraph"/>
              <w:spacing w:before="0" w:after="0"/>
              <w:rPr>
                <w:b/>
                <w:bCs/>
                <w:i/>
                <w:iCs/>
                <w:sz w:val="16"/>
                <w:szCs w:val="16"/>
                <w:lang w:val="fi-FI"/>
              </w:rPr>
            </w:pPr>
            <w:r w:rsidRPr="00AA76D9">
              <w:rPr>
                <w:b/>
                <w:bCs/>
                <w:i/>
                <w:iCs/>
                <w:sz w:val="16"/>
                <w:szCs w:val="16"/>
                <w:lang w:val="fi-FI"/>
              </w:rPr>
              <w:t>Grupp tugineb infotehnoloogiasüsteemidele</w:t>
            </w:r>
          </w:p>
          <w:p w14:paraId="597FA6C7" w14:textId="77777777" w:rsidR="00F562D6" w:rsidRPr="00AA76D9" w:rsidRDefault="00F562D6" w:rsidP="002B0EAB">
            <w:pPr>
              <w:pStyle w:val="Paragraph"/>
              <w:spacing w:before="0" w:after="0"/>
              <w:rPr>
                <w:sz w:val="16"/>
                <w:szCs w:val="16"/>
                <w:lang w:val="fi-FI"/>
              </w:rPr>
            </w:pPr>
            <w:r w:rsidRPr="00AA76D9">
              <w:rPr>
                <w:sz w:val="16"/>
                <w:szCs w:val="16"/>
                <w:lang w:val="fi-FI"/>
              </w:rPr>
              <w:t>Grupp sõltub oma tegevuses mitmest infotehnoloogiasüsteemist. Infotehnoloogiasüsteeme kasutatakse teabe, sh ärisaladuste hoidmiseks ja grupisiseseks teabevahetuseks. Juhul kui Grupi infotehnoloogiasüsteemide töös peaks esinema oluline katkestus, ei pruugi Grupil olla võimalik sel ajal oma tööga jätkata, mis toob Grupile kaasa kulusid ja kahju. Kui volitamata isik saab juurdepääsu Grupi infotehnoloogiasüsteemidele ning konfidentsiaalsele teabele ja ärisaladustele, võib see anda Grupi konkurentidele konkurentsieelise ning tuua kaasa selle, et kliendid ja kolmandad isikud esitavad Grupile mitmesuguseid nõudeid. Eeltoodul võib olla oluline negatiivne mõju Grupi äritegevusele, tegevustulemile ja finantsseisundile.</w:t>
            </w:r>
          </w:p>
          <w:p w14:paraId="112E041A" w14:textId="77777777" w:rsidR="00F562D6" w:rsidRPr="00AA76D9" w:rsidRDefault="00F562D6" w:rsidP="002B0EAB">
            <w:pPr>
              <w:pStyle w:val="Paragraph"/>
              <w:spacing w:before="0" w:after="0"/>
              <w:rPr>
                <w:b/>
                <w:bCs/>
                <w:i/>
                <w:iCs/>
                <w:sz w:val="16"/>
                <w:szCs w:val="16"/>
                <w:lang w:val="fi-FI"/>
              </w:rPr>
            </w:pPr>
            <w:r w:rsidRPr="00AA76D9">
              <w:rPr>
                <w:b/>
                <w:bCs/>
                <w:i/>
                <w:iCs/>
                <w:sz w:val="16"/>
                <w:szCs w:val="16"/>
                <w:lang w:val="fi-FI"/>
              </w:rPr>
              <w:t>Võimalik maksukohustus</w:t>
            </w:r>
          </w:p>
          <w:p w14:paraId="2D600AD3" w14:textId="77777777" w:rsidR="00F562D6" w:rsidRPr="00AA76D9" w:rsidRDefault="00F562D6" w:rsidP="002B0EAB">
            <w:pPr>
              <w:pStyle w:val="Paragraph"/>
              <w:spacing w:before="0" w:after="0"/>
              <w:rPr>
                <w:sz w:val="16"/>
                <w:szCs w:val="16"/>
                <w:lang w:val="fi-FI"/>
              </w:rPr>
            </w:pPr>
            <w:r w:rsidRPr="00AA76D9">
              <w:rPr>
                <w:sz w:val="16"/>
                <w:szCs w:val="16"/>
                <w:lang w:val="fi-FI"/>
              </w:rPr>
              <w:t>Grupisiseste tehingute ja lepingute (näiteks Grupi äriühingute vahelised üüri-, krediidi- ja teenuslepingud) arv on märkimisväärne. Seetõttu ohustab Gruppi siirdehinnarisk, mis tuleneb seotud osapoolte vahelistest tehingutest, mis ei ole sõlmitud turutingimustel. Selle tagajärjel võidakse korrigeerida asjaomaste majandusüksuste makse, et võtta arvesse turuhindu, millel võib omakorda olla negatiivne mõju Grupi äritegevusele, tegevustulemile ja finantsseisundile.</w:t>
            </w:r>
          </w:p>
          <w:p w14:paraId="588C0F07" w14:textId="77777777" w:rsidR="00F562D6" w:rsidRPr="00AA76D9" w:rsidRDefault="00F562D6" w:rsidP="002B0EAB">
            <w:pPr>
              <w:pStyle w:val="Paragraph"/>
              <w:spacing w:before="0" w:after="0"/>
              <w:rPr>
                <w:sz w:val="16"/>
                <w:szCs w:val="16"/>
                <w:lang w:val="fi-FI"/>
              </w:rPr>
            </w:pPr>
            <w:r w:rsidRPr="00AA76D9">
              <w:rPr>
                <w:sz w:val="16"/>
                <w:szCs w:val="16"/>
                <w:lang w:val="fi-FI"/>
              </w:rPr>
              <w:t>Kui maksuhaldur peaks vaidlustama tehingu majandusliku sisu, võidakse seotud ja mitteseotud osapooltega sõlmitud tehingud ümber liigitada, lähtudes näiteks sisu ülimuslikkuse põhimõttest. Võttes arvesse, et Eesti, Läti ja Leedu maksuhaldurid on kõnealust põhimõtet erinevates juhtumites vabalt tõlgendanud, võib tehingute ümberliigitamisel ja sellest tuleneval maksude korrigeerimisel, näiteks sisendkäibemaksu mahaarvestamise keelamisel või täiendava tulumaksu nõudmisel, olla negatiivne mõju Grupi äritegevusele, tegevustulemile ja finantsseisundile.</w:t>
            </w:r>
          </w:p>
          <w:p w14:paraId="1029593C" w14:textId="77777777" w:rsidR="00F562D6" w:rsidRPr="00AA76D9" w:rsidRDefault="00F562D6" w:rsidP="002B0EAB">
            <w:pPr>
              <w:pStyle w:val="Paragraph"/>
              <w:spacing w:before="0" w:after="0"/>
              <w:rPr>
                <w:b/>
                <w:bCs/>
                <w:i/>
                <w:iCs/>
                <w:sz w:val="16"/>
                <w:szCs w:val="16"/>
                <w:lang w:val="fi-FI"/>
              </w:rPr>
            </w:pPr>
            <w:r w:rsidRPr="00AA76D9">
              <w:rPr>
                <w:b/>
                <w:bCs/>
                <w:i/>
                <w:iCs/>
                <w:sz w:val="16"/>
                <w:szCs w:val="16"/>
                <w:lang w:val="fi-FI"/>
              </w:rPr>
              <w:t>Kinnisvaraarendaja vastutus</w:t>
            </w:r>
          </w:p>
          <w:p w14:paraId="1D511689" w14:textId="77777777" w:rsidR="00F562D6" w:rsidRPr="00AA76D9" w:rsidRDefault="00F562D6" w:rsidP="002B0EAB">
            <w:pPr>
              <w:pStyle w:val="Paragraph"/>
              <w:spacing w:before="0" w:after="0"/>
              <w:rPr>
                <w:sz w:val="16"/>
                <w:szCs w:val="16"/>
                <w:lang w:val="fi-FI"/>
              </w:rPr>
            </w:pPr>
            <w:r w:rsidRPr="00AA76D9">
              <w:rPr>
                <w:sz w:val="16"/>
                <w:szCs w:val="16"/>
                <w:lang w:val="fi-FI"/>
              </w:rPr>
              <w:t>Eesti, Läti ja Leedu õiguse kohaselt võidakse Gruppi kuuluvaid äriühinguid kui kinnisvaraarendajaid pidada vastutavaks oma klientide ees muu hulgas müüdud kinnisvaraga seotud ehituslike puuduste (tööde ja materjali kvaliteediga seonduvate puuduste) ning õiguslike puuduste (näiteks kasutuspiirangute, kolmandate isikute õiguste või planeeringust tulenevate piirangute) eest.</w:t>
            </w:r>
          </w:p>
          <w:p w14:paraId="4ADA410A" w14:textId="77777777" w:rsidR="00F562D6" w:rsidRPr="00AA76D9" w:rsidRDefault="00F562D6" w:rsidP="002B0EAB">
            <w:pPr>
              <w:pStyle w:val="Paragraph"/>
              <w:spacing w:before="0" w:after="0"/>
              <w:rPr>
                <w:sz w:val="16"/>
                <w:szCs w:val="16"/>
                <w:lang w:val="fi-FI"/>
              </w:rPr>
            </w:pPr>
            <w:r w:rsidRPr="00AA76D9">
              <w:rPr>
                <w:sz w:val="16"/>
                <w:szCs w:val="16"/>
                <w:lang w:val="fi-FI"/>
              </w:rPr>
              <w:t xml:space="preserve">Eesti õiguse kohaselt saab vastavalt nõuete aegumise üldistele eeskirjadele hoone puudustega seotud nõudeid esitada maaüksuse müüja vastu kuni viie aasta jooksul (lepinguliste nõuete üldine aegumistähtaeg on kolm aastat). </w:t>
            </w:r>
            <w:r w:rsidRPr="00D6671D">
              <w:rPr>
                <w:sz w:val="16"/>
                <w:szCs w:val="16"/>
                <w:lang w:val="fi-FI"/>
              </w:rPr>
              <w:t xml:space="preserve">Seadusega on ette nähtud võimalus leppida müügilepingus kokku lühemas nõuete aegumise tähtajas. Läti õigus näeb hoonetele sõltuvalt hoone kategooriast ette kolm erinevat garantiiaega. </w:t>
            </w:r>
            <w:r w:rsidRPr="00AA76D9">
              <w:rPr>
                <w:sz w:val="16"/>
                <w:szCs w:val="16"/>
                <w:lang w:val="fi-FI"/>
              </w:rPr>
              <w:t xml:space="preserve">Esimese kategooria hoonete („lihtsad </w:t>
            </w:r>
            <w:proofErr w:type="gramStart"/>
            <w:r w:rsidRPr="00AA76D9">
              <w:rPr>
                <w:sz w:val="16"/>
                <w:szCs w:val="16"/>
                <w:lang w:val="fi-FI"/>
              </w:rPr>
              <w:t>hooned“</w:t>
            </w:r>
            <w:proofErr w:type="gramEnd"/>
            <w:r w:rsidRPr="00AA76D9">
              <w:rPr>
                <w:sz w:val="16"/>
                <w:szCs w:val="16"/>
                <w:lang w:val="fi-FI"/>
              </w:rPr>
              <w:t>, s.t hooned kogupindalaga kuni 25 m</w:t>
            </w:r>
            <w:r w:rsidRPr="00AA76D9">
              <w:rPr>
                <w:sz w:val="16"/>
                <w:szCs w:val="16"/>
                <w:vertAlign w:val="superscript"/>
                <w:lang w:val="fi-FI"/>
              </w:rPr>
              <w:t>2</w:t>
            </w:r>
            <w:r w:rsidRPr="00AA76D9">
              <w:rPr>
                <w:sz w:val="16"/>
                <w:szCs w:val="16"/>
                <w:lang w:val="fi-FI"/>
              </w:rPr>
              <w:t>) kohustuslik minimaalne garantiiaeg on kaks aastat. Hooned, millel on viis või enam maapealset korrust ja vähemalt üks maa-alune korrus, on kolmanda kategooria hooned ja nende kohustuslik minimaalne garantiiaeg on viis aastat. Teise kategooria hooned on hooned, mis ei kuulu esimesse ega kolmandasse kategooriasse, ja nende kohustuslik garantiiaeg on kolm aastat. Leedu õiguse kohaselt on töövõtja vastu hoone puudustega seotud nõuete esitamise tähtajad järgmised: (i) nähtavate osade (näiteks katus, aknad, uksed, fassaad, seinad) puhul viis aastat; (ii) varjatud osade (s.t osad, mille puhul on vajalik erihindamine, näiteks tehnovõrgud, isolatsioon jne) puhul 10 aastat ja (iii) paigaldatud süsteemide (kütte- ja elektrisüsteem jne) puhul tootja määratud periood (tavaliselt 1–5 aastat). Leedu töövõtja pankroti puhul esitatakse sellised nõuded aga otse kinnisvaraarendajale (vt ka ehitustöövõtjatest sõltumisega seotud riskitegurit).</w:t>
            </w:r>
          </w:p>
          <w:p w14:paraId="31FDEA1C" w14:textId="77777777" w:rsidR="00F562D6" w:rsidRPr="00AA76D9" w:rsidRDefault="00F562D6" w:rsidP="002B0EAB">
            <w:pPr>
              <w:pStyle w:val="Paragraph"/>
              <w:spacing w:before="0" w:after="0"/>
              <w:rPr>
                <w:sz w:val="16"/>
                <w:szCs w:val="16"/>
                <w:lang w:val="fi-FI"/>
              </w:rPr>
            </w:pPr>
            <w:r w:rsidRPr="00AA76D9">
              <w:rPr>
                <w:sz w:val="16"/>
                <w:szCs w:val="16"/>
                <w:lang w:val="fi-FI"/>
              </w:rPr>
              <w:t>Grupp kaitseb end garantiinõuete eest peamiselt sellega, et nõuab projekti peatöövõtjalt kindlustuse sõlmimist kõikide ehitusriskide vastu projekti kestuse ajaks. Soodustatud isikuteks peavad olema vastava projekti rahastaja (pank), vastav Grupi äriühing ja vajadusel teised Grupi äriühingud. Vastava kindlustuslepingu sõlmimine ei pruugi siiski olla piisav. Grupi töövõtjatel ja alltöövõtjatel, kellele garantiivastutus üle antakse, ei pruugi olla piisavalt rahalisi vahendeid Grupile tekitatud kahju täielikuks hüvitamiseks. Kahju võib tuleneda ka sellest, kui Grupi kindlustuspoliisid või hüvitiskokkulepped ei kata teatud riske piisavas ulatuses. Suutmatus end tõhusalt kaitsta projekteerimise ja ehitusega seotud kohustustest tulenevate riskide eest võib põhjustada Grupile märkimisväärseid kulusid ja selle tagajärjeks võib olla oluline kahjum. Lisaks tuleb arvestada, et projekteerimis- ja ehitusvead ning vastutus, mida Grupp sellega seoses kannab, võib kahjustada ka Grupi mainet ning sellel võib omakorda olla negatiivne mõju Grupi äritegevusele ja finantsseisundile. Kuna Grupp tegutseb arendajana, mitte ehitusettevõtjana, esineb risk, et alltöövõtjate poolsete võimalike viivituste ja kohustuste rikkumiste tõttu väheneb kontroll projektide ja nende ajastuse üle. Sellel võib olla negatiivne mõju Grupi äritegevusele, tegevustulemile ja finantsseisundile.</w:t>
            </w:r>
          </w:p>
          <w:p w14:paraId="750B06F7" w14:textId="77777777" w:rsidR="00F562D6" w:rsidRPr="00AA76D9" w:rsidRDefault="00F562D6" w:rsidP="002B0EAB">
            <w:pPr>
              <w:pStyle w:val="Paragraph"/>
              <w:spacing w:before="0" w:after="0"/>
              <w:rPr>
                <w:b/>
                <w:bCs/>
                <w:i/>
                <w:iCs/>
                <w:sz w:val="16"/>
                <w:szCs w:val="16"/>
                <w:lang w:val="fi-FI"/>
              </w:rPr>
            </w:pPr>
            <w:r w:rsidRPr="00AA76D9">
              <w:rPr>
                <w:b/>
                <w:bCs/>
                <w:i/>
                <w:iCs/>
                <w:sz w:val="16"/>
                <w:szCs w:val="16"/>
                <w:lang w:val="fi-FI"/>
              </w:rPr>
              <w:t>Finantsabi eeskirjad</w:t>
            </w:r>
          </w:p>
          <w:p w14:paraId="431726EB" w14:textId="77777777" w:rsidR="00F562D6" w:rsidRPr="00AA76D9" w:rsidRDefault="00F562D6" w:rsidP="002B0EAB">
            <w:pPr>
              <w:pStyle w:val="Paragraph"/>
              <w:spacing w:before="0" w:after="0"/>
              <w:rPr>
                <w:sz w:val="16"/>
                <w:szCs w:val="16"/>
                <w:lang w:val="fi-FI"/>
              </w:rPr>
            </w:pPr>
            <w:r w:rsidRPr="00AA76D9">
              <w:rPr>
                <w:sz w:val="16"/>
                <w:szCs w:val="16"/>
                <w:lang w:val="fi-FI"/>
              </w:rPr>
              <w:t>Grupi äriühingud on sõlminud mitmeid grupisiseseid laenulepinguid. Kohaldatavates seadustes on sätestatud piirangud teatud grupisisestele tehingutele, näiteks emaettevõtjale laenu andmisele. Näiteks on Eesti seaduste kohaselt lubatud emaettevõtjale laenu anda ainult juhul, kui see ei kahjusta laenu andva tütarettevõtja finantssuutlikkust ja tema võlausaldajate huve. Selliste piirangute rikkumisel võidakse asjaomane laenuleping kehtetuks tunnistada, mis tähendab, et laenu andnud tütarettevõtja võib nõuda laenatud summade viivitamatut tagasimaksmist. Sellel võib olla negatiivne mõju Grupi äritegevusele, tegevustulemile ja finantsseisundile.</w:t>
            </w:r>
          </w:p>
          <w:p w14:paraId="6A3CE281" w14:textId="77777777" w:rsidR="00F562D6" w:rsidRPr="00AA76D9" w:rsidRDefault="00F562D6" w:rsidP="002B0EAB">
            <w:pPr>
              <w:pStyle w:val="Paragraph"/>
              <w:spacing w:before="0" w:after="0"/>
              <w:rPr>
                <w:sz w:val="16"/>
                <w:szCs w:val="16"/>
                <w:lang w:val="fi-FI"/>
              </w:rPr>
            </w:pPr>
            <w:r w:rsidRPr="00AA76D9">
              <w:rPr>
                <w:sz w:val="16"/>
                <w:szCs w:val="16"/>
                <w:lang w:val="fi-FI"/>
              </w:rPr>
              <w:t xml:space="preserve">Läti seaduste kohaselt on otsesel või kaudsel emaettevõtjal kui kontrollival äriühingul keelatud kasutada oma mõju, et sundida tütarettevõtjat kui kontrollitavat äriühingut sõlmima talle ebasoodsaid tehinguid, ilma et viimasele hüvitataks majandusaasta jooksul kantud kahju või antaks õigus esitada emaettevõtja vastu nõue. Tütarettevõtja on kohustatud koostama iga majandusaasta kohta sõltuvusaruande, mis </w:t>
            </w:r>
            <w:r w:rsidRPr="00AA76D9">
              <w:rPr>
                <w:sz w:val="16"/>
                <w:szCs w:val="16"/>
                <w:lang w:val="fi-FI"/>
              </w:rPr>
              <w:lastRenderedPageBreak/>
              <w:t xml:space="preserve">kajastab kõiki tehingud, mille tütarettevõtja on teinud emaettevõtja või teiste Gruppi kuuluvate äriühingutega, ning samuti tehinguid, mille tütarettevõtja sõlmis nende huvides või nende mõjutusel, märkides eelkõige ära need tehingud, mis on täielikult või osaliselt ebasoodsad või mis toovad kontrollitavale äriühingule kaasa erilisi riske või mis erinevad oluliselt tavapärasest majandustegevusest. </w:t>
            </w:r>
            <w:r w:rsidRPr="006E4666">
              <w:rPr>
                <w:sz w:val="16"/>
                <w:szCs w:val="16"/>
                <w:lang w:val="fi-FI"/>
              </w:rPr>
              <w:t xml:space="preserve">Otsene või kaudne emaettevõtja ja tema juhatus, kes on sundinud tütarettevõtjat sõlmima viimasele ebasoodsa tehingu, vastutavad üheskoos kantud kahju eest. </w:t>
            </w:r>
            <w:r w:rsidRPr="00AA76D9">
              <w:rPr>
                <w:sz w:val="16"/>
                <w:szCs w:val="16"/>
                <w:lang w:val="fi-FI"/>
              </w:rPr>
              <w:t>Tütarettevõtja juhatuse liikmed vastutavad ühiselt koos emaettevõtja ja tema juhatusega, kui ebasoodne tehing jäetakse märkimata sõltuvusaruandes või kui kõnealuses aruandes ei täpsustata, et tütarettevõtjale põhjustati kahju ning seda ei ole tegelikult hüvitatud. Ametiasutustele nõutava õige ja tõese aruande esitamata jätmise korral võidakse tütarettevõtja juhatuse liikmete suhtes kohaldada haldustrahvi, kuna aruannete esitamise kohustus lasub äriühingu juhatusel.</w:t>
            </w:r>
          </w:p>
          <w:p w14:paraId="3CCA6699" w14:textId="77777777" w:rsidR="00F562D6" w:rsidRPr="00AA76D9" w:rsidRDefault="00F562D6" w:rsidP="002B0EAB">
            <w:pPr>
              <w:pStyle w:val="Paragraph"/>
              <w:spacing w:before="0" w:after="0"/>
              <w:rPr>
                <w:sz w:val="16"/>
                <w:szCs w:val="16"/>
                <w:lang w:val="fi-FI"/>
              </w:rPr>
            </w:pPr>
            <w:r w:rsidRPr="00AA76D9">
              <w:rPr>
                <w:sz w:val="16"/>
                <w:szCs w:val="16"/>
                <w:lang w:val="fi-FI"/>
              </w:rPr>
              <w:t xml:space="preserve">Leedus kehtivad grupisiseste laenude andmisel teatavad piirangud, s.t selliste laenude intress peab olema samaväärne turutingimustel antava laenu intressiga ning laenusumma ja äriühingu omakapitali suhe ei tohi olla suurem kui 4:1. Kui laen on sellest suhtarvust suurem, ei saa suhtarvu ületava laenusumma pealt makstavat intressi lubatud mahaarvamisena kajastada. </w:t>
            </w:r>
          </w:p>
          <w:p w14:paraId="3BCEDF76" w14:textId="77777777" w:rsidR="00F562D6" w:rsidRPr="00AA76D9" w:rsidRDefault="00F562D6" w:rsidP="002B0EAB">
            <w:pPr>
              <w:pStyle w:val="Paragraph"/>
              <w:spacing w:before="0" w:after="0"/>
              <w:rPr>
                <w:sz w:val="16"/>
                <w:szCs w:val="16"/>
                <w:lang w:val="fi-FI"/>
              </w:rPr>
            </w:pPr>
            <w:r w:rsidRPr="00AA76D9">
              <w:rPr>
                <w:sz w:val="16"/>
                <w:szCs w:val="16"/>
                <w:lang w:val="fi-FI"/>
              </w:rPr>
              <w:t>Saksa õiguse kohaselt võib Saksa aktsiaselts anda emaettevõtja aktsionäridele laenu, kui see ei ole vastuolus kapitali säilitamise nõuetega. Vastavalt kapitali säilitamise nõuetele ei või emaettevõtjale laenu anda ulatuses, milles vahendid on vajalikud äriühingu registreeritud aktsiakapitali säilitamiseks, välja arvatud juhul, kui on sõlmitud kontrollimise või kasumi ja kahjumi ühendamise leping Saksamaa aktsiaseltside seaduse (Aktiengesetz) paragrahvi 291 tähenduses või laenu äriühingule tagasimaksmise nõue on täielikult kehtiv ja esitatud turutingimustel. Saksa aktsiaseltsi aktsionär on ka vastutav juhul, kui ta mõjutab äriühingut tegutsema selliselt, et selle tagajärjeks on äriühingu maksejõuetus.</w:t>
            </w:r>
          </w:p>
          <w:p w14:paraId="0A5F9095" w14:textId="77777777" w:rsidR="00F562D6" w:rsidRPr="00CC2AEA" w:rsidRDefault="00F562D6" w:rsidP="002B0EAB">
            <w:pPr>
              <w:pStyle w:val="Paragraph"/>
              <w:spacing w:before="0" w:after="0"/>
              <w:rPr>
                <w:sz w:val="16"/>
                <w:szCs w:val="16"/>
              </w:rPr>
            </w:pPr>
            <w:r>
              <w:rPr>
                <w:b/>
                <w:bCs/>
                <w:sz w:val="16"/>
                <w:szCs w:val="16"/>
              </w:rPr>
              <w:t>Grupi tegevusalaga seotud riskid</w:t>
            </w:r>
          </w:p>
          <w:p w14:paraId="0F3A4806" w14:textId="77777777" w:rsidR="00F562D6" w:rsidRPr="00AA76D9" w:rsidRDefault="00F562D6" w:rsidP="002B0EAB">
            <w:pPr>
              <w:pStyle w:val="Paragraph"/>
              <w:numPr>
                <w:ilvl w:val="0"/>
                <w:numId w:val="68"/>
              </w:numPr>
              <w:spacing w:before="0" w:after="0"/>
              <w:ind w:left="455" w:hanging="425"/>
              <w:rPr>
                <w:sz w:val="16"/>
                <w:szCs w:val="16"/>
                <w:lang w:val="fi-FI"/>
              </w:rPr>
            </w:pPr>
            <w:r w:rsidRPr="00AA76D9">
              <w:rPr>
                <w:sz w:val="16"/>
                <w:szCs w:val="16"/>
                <w:lang w:val="fi-FI"/>
              </w:rPr>
              <w:t>Grupi äritegevust mõjutavad muutused makromajanduslikus keskkonnas. Kinnisvaraarendus järgib üldiselt makromajandusliku keskkonna üldisi suundumusi. Intressimäärad, töötuse määr, inflatsioon, eratarbimine, kapitalikulutused ja muud makromajanduslikud näitajad mõjutavad oluliselt kinnisvarasektori suundumusi. Negatiivsed suundumused suurendavad survet kinnisvarahindadele, üürihindadele ja -tulule. Negatiivsed suundumused keskkonnas võivad tuua kaasa Grupi mõningate arendusplaanide muutmise, avaldada negatiivset survet Grupi kinnisvara hindadele ja üüri suurusele ning põhjustada muid Grupi kinnisvaraga seotud muutusi, millel võib olla oluline negatiivne mõju Grupi äritegevusele, tegevustulemile, finantsseisundile ja kasumlikkusele.</w:t>
            </w:r>
          </w:p>
          <w:p w14:paraId="49E9C1E1" w14:textId="77777777" w:rsidR="00F562D6" w:rsidRPr="00AA76D9" w:rsidRDefault="00F562D6" w:rsidP="002B0EAB">
            <w:pPr>
              <w:pStyle w:val="Paragraph"/>
              <w:numPr>
                <w:ilvl w:val="0"/>
                <w:numId w:val="68"/>
              </w:numPr>
              <w:spacing w:before="0" w:after="0"/>
              <w:ind w:left="455" w:hanging="425"/>
              <w:rPr>
                <w:bCs/>
                <w:iCs/>
                <w:sz w:val="16"/>
                <w:szCs w:val="16"/>
                <w:lang w:val="fi-FI"/>
              </w:rPr>
            </w:pPr>
            <w:r w:rsidRPr="00AA76D9">
              <w:rPr>
                <w:sz w:val="16"/>
                <w:szCs w:val="16"/>
                <w:lang w:val="fi-FI"/>
              </w:rPr>
              <w:t>Grupi äritegevust mõjutab kinnisvarasektori tsüklilisus.</w:t>
            </w:r>
          </w:p>
          <w:p w14:paraId="27BFBB51" w14:textId="77777777" w:rsidR="00F562D6" w:rsidRPr="00AA76D9" w:rsidRDefault="00F562D6" w:rsidP="002B0EAB">
            <w:pPr>
              <w:pStyle w:val="Paragraph"/>
              <w:numPr>
                <w:ilvl w:val="0"/>
                <w:numId w:val="68"/>
              </w:numPr>
              <w:spacing w:before="0" w:after="0"/>
              <w:ind w:left="455" w:hanging="425"/>
              <w:rPr>
                <w:bCs/>
                <w:iCs/>
                <w:sz w:val="16"/>
                <w:szCs w:val="16"/>
                <w:lang w:val="fi-FI"/>
              </w:rPr>
            </w:pPr>
            <w:r w:rsidRPr="00AA76D9">
              <w:rPr>
                <w:sz w:val="16"/>
                <w:szCs w:val="16"/>
                <w:lang w:val="fi-FI"/>
              </w:rPr>
              <w:t>Kinnisvara mittelikviidsus. Enamik investeeringutest, mille Grupp on teinud oma kinnisvaraportfelli, on suhteliselt mittelikviidsed ja kõnealuste kinnisvaraobjektide müük võib võtta kaua aega. Kui Grupi likviidsus väheneb, võib juhtuda, et Grupp ei suuda oma investeeringutest kiiresti ja/või soodsatel tingimustel väljuda.</w:t>
            </w:r>
          </w:p>
          <w:p w14:paraId="0181DF75" w14:textId="77777777" w:rsidR="00F562D6" w:rsidRPr="00AA76D9" w:rsidRDefault="00F562D6" w:rsidP="002B0EAB">
            <w:pPr>
              <w:pStyle w:val="Paragraph"/>
              <w:numPr>
                <w:ilvl w:val="0"/>
                <w:numId w:val="68"/>
              </w:numPr>
              <w:spacing w:before="0" w:after="0"/>
              <w:ind w:left="455" w:hanging="425"/>
              <w:rPr>
                <w:sz w:val="16"/>
                <w:szCs w:val="16"/>
                <w:lang w:val="fi-FI"/>
              </w:rPr>
            </w:pPr>
            <w:r w:rsidRPr="00AA76D9">
              <w:rPr>
                <w:sz w:val="16"/>
                <w:szCs w:val="16"/>
                <w:lang w:val="fi-FI"/>
              </w:rPr>
              <w:t>Konkurents. Grupp tegutseb tugeva konkurentsi tingimustes – Balti riikides on palju kinnisvaraarendajaid. Balti riikide kinnisvaraturgudele võib siseneda veelgi konkurente, kellel on parem juurdepääs rahastamisele. Võimalik ülepakkumine Balti riikide kinnisvaraturgudel võib tuua kaasa keskmiste müügihindade ja üürimaksete vähenemise ning sellel võib olla negatiivne mõju Grupi äritegevusele ja finantsseisundile.</w:t>
            </w:r>
          </w:p>
          <w:p w14:paraId="6E66347D" w14:textId="77777777" w:rsidR="00F562D6" w:rsidRPr="00AA76D9" w:rsidRDefault="00F562D6" w:rsidP="002B0EAB">
            <w:pPr>
              <w:pStyle w:val="Paragraph"/>
              <w:numPr>
                <w:ilvl w:val="0"/>
                <w:numId w:val="68"/>
              </w:numPr>
              <w:spacing w:before="0" w:after="0"/>
              <w:ind w:left="455" w:hanging="425"/>
              <w:rPr>
                <w:sz w:val="16"/>
                <w:szCs w:val="16"/>
                <w:lang w:val="fi-FI"/>
              </w:rPr>
            </w:pPr>
            <w:r w:rsidRPr="00AA76D9">
              <w:rPr>
                <w:sz w:val="16"/>
                <w:szCs w:val="16"/>
                <w:lang w:val="fi-FI"/>
              </w:rPr>
              <w:t xml:space="preserve">Grupi poolt tulevikus ettevõetavate arendusprojektide ja uute objektide omandamise kasumlikkust võib oluliselt mõjutada renoveerimis- ja ehituskulude suurenemine, kui konkurendid oma arendusprojekte ellu viivad. Kui konkurendid alustavad kavandatud ja väljakuulutatud projektide elluviimist, suureneb ka konkurents üürnike osas ja kasvavad turunduskulud. </w:t>
            </w:r>
          </w:p>
          <w:p w14:paraId="61F886F6" w14:textId="77777777" w:rsidR="00F562D6" w:rsidRPr="00AA76D9" w:rsidRDefault="00F562D6" w:rsidP="002B0EAB">
            <w:pPr>
              <w:pStyle w:val="Paragraph"/>
              <w:numPr>
                <w:ilvl w:val="0"/>
                <w:numId w:val="68"/>
              </w:numPr>
              <w:spacing w:before="0" w:after="0"/>
              <w:ind w:left="455" w:hanging="425"/>
              <w:rPr>
                <w:sz w:val="16"/>
                <w:szCs w:val="16"/>
                <w:lang w:val="fi-FI"/>
              </w:rPr>
            </w:pPr>
            <w:r w:rsidRPr="00AA76D9">
              <w:rPr>
                <w:sz w:val="16"/>
                <w:szCs w:val="16"/>
                <w:lang w:val="fi-FI"/>
              </w:rPr>
              <w:t xml:space="preserve">Kinnisvaraturu segmendid, kus Grupp tegutseb (eluasemeturg, jaemüügikinnisvara turg ja hotellikinnisvara turg), toimivad vastavalt klientide käitumisele, nõudmistele ja eelistustele, mis on muutuvad ja võivad edaspidigi sõltuvalt majanduslikest teguritest muutuda, ning samuti vastavalt klientide eelistustele arendusprojektide stiili suhtes. </w:t>
            </w:r>
            <w:r w:rsidRPr="00D6671D">
              <w:rPr>
                <w:sz w:val="16"/>
                <w:szCs w:val="16"/>
                <w:lang w:val="fi-FI"/>
              </w:rPr>
              <w:t xml:space="preserve">Grupp hindab selliseid riske ja potentsiaalseid muutusi klientide eelistustes pidevalt projekti erinevates etappides. Kui tuvastatakse muutusi klientide eelistustes või muid potentsiaalseid ohte projekti kasumlikkusele, muudetakse projekti niivõrd, kuivõrd see on projekti vastavas etapis võimalik, et vastata turu muutunud ootustele. </w:t>
            </w:r>
            <w:r w:rsidRPr="00AA76D9">
              <w:rPr>
                <w:sz w:val="16"/>
                <w:szCs w:val="16"/>
                <w:lang w:val="fi-FI"/>
              </w:rPr>
              <w:t>See ei taga siiski, et selliseid muutusi alati märgatakse ja et olemasolevatesse või kavandatud arendusprojektidesse tehakse õigel ajal muudatusi vastavalt muutustele klientide eelistustes. Kui klientide eelistuste muutused ei ole Grupile soodsad, võib sellel olla negatiivne mõju Grupi äritegevusele, tegevustulemile ja finantsseisundile.</w:t>
            </w:r>
          </w:p>
          <w:p w14:paraId="165E71CC" w14:textId="77777777" w:rsidR="00F562D6" w:rsidRPr="00AA76D9" w:rsidRDefault="00F562D6" w:rsidP="002B0EAB">
            <w:pPr>
              <w:pStyle w:val="Paragraph"/>
              <w:numPr>
                <w:ilvl w:val="0"/>
                <w:numId w:val="68"/>
              </w:numPr>
              <w:spacing w:before="0" w:after="0"/>
              <w:ind w:left="455" w:hanging="425"/>
              <w:rPr>
                <w:sz w:val="16"/>
                <w:szCs w:val="16"/>
                <w:lang w:val="fi-FI"/>
              </w:rPr>
            </w:pPr>
            <w:r w:rsidRPr="00AA76D9">
              <w:rPr>
                <w:sz w:val="16"/>
                <w:szCs w:val="16"/>
                <w:lang w:val="fi-FI"/>
              </w:rPr>
              <w:t>Gruppi mõjutavad tema klientide ja tarnijate krediidiriskid. Grupi finantstulemused ja -seisund sõltuvad teatud määral tema klientide ja tarnijate krediidivõimest. Kui ettenägematud asjaolud mõjutavad Grupi klientide ja/või tarnijate maksevõimet või -tahet, võib see Grupi jaoks tähendada makseviivitusi või maksmata arveid. Kõigil neil teguritel võib olla oluline negatiivne mõju Grupi äritegevusele, väljavaadetele ja finantstulemustele.</w:t>
            </w:r>
          </w:p>
          <w:p w14:paraId="40405E33" w14:textId="77777777" w:rsidR="00F562D6" w:rsidRPr="00CC2AEA" w:rsidRDefault="00F562D6" w:rsidP="002B0EAB">
            <w:pPr>
              <w:pStyle w:val="Paragraph"/>
              <w:spacing w:before="0" w:after="0"/>
              <w:rPr>
                <w:sz w:val="16"/>
                <w:szCs w:val="16"/>
              </w:rPr>
            </w:pPr>
            <w:r>
              <w:rPr>
                <w:b/>
                <w:bCs/>
                <w:sz w:val="16"/>
                <w:szCs w:val="16"/>
              </w:rPr>
              <w:t>Poliitilised, majanduslikud ja õiguslikud riskid</w:t>
            </w:r>
          </w:p>
          <w:p w14:paraId="006AA21F" w14:textId="77777777" w:rsidR="00F562D6" w:rsidRPr="00CC2AEA" w:rsidRDefault="00F562D6" w:rsidP="002B0EAB">
            <w:pPr>
              <w:pStyle w:val="Paragraph"/>
              <w:numPr>
                <w:ilvl w:val="0"/>
                <w:numId w:val="67"/>
              </w:numPr>
              <w:spacing w:before="0" w:after="0"/>
              <w:ind w:left="314" w:hanging="284"/>
              <w:rPr>
                <w:bCs/>
                <w:iCs/>
                <w:sz w:val="16"/>
                <w:szCs w:val="16"/>
              </w:rPr>
            </w:pPr>
            <w:r>
              <w:rPr>
                <w:sz w:val="16"/>
                <w:szCs w:val="16"/>
              </w:rPr>
              <w:t>Balti riikides tegutsemisega seotud riskid</w:t>
            </w:r>
          </w:p>
          <w:p w14:paraId="15DA3FB4" w14:textId="77777777" w:rsidR="00F562D6" w:rsidRPr="00CC2AEA" w:rsidRDefault="00F562D6" w:rsidP="002B0EAB">
            <w:pPr>
              <w:pStyle w:val="Paragraph"/>
              <w:numPr>
                <w:ilvl w:val="0"/>
                <w:numId w:val="67"/>
              </w:numPr>
              <w:spacing w:before="0" w:after="0"/>
              <w:ind w:left="314" w:hanging="284"/>
              <w:rPr>
                <w:sz w:val="16"/>
                <w:szCs w:val="16"/>
              </w:rPr>
            </w:pPr>
            <w:r>
              <w:rPr>
                <w:sz w:val="16"/>
                <w:szCs w:val="16"/>
              </w:rPr>
              <w:t>Eesti äriühingute aktsionäride õigused võivad erineda teistes riikides asutatud äriühingute aktsionäride õigustest</w:t>
            </w:r>
          </w:p>
          <w:p w14:paraId="70CA97F5" w14:textId="77777777" w:rsidR="00F562D6" w:rsidRPr="00AA76D9" w:rsidRDefault="00F562D6" w:rsidP="002B0EAB">
            <w:pPr>
              <w:pStyle w:val="Paragraph"/>
              <w:numPr>
                <w:ilvl w:val="0"/>
                <w:numId w:val="67"/>
              </w:numPr>
              <w:spacing w:before="0" w:after="0"/>
              <w:ind w:left="314" w:hanging="284"/>
              <w:rPr>
                <w:sz w:val="16"/>
                <w:szCs w:val="16"/>
                <w:lang w:val="fi-FI"/>
              </w:rPr>
            </w:pPr>
            <w:r w:rsidRPr="00AA76D9">
              <w:rPr>
                <w:sz w:val="16"/>
                <w:szCs w:val="16"/>
                <w:lang w:val="fi-FI"/>
              </w:rPr>
              <w:t>Äriühingut ja Grupi käsitlevaid välisriikide kohtute otsuseid võib olla raskem täitmisele pöörata kui siis, kui Äriühing ja tema juhatus asuksid vastavas välisriigis.</w:t>
            </w:r>
          </w:p>
          <w:p w14:paraId="273486DB" w14:textId="77777777" w:rsidR="00F562D6" w:rsidRPr="00AA76D9" w:rsidRDefault="00F562D6" w:rsidP="002B0EAB">
            <w:pPr>
              <w:pStyle w:val="Paragraph"/>
              <w:numPr>
                <w:ilvl w:val="0"/>
                <w:numId w:val="67"/>
              </w:numPr>
              <w:spacing w:before="0" w:after="0"/>
              <w:ind w:left="314" w:hanging="284"/>
              <w:rPr>
                <w:sz w:val="16"/>
                <w:szCs w:val="16"/>
                <w:lang w:val="fi-FI"/>
              </w:rPr>
            </w:pPr>
            <w:r w:rsidRPr="00AA76D9">
              <w:rPr>
                <w:sz w:val="16"/>
                <w:szCs w:val="16"/>
                <w:lang w:val="fi-FI"/>
              </w:rPr>
              <w:t>Maksusüsteemiga seotud riskid. Eesti, Läti, Leedu või Saksamaa maksusüsteemi muudatustel võib olla oluline negatiivne mõju Grupi äritegevusele, tegevustulemile ja finantsseisundile.</w:t>
            </w:r>
          </w:p>
          <w:p w14:paraId="2526508F" w14:textId="77777777" w:rsidR="00F562D6" w:rsidRPr="00AA76D9" w:rsidRDefault="00F562D6" w:rsidP="002B0EAB">
            <w:pPr>
              <w:pStyle w:val="Paragraph"/>
              <w:numPr>
                <w:ilvl w:val="0"/>
                <w:numId w:val="67"/>
              </w:numPr>
              <w:spacing w:before="0" w:after="0"/>
              <w:ind w:left="314" w:hanging="284"/>
              <w:rPr>
                <w:bCs/>
                <w:iCs/>
                <w:sz w:val="16"/>
                <w:szCs w:val="16"/>
                <w:lang w:val="fi-FI"/>
              </w:rPr>
            </w:pPr>
            <w:r w:rsidRPr="00AA76D9">
              <w:rPr>
                <w:sz w:val="16"/>
                <w:szCs w:val="16"/>
                <w:lang w:val="fi-FI"/>
              </w:rPr>
              <w:t>Riiklike õigusaktide ja poliitika järgimise suurenev kulu</w:t>
            </w:r>
          </w:p>
          <w:p w14:paraId="49ED3EFD" w14:textId="77777777" w:rsidR="00F562D6" w:rsidRPr="00CC2AEA" w:rsidRDefault="00F562D6" w:rsidP="002B0EAB">
            <w:pPr>
              <w:pStyle w:val="Paragraph"/>
              <w:numPr>
                <w:ilvl w:val="0"/>
                <w:numId w:val="67"/>
              </w:numPr>
              <w:spacing w:before="0" w:after="0"/>
              <w:ind w:left="314" w:hanging="284"/>
              <w:rPr>
                <w:bCs/>
                <w:iCs/>
                <w:sz w:val="16"/>
                <w:szCs w:val="16"/>
              </w:rPr>
            </w:pPr>
            <w:r>
              <w:rPr>
                <w:sz w:val="16"/>
                <w:szCs w:val="16"/>
              </w:rPr>
              <w:t>Euroalaga seotud riskid</w:t>
            </w:r>
          </w:p>
          <w:p w14:paraId="2D963CDD" w14:textId="77777777" w:rsidR="00F562D6" w:rsidRPr="00CC2AEA" w:rsidRDefault="00F562D6" w:rsidP="002B0EAB">
            <w:pPr>
              <w:pStyle w:val="Paragraph"/>
              <w:numPr>
                <w:ilvl w:val="0"/>
                <w:numId w:val="67"/>
              </w:numPr>
              <w:spacing w:before="0" w:after="0"/>
              <w:ind w:left="314" w:hanging="284"/>
              <w:rPr>
                <w:b/>
                <w:bCs/>
                <w:i/>
                <w:iCs/>
                <w:sz w:val="16"/>
                <w:szCs w:val="16"/>
              </w:rPr>
            </w:pPr>
            <w:r>
              <w:rPr>
                <w:sz w:val="16"/>
                <w:szCs w:val="16"/>
              </w:rPr>
              <w:t>Intressimääraga seotud risk</w:t>
            </w:r>
          </w:p>
        </w:tc>
      </w:tr>
      <w:tr w:rsidR="00F562D6" w:rsidRPr="00AA76D9" w14:paraId="2DD166F5" w14:textId="77777777" w:rsidTr="002B0EAB">
        <w:tc>
          <w:tcPr>
            <w:tcW w:w="714" w:type="dxa"/>
            <w:tcBorders>
              <w:left w:val="single" w:sz="4" w:space="0" w:color="BFBFBF" w:themeColor="background1" w:themeShade="BF"/>
              <w:bottom w:val="single" w:sz="4" w:space="0" w:color="808080" w:themeColor="text1" w:themeTint="7F"/>
            </w:tcBorders>
          </w:tcPr>
          <w:p w14:paraId="44380F6E" w14:textId="77777777" w:rsidR="00F562D6" w:rsidRPr="00CC2AEA" w:rsidRDefault="00F562D6" w:rsidP="002B0EAB">
            <w:pPr>
              <w:rPr>
                <w:rFonts w:ascii="Arial" w:hAnsi="Arial" w:cs="Arial"/>
                <w:sz w:val="16"/>
                <w:szCs w:val="16"/>
              </w:rPr>
            </w:pPr>
            <w:r>
              <w:rPr>
                <w:rFonts w:ascii="Arial" w:hAnsi="Arial" w:cs="Arial"/>
                <w:sz w:val="16"/>
                <w:szCs w:val="16"/>
              </w:rPr>
              <w:lastRenderedPageBreak/>
              <w:t>D.3</w:t>
            </w:r>
          </w:p>
        </w:tc>
        <w:tc>
          <w:tcPr>
            <w:tcW w:w="1554" w:type="dxa"/>
            <w:tcBorders>
              <w:bottom w:val="single" w:sz="4" w:space="0" w:color="808080" w:themeColor="text1" w:themeTint="7F"/>
            </w:tcBorders>
          </w:tcPr>
          <w:p w14:paraId="35B4C98D" w14:textId="77777777" w:rsidR="00F562D6" w:rsidRPr="00CC2AEA" w:rsidRDefault="00F562D6" w:rsidP="002B0EAB">
            <w:pPr>
              <w:rPr>
                <w:rFonts w:ascii="Arial" w:hAnsi="Arial" w:cs="Arial"/>
                <w:sz w:val="16"/>
                <w:szCs w:val="16"/>
              </w:rPr>
            </w:pPr>
            <w:r>
              <w:rPr>
                <w:rFonts w:ascii="Arial" w:hAnsi="Arial" w:cs="Arial"/>
                <w:sz w:val="16"/>
                <w:szCs w:val="16"/>
              </w:rPr>
              <w:t>Konkreetselt Aktsiatega seotud peamised riskid</w:t>
            </w:r>
          </w:p>
        </w:tc>
        <w:tc>
          <w:tcPr>
            <w:tcW w:w="7484" w:type="dxa"/>
            <w:tcBorders>
              <w:bottom w:val="single" w:sz="4" w:space="0" w:color="808080" w:themeColor="text1" w:themeTint="7F"/>
              <w:right w:val="single" w:sz="4" w:space="0" w:color="BFBFBF" w:themeColor="background1" w:themeShade="BF"/>
            </w:tcBorders>
          </w:tcPr>
          <w:p w14:paraId="73A4F0D9" w14:textId="77777777" w:rsidR="00F562D6" w:rsidRPr="00CC2AEA" w:rsidRDefault="00F562D6" w:rsidP="002B0EAB">
            <w:pPr>
              <w:rPr>
                <w:rFonts w:ascii="Arial" w:hAnsi="Arial"/>
                <w:b/>
                <w:bCs/>
                <w:i/>
                <w:iCs/>
                <w:sz w:val="16"/>
                <w:szCs w:val="16"/>
              </w:rPr>
            </w:pPr>
            <w:r>
              <w:rPr>
                <w:rFonts w:ascii="Arial" w:hAnsi="Arial"/>
                <w:b/>
                <w:bCs/>
                <w:i/>
                <w:iCs/>
                <w:sz w:val="16"/>
                <w:szCs w:val="16"/>
              </w:rPr>
              <w:t>Likviidsus</w:t>
            </w:r>
          </w:p>
          <w:p w14:paraId="19B8B1BD" w14:textId="77777777" w:rsidR="00F562D6" w:rsidRPr="00CC2AEA" w:rsidRDefault="00F562D6" w:rsidP="002B0EAB">
            <w:pPr>
              <w:rPr>
                <w:rFonts w:ascii="Arial" w:hAnsi="Arial"/>
                <w:bCs/>
                <w:iCs/>
                <w:sz w:val="16"/>
                <w:szCs w:val="16"/>
              </w:rPr>
            </w:pPr>
            <w:r>
              <w:rPr>
                <w:rFonts w:ascii="Arial" w:hAnsi="Arial"/>
                <w:sz w:val="16"/>
                <w:szCs w:val="16"/>
              </w:rPr>
              <w:t xml:space="preserve">Reguleeritud turg on oluliselt vähem likviidne ja tunduvalt muutlikum kui mitmed pikemate traditsioonidega turud, mis asuvad näiteks rohkem arenenud väärtpaberiturgudega riikides. Reguleeritud turu suhteliselt väike turukapitalisatsioon ja vähene likviidsus võib takistada investoreid Aktsiaid Reguleeritud turul müümast ning see võib omakorda suurendada Aktsiate hinna volatiilsust. </w:t>
            </w:r>
          </w:p>
          <w:p w14:paraId="5D8771B5" w14:textId="77777777" w:rsidR="00F562D6" w:rsidRPr="00CC2AEA" w:rsidRDefault="00F562D6" w:rsidP="002B0EAB">
            <w:pPr>
              <w:rPr>
                <w:rFonts w:ascii="Arial" w:hAnsi="Arial"/>
                <w:bCs/>
                <w:iCs/>
                <w:sz w:val="16"/>
                <w:szCs w:val="16"/>
              </w:rPr>
            </w:pPr>
            <w:r>
              <w:rPr>
                <w:rFonts w:ascii="Arial" w:hAnsi="Arial"/>
                <w:sz w:val="16"/>
                <w:szCs w:val="16"/>
              </w:rPr>
              <w:t>Reguleeritud turu hindu võivad mõjutada ka välised tegurid, näiteks maailmaturgude toimimine üldiselt või teiste arenevate turgude toimimine või kauplemis- või kapitalikasumi maksude muutmine.</w:t>
            </w:r>
          </w:p>
          <w:p w14:paraId="3022029F" w14:textId="77777777" w:rsidR="00F562D6" w:rsidRPr="00AA76D9" w:rsidRDefault="00F562D6" w:rsidP="002B0EAB">
            <w:pPr>
              <w:pStyle w:val="Paragraph"/>
              <w:spacing w:before="0" w:after="0"/>
              <w:rPr>
                <w:b/>
                <w:bCs/>
                <w:i/>
                <w:iCs/>
                <w:sz w:val="16"/>
                <w:szCs w:val="16"/>
                <w:lang w:val="fi-FI"/>
              </w:rPr>
            </w:pPr>
            <w:r w:rsidRPr="00AA76D9">
              <w:rPr>
                <w:b/>
                <w:bCs/>
                <w:i/>
                <w:iCs/>
                <w:sz w:val="16"/>
                <w:szCs w:val="16"/>
                <w:lang w:val="fi-FI"/>
              </w:rPr>
              <w:t>Aktsiad ei pruugi kõikide investorite jaoks olla sobiv investeering</w:t>
            </w:r>
          </w:p>
          <w:p w14:paraId="23CB6DBF" w14:textId="77777777" w:rsidR="00F562D6" w:rsidRPr="00CC2AEA" w:rsidRDefault="00F562D6" w:rsidP="002B0EAB">
            <w:pPr>
              <w:pStyle w:val="Paragraph"/>
              <w:spacing w:before="0" w:after="0"/>
              <w:rPr>
                <w:sz w:val="16"/>
                <w:szCs w:val="16"/>
              </w:rPr>
            </w:pPr>
            <w:r w:rsidRPr="00AA76D9">
              <w:rPr>
                <w:sz w:val="16"/>
                <w:szCs w:val="16"/>
                <w:lang w:val="fi-FI"/>
              </w:rPr>
              <w:t xml:space="preserve">Iga potentsiaalne Aktsiatesse investeerija peab investeeringu sobivuse üle otsustamisel lähtuma omaenda olukorrast. </w:t>
            </w:r>
            <w:r>
              <w:rPr>
                <w:sz w:val="16"/>
                <w:szCs w:val="16"/>
              </w:rPr>
              <w:t xml:space="preserve">Eelkõige peaks iga potentsiaalne investor: </w:t>
            </w:r>
          </w:p>
          <w:p w14:paraId="4E3E0603" w14:textId="77777777" w:rsidR="00F562D6" w:rsidRPr="00AA76D9" w:rsidRDefault="00F562D6" w:rsidP="002B0EAB">
            <w:pPr>
              <w:pStyle w:val="Paragraph"/>
              <w:numPr>
                <w:ilvl w:val="0"/>
                <w:numId w:val="26"/>
              </w:numPr>
              <w:spacing w:before="0" w:after="0"/>
              <w:ind w:left="709" w:hanging="709"/>
              <w:rPr>
                <w:sz w:val="16"/>
                <w:szCs w:val="16"/>
                <w:lang w:val="fi-FI"/>
              </w:rPr>
            </w:pPr>
            <w:r w:rsidRPr="00AA76D9">
              <w:rPr>
                <w:sz w:val="16"/>
                <w:szCs w:val="16"/>
                <w:lang w:val="fi-FI"/>
              </w:rPr>
              <w:t xml:space="preserve">omama piisavaid teadmisi ja kogemusi Aktsiate, Aktsiatesse investeerimise kasulikkuse ja riskide ning Prospektis sisalduva teabe sisuliseks hindamiseks; </w:t>
            </w:r>
          </w:p>
          <w:p w14:paraId="3C7981D3" w14:textId="77777777" w:rsidR="00F562D6" w:rsidRPr="00AA76D9" w:rsidRDefault="00F562D6" w:rsidP="002B0EAB">
            <w:pPr>
              <w:pStyle w:val="Paragraph"/>
              <w:numPr>
                <w:ilvl w:val="0"/>
                <w:numId w:val="26"/>
              </w:numPr>
              <w:spacing w:before="0" w:after="0"/>
              <w:ind w:left="709" w:hanging="709"/>
              <w:rPr>
                <w:sz w:val="16"/>
                <w:szCs w:val="16"/>
                <w:lang w:val="fi-FI"/>
              </w:rPr>
            </w:pPr>
            <w:r w:rsidRPr="00AA76D9">
              <w:rPr>
                <w:sz w:val="16"/>
                <w:szCs w:val="16"/>
                <w:lang w:val="fi-FI"/>
              </w:rPr>
              <w:t xml:space="preserve">omama võimalust ja teadmisi asjakohaste analüütiliste vahendite kasutamiseks, et oma konkreetsest finantsolukorrast lähtudes hinnata Aktsiatesse investeerimist ja Aktsiate mõju oma investeerimisportfellile tervikuna; </w:t>
            </w:r>
          </w:p>
          <w:p w14:paraId="1C76423D" w14:textId="77777777" w:rsidR="00F562D6" w:rsidRPr="00AA76D9" w:rsidRDefault="00F562D6" w:rsidP="002B0EAB">
            <w:pPr>
              <w:pStyle w:val="Paragraph"/>
              <w:numPr>
                <w:ilvl w:val="0"/>
                <w:numId w:val="26"/>
              </w:numPr>
              <w:spacing w:before="0" w:after="0"/>
              <w:ind w:left="709" w:hanging="709"/>
              <w:rPr>
                <w:sz w:val="16"/>
                <w:szCs w:val="16"/>
                <w:lang w:val="fi-FI"/>
              </w:rPr>
            </w:pPr>
            <w:r w:rsidRPr="00AA76D9">
              <w:rPr>
                <w:sz w:val="16"/>
                <w:szCs w:val="16"/>
                <w:lang w:val="fi-FI"/>
              </w:rPr>
              <w:t>omama piisavalt rahalisi vahendeid ja likviidsust, et kanda kõiki Aktsiatesse investeerimisest tulenevaid riske;</w:t>
            </w:r>
          </w:p>
          <w:p w14:paraId="7FD7D5AE" w14:textId="77777777" w:rsidR="00F562D6" w:rsidRPr="00AA76D9" w:rsidRDefault="00F562D6" w:rsidP="002B0EAB">
            <w:pPr>
              <w:pStyle w:val="Paragraph"/>
              <w:numPr>
                <w:ilvl w:val="0"/>
                <w:numId w:val="26"/>
              </w:numPr>
              <w:spacing w:before="0" w:after="0"/>
              <w:ind w:left="709" w:hanging="709"/>
              <w:rPr>
                <w:sz w:val="16"/>
                <w:szCs w:val="16"/>
                <w:lang w:val="fi-FI"/>
              </w:rPr>
            </w:pPr>
            <w:r w:rsidRPr="00AA76D9">
              <w:rPr>
                <w:sz w:val="16"/>
                <w:szCs w:val="16"/>
                <w:lang w:val="fi-FI"/>
              </w:rPr>
              <w:t xml:space="preserve">põhjalikult mõistma Aktsiate pakkumise tingimusi; ning </w:t>
            </w:r>
          </w:p>
          <w:p w14:paraId="162D64E8" w14:textId="77777777" w:rsidR="00F562D6" w:rsidRPr="00AA76D9" w:rsidRDefault="00F562D6" w:rsidP="002B0EAB">
            <w:pPr>
              <w:pStyle w:val="Paragraph"/>
              <w:numPr>
                <w:ilvl w:val="0"/>
                <w:numId w:val="26"/>
              </w:numPr>
              <w:spacing w:before="0" w:after="0"/>
              <w:ind w:left="709" w:hanging="709"/>
              <w:rPr>
                <w:sz w:val="16"/>
                <w:szCs w:val="16"/>
                <w:lang w:val="fi-FI"/>
              </w:rPr>
            </w:pPr>
            <w:r w:rsidRPr="00AA76D9">
              <w:rPr>
                <w:sz w:val="16"/>
                <w:szCs w:val="16"/>
                <w:lang w:val="fi-FI"/>
              </w:rPr>
              <w:t>olema võimeline hindama (kas iseseisvalt või finantsnõustaja abiga) majanduslike tegurite, intressimääraga seotud tegurite ja muude tegurite võimalikke stsenaariume, mis võivad mõjutada investeeringut ja suutlikkust kanda kaasnevaid riske.</w:t>
            </w:r>
          </w:p>
          <w:p w14:paraId="6684D2F3" w14:textId="77777777" w:rsidR="00F562D6" w:rsidRPr="00AA76D9" w:rsidRDefault="00F562D6" w:rsidP="002B0EAB">
            <w:pPr>
              <w:pStyle w:val="Paragraph"/>
              <w:spacing w:before="0" w:after="0"/>
              <w:rPr>
                <w:b/>
                <w:bCs/>
                <w:i/>
                <w:iCs/>
                <w:sz w:val="16"/>
                <w:szCs w:val="16"/>
                <w:lang w:val="fi-FI"/>
              </w:rPr>
            </w:pPr>
            <w:r w:rsidRPr="00AA76D9">
              <w:rPr>
                <w:b/>
                <w:bCs/>
                <w:i/>
                <w:iCs/>
                <w:sz w:val="16"/>
                <w:szCs w:val="16"/>
                <w:lang w:val="fi-FI"/>
              </w:rPr>
              <w:t>Aktsiate turuhind võib olla kõikuv</w:t>
            </w:r>
          </w:p>
          <w:p w14:paraId="109D96BD" w14:textId="77777777" w:rsidR="00F562D6" w:rsidRPr="00AA76D9" w:rsidRDefault="00F562D6" w:rsidP="002B0EAB">
            <w:pPr>
              <w:pStyle w:val="Paragraph"/>
              <w:spacing w:before="0" w:after="0"/>
              <w:rPr>
                <w:sz w:val="16"/>
                <w:szCs w:val="16"/>
                <w:lang w:val="fi-FI"/>
              </w:rPr>
            </w:pPr>
            <w:r w:rsidRPr="00AA76D9">
              <w:rPr>
                <w:sz w:val="16"/>
                <w:szCs w:val="16"/>
                <w:lang w:val="fi-FI"/>
              </w:rPr>
              <w:t>Äriühingu aktsiate turuhind võib oluliselt kõikuda, reageerides Grupi ja tema konkurentide tegevustulemi tegelikele või eeldatavatele muutustele, ebasoodsatele ärisündmustele, muudatustele regulatiivses keskkonnas, milles Grupp tegutseb, väärtpaberanalüütikute rahaliste prognooside muutustele, märkimisväärsel arvul aktsiate tegelikule või oodatavale müügile ning muudele teguritele, millest mõningaid on kirjeldatud käesolevas dokumendis. Lisaks on ülemaailmsetel finantsturgudel viimastel aastatel toimunud märkimisväärsed hindade ja mahtude kõikumised, mis tulevikus kordumise korral võivad avaldada negatiivset mõju Äriühingu aktsiate turuhinnale olenemata Grupi tegevustulemist, finantsseisundist või väljavaadetest. Vastavatel perioodidel võib aktsiate müük (üleüldse või mõistlikel tingimustel) olla keeruline või võimatu näiteks märkimisväärsete hinnakõikumiste, asjaomase turu sulgumise või turule seatud kaubanduspiirangute tõttu.</w:t>
            </w:r>
          </w:p>
          <w:p w14:paraId="08AC77B4" w14:textId="77777777" w:rsidR="00F562D6" w:rsidRPr="00AA76D9" w:rsidRDefault="00F562D6" w:rsidP="002B0EAB">
            <w:pPr>
              <w:rPr>
                <w:rFonts w:ascii="Arial" w:hAnsi="Arial"/>
                <w:b/>
                <w:bCs/>
                <w:i/>
                <w:iCs/>
                <w:sz w:val="16"/>
                <w:szCs w:val="16"/>
                <w:lang w:val="fi-FI"/>
              </w:rPr>
            </w:pPr>
            <w:r w:rsidRPr="00AA76D9">
              <w:rPr>
                <w:rFonts w:ascii="Arial" w:hAnsi="Arial"/>
                <w:b/>
                <w:bCs/>
                <w:i/>
                <w:iCs/>
                <w:sz w:val="16"/>
                <w:szCs w:val="16"/>
                <w:lang w:val="fi-FI"/>
              </w:rPr>
              <w:t>Pakkumine võidakse peatada või tühistada</w:t>
            </w:r>
          </w:p>
          <w:p w14:paraId="5B78D9DA" w14:textId="77777777" w:rsidR="00F562D6" w:rsidRPr="00AA76D9" w:rsidRDefault="00F562D6" w:rsidP="002B0EAB">
            <w:pPr>
              <w:rPr>
                <w:rFonts w:ascii="Arial" w:hAnsi="Arial"/>
                <w:bCs/>
                <w:iCs/>
                <w:sz w:val="16"/>
                <w:szCs w:val="16"/>
                <w:lang w:val="fi-FI"/>
              </w:rPr>
            </w:pPr>
            <w:r w:rsidRPr="00AA76D9">
              <w:rPr>
                <w:rFonts w:ascii="Arial" w:hAnsi="Arial"/>
                <w:sz w:val="16"/>
                <w:szCs w:val="16"/>
                <w:lang w:val="fi-FI"/>
              </w:rPr>
              <w:t xml:space="preserve">Võib tekkida mitmesuguseid olukordi, millele Äriühingul ei ole mõju või on väga piiratud mõju, kuid mis võivad Pakkumist mõjutada. Seetõttu võib Äriühingul olla õigus Pakkumine peatada või tühistada, kui eelnimetatud olukorrad avaldaksid ebasoodsat mõju Pakkumise tulemustele. Palun tutvuge ka punktiga 25.2 (Pakkumisperiood). </w:t>
            </w:r>
          </w:p>
          <w:p w14:paraId="464A7981" w14:textId="77777777" w:rsidR="00F562D6" w:rsidRPr="00AA76D9" w:rsidRDefault="00F562D6" w:rsidP="002B0EAB">
            <w:pPr>
              <w:pStyle w:val="Paragraph"/>
              <w:spacing w:before="0" w:after="0"/>
              <w:rPr>
                <w:b/>
                <w:bCs/>
                <w:i/>
                <w:iCs/>
                <w:sz w:val="16"/>
                <w:szCs w:val="16"/>
                <w:lang w:val="fi-FI"/>
              </w:rPr>
            </w:pPr>
            <w:r w:rsidRPr="00AA76D9">
              <w:rPr>
                <w:sz w:val="16"/>
                <w:szCs w:val="16"/>
                <w:lang w:val="fi-FI"/>
              </w:rPr>
              <w:t>Eeltoodu tõttu eksisteerib risk, et investorite jaoks võib olla võimatu pakutavaid Aktsiaid märkida. Lisaks võidakse sellistel juhtudel Pakkumise käigus investorite poolt tehtud maksed tagastada ilma kompensatsiooni või intressi maksmata.</w:t>
            </w:r>
          </w:p>
          <w:p w14:paraId="322426A0" w14:textId="77777777" w:rsidR="00F562D6" w:rsidRPr="00AA76D9" w:rsidRDefault="00F562D6" w:rsidP="002B0EAB">
            <w:pPr>
              <w:pStyle w:val="Paragraph"/>
              <w:spacing w:before="0" w:after="0"/>
              <w:rPr>
                <w:b/>
                <w:bCs/>
                <w:i/>
                <w:iCs/>
                <w:sz w:val="16"/>
                <w:szCs w:val="16"/>
                <w:lang w:val="fi-FI"/>
              </w:rPr>
            </w:pPr>
            <w:r w:rsidRPr="00AA76D9">
              <w:rPr>
                <w:b/>
                <w:bCs/>
                <w:i/>
                <w:iCs/>
                <w:sz w:val="16"/>
                <w:szCs w:val="16"/>
                <w:lang w:val="fi-FI"/>
              </w:rPr>
              <w:t>Reguleeritud turul Aktsiatega kauplemine võidakse peatada või lõpetada</w:t>
            </w:r>
          </w:p>
          <w:p w14:paraId="2FEA9D05" w14:textId="77777777" w:rsidR="00F562D6" w:rsidRPr="00AA76D9" w:rsidRDefault="00F562D6" w:rsidP="002B0EAB">
            <w:pPr>
              <w:pStyle w:val="Paragraph"/>
              <w:spacing w:before="0" w:after="0"/>
              <w:rPr>
                <w:sz w:val="16"/>
                <w:szCs w:val="16"/>
                <w:lang w:val="fi-FI"/>
              </w:rPr>
            </w:pPr>
            <w:r w:rsidRPr="00AA76D9">
              <w:rPr>
                <w:sz w:val="16"/>
                <w:szCs w:val="16"/>
                <w:lang w:val="fi-FI"/>
              </w:rPr>
              <w:t xml:space="preserve">Kui Äriühing ei järgi teatavaid nõudeid või ei täida teatavaid kohustusi, mis tulenevad Eesti Vabariigi seadustest või Nasdaq Tallinna poolt vastu võetud ja Reguleeritud turu suhtes kohaldatavatest eeskirjadest („Nasdaq Tallinna </w:t>
            </w:r>
            <w:proofErr w:type="gramStart"/>
            <w:r w:rsidRPr="00AA76D9">
              <w:rPr>
                <w:sz w:val="16"/>
                <w:szCs w:val="16"/>
                <w:lang w:val="fi-FI"/>
              </w:rPr>
              <w:t>eeskirjad“</w:t>
            </w:r>
            <w:proofErr w:type="gramEnd"/>
            <w:r w:rsidRPr="00AA76D9">
              <w:rPr>
                <w:sz w:val="16"/>
                <w:szCs w:val="16"/>
                <w:lang w:val="fi-FI"/>
              </w:rPr>
              <w:t xml:space="preserve">), võidakse Reguleeritud turul Aktsiatega kauplemine peatada või lõpetada. Lisaks võib Äriühing taotleda Reguleeritud turul Aktsiatega kauplemise peatamist või lõpetamist. Aktsiatega kauplemise peatamine või lõpetamine ei ole välistatud. See võib vähendada Aktsiate likviidsust ja mõjutada investorite võimalusi Aktsiaid rahuldava hinnaga müüa. Kuigi Äriühing kavatseb teha kõik endast oleneva, et järgida kõiki kohaldatavaid eeskirju ning vältida Reguleeritud turul Aktsiatega kauplemise peatamist või lõpetamist, ei saa kauplemise peatamise või lõpetamise võimalust tulevikus täielikult välistada. Lisaks võib Äriühing taotleda Reguleeritud turul aktsiatega kauplemise peatamist või lõpetamist. Reguleeritud turul Aktsiatega kauplemise peatamine või lõpetamine võib Aktsiate hinda negatiivselt mõjutada. </w:t>
            </w:r>
          </w:p>
          <w:p w14:paraId="56969AF0" w14:textId="77777777" w:rsidR="00F562D6" w:rsidRPr="00AA76D9" w:rsidRDefault="00F562D6" w:rsidP="002B0EAB">
            <w:pPr>
              <w:pStyle w:val="Paragraph"/>
              <w:spacing w:before="0" w:after="0"/>
              <w:rPr>
                <w:b/>
                <w:bCs/>
                <w:i/>
                <w:iCs/>
                <w:sz w:val="16"/>
                <w:szCs w:val="16"/>
                <w:lang w:val="fi-FI"/>
              </w:rPr>
            </w:pPr>
            <w:r w:rsidRPr="00AA76D9">
              <w:rPr>
                <w:b/>
                <w:bCs/>
                <w:i/>
                <w:iCs/>
                <w:sz w:val="16"/>
                <w:szCs w:val="16"/>
                <w:lang w:val="fi-FI"/>
              </w:rPr>
              <w:t>Äriühing võib dividende mitte maksta</w:t>
            </w:r>
          </w:p>
          <w:p w14:paraId="6AC2C605" w14:textId="77777777" w:rsidR="00F562D6" w:rsidRPr="00AA76D9" w:rsidRDefault="00F562D6" w:rsidP="002B0EAB">
            <w:pPr>
              <w:pStyle w:val="Paragraph"/>
              <w:spacing w:before="0" w:after="0"/>
              <w:rPr>
                <w:sz w:val="16"/>
                <w:szCs w:val="16"/>
                <w:lang w:val="fi-FI"/>
              </w:rPr>
            </w:pPr>
            <w:r w:rsidRPr="00AA76D9">
              <w:rPr>
                <w:sz w:val="16"/>
                <w:szCs w:val="16"/>
                <w:lang w:val="fi-FI"/>
              </w:rPr>
              <w:t>Äriühingul ei pruugi olla võimalik tulevikus dividende maksta. See, kas ja millises summas Äriühing tulevikus dividendide maksmise välja kuulutab ja dividende maksab, sõltub muu hulgas Äriühingu finantsseisundist, tegevustulemist ja sellest, kas on olemas vahendid, mille arvelt dividende maksta. Dividendide maksmise ja summa üle otsustab Äriühingu aktsionäride üldkoosolek. Dividendide maksmine sõltub Grupi vabadest rahalistest vahenditest, eeldatavatest rahavajadustest, tegevustulemist ja finantsseisundist, rahastamislepingust tulenevatest võimalikest piirangutest, mis on Äriühingule siduvad, ning muudest asjakohastest teguritest.</w:t>
            </w:r>
          </w:p>
          <w:p w14:paraId="4D33B00B" w14:textId="77777777" w:rsidR="00F562D6" w:rsidRPr="00AA76D9" w:rsidRDefault="00F562D6" w:rsidP="002B0EAB">
            <w:pPr>
              <w:pStyle w:val="Paragraph"/>
              <w:spacing w:before="0" w:after="0"/>
              <w:rPr>
                <w:b/>
                <w:bCs/>
                <w:i/>
                <w:iCs/>
                <w:sz w:val="16"/>
                <w:szCs w:val="16"/>
                <w:lang w:val="fi-FI"/>
              </w:rPr>
            </w:pPr>
            <w:r w:rsidRPr="00AA76D9">
              <w:rPr>
                <w:b/>
                <w:bCs/>
                <w:i/>
                <w:iCs/>
                <w:sz w:val="16"/>
                <w:szCs w:val="16"/>
                <w:lang w:val="fi-FI"/>
              </w:rPr>
              <w:t>Aktsionäridel ei pruugi olla võimalik kasutada uute Aktsiate märkimiseks ostueesõigust ja seetõttu võib nende osalus väheneda</w:t>
            </w:r>
          </w:p>
          <w:p w14:paraId="52F563FF" w14:textId="77777777" w:rsidR="00F562D6" w:rsidRPr="00AA76D9" w:rsidRDefault="00F562D6" w:rsidP="002B0EAB">
            <w:pPr>
              <w:pStyle w:val="Paragraph"/>
              <w:spacing w:before="0" w:after="0"/>
              <w:rPr>
                <w:sz w:val="16"/>
                <w:szCs w:val="16"/>
                <w:lang w:val="fi-FI"/>
              </w:rPr>
            </w:pPr>
            <w:r w:rsidRPr="00AA76D9">
              <w:rPr>
                <w:sz w:val="16"/>
                <w:szCs w:val="16"/>
                <w:lang w:val="fi-FI"/>
              </w:rPr>
              <w:t>Eesti Vabariigi äriseadustiku kohaselt on äriühingu aktsionäridel üldiselt õigus kasutada uute aktsiate märkimiseks ostueesõigust proportsionaalselt oma olemasoleva osalusega aktsiakapitalis. Samas võib nimetatud eesõiguse välistada aktsionäride üldkoosoleku otsusega, mis on heaks kiidetud 3/4 aktsionäride üldkoosolekul esindatud häältega. Täiendavate aktsiate väljalaskmise tulemusena, mille puhul ei anta uute Aktsiate märkimiseks ostueesõigust, võivad väheneda osalus Äriühingu aktsiakapitalis ja hääletamisõigused ning tulu aktsia kohta.</w:t>
            </w:r>
          </w:p>
          <w:p w14:paraId="2B0A0AD9" w14:textId="77777777" w:rsidR="00F562D6" w:rsidRPr="00AA76D9" w:rsidRDefault="00F562D6" w:rsidP="002B0EAB">
            <w:pPr>
              <w:pStyle w:val="Paragraph"/>
              <w:spacing w:before="0" w:after="0"/>
              <w:rPr>
                <w:sz w:val="16"/>
                <w:szCs w:val="16"/>
                <w:lang w:val="fi-FI"/>
              </w:rPr>
            </w:pPr>
            <w:r w:rsidRPr="00AA76D9">
              <w:rPr>
                <w:sz w:val="16"/>
                <w:szCs w:val="16"/>
                <w:lang w:val="fi-FI"/>
              </w:rPr>
              <w:t xml:space="preserve">Lisaks, isegi kui eelnimetatud ostueesõigust ei välistata, ei pruugi teatud riikide, näiteks Ameerika Ühendriikide aktsionäridel olla võimalik kasutada ostueesõigust uute Aktsiate märkimiseks, välja arvatud juhul, kui nimetatud riikides tehakse teatud toiminguid või rakendatakse erandit. On ebatõenäoline, et Äriühing teeb nimetatud toiminguid, ja erandid ei pruugi olla teatud aktsionäride puhul kohaldatavad. </w:t>
            </w:r>
          </w:p>
          <w:p w14:paraId="3B4EFF2C" w14:textId="77777777" w:rsidR="00F562D6" w:rsidRPr="00AA76D9" w:rsidRDefault="00F562D6" w:rsidP="002B0EAB">
            <w:pPr>
              <w:pStyle w:val="Paragraph"/>
              <w:spacing w:before="0" w:after="0"/>
              <w:rPr>
                <w:sz w:val="16"/>
                <w:szCs w:val="16"/>
                <w:lang w:val="fi-FI"/>
              </w:rPr>
            </w:pPr>
            <w:r w:rsidRPr="00AA76D9">
              <w:rPr>
                <w:sz w:val="16"/>
                <w:szCs w:val="16"/>
                <w:lang w:val="fi-FI"/>
              </w:rPr>
              <w:t xml:space="preserve">Kui aktsionär ei saa kasutada uute Aktsiate märkimiseks ostueesõigust, võib tema osalus väheneda. </w:t>
            </w:r>
          </w:p>
          <w:p w14:paraId="60A01ABE" w14:textId="77777777" w:rsidR="00F562D6" w:rsidRPr="00AA76D9" w:rsidRDefault="00F562D6" w:rsidP="002B0EAB">
            <w:pPr>
              <w:pStyle w:val="Paragraph"/>
              <w:spacing w:before="0" w:after="0"/>
              <w:rPr>
                <w:b/>
                <w:bCs/>
                <w:i/>
                <w:iCs/>
                <w:sz w:val="16"/>
                <w:szCs w:val="16"/>
                <w:lang w:val="fi-FI"/>
              </w:rPr>
            </w:pPr>
            <w:r w:rsidRPr="00AA76D9">
              <w:rPr>
                <w:b/>
                <w:bCs/>
                <w:i/>
                <w:iCs/>
                <w:sz w:val="16"/>
                <w:szCs w:val="16"/>
                <w:lang w:val="fi-FI"/>
              </w:rPr>
              <w:t>Aktsiate hoidmine esindajakontol</w:t>
            </w:r>
          </w:p>
          <w:p w14:paraId="792ECA1B" w14:textId="77777777" w:rsidR="00F562D6" w:rsidRPr="00D6671D" w:rsidRDefault="00F562D6" w:rsidP="002B0EAB">
            <w:pPr>
              <w:pStyle w:val="Paragraph"/>
              <w:spacing w:before="0" w:after="0"/>
              <w:rPr>
                <w:sz w:val="16"/>
                <w:szCs w:val="16"/>
                <w:lang w:val="fi-FI"/>
              </w:rPr>
            </w:pPr>
            <w:r w:rsidRPr="00D6671D">
              <w:rPr>
                <w:sz w:val="16"/>
                <w:szCs w:val="16"/>
                <w:lang w:val="fi-FI"/>
              </w:rPr>
              <w:lastRenderedPageBreak/>
              <w:t>Aktsiaid võib hoida esindajakontol. Eesti õiguse kohaselt loetakse esindajakontol hoitavate Aktsiate juriidiliseks omanikuks esindajakonto omajat. Sellest tulenevalt võib tekkida olukord, kus investor võib osaliselt või täielikult kaotada teatavad õigused, mis oleksid investoril olemas siis, kui investor hoiaks Aktsiaid talle endale kuuluval väärtpaberikontol. See võib juhtuda näiteks siis, kui muudetakse Äriühingu aktsiakapitali või Aktsiaid (näiteks kui uute Aktsiate emiteerimisega seoses toimub Aktsiate pöördtükeldus või ostueesõigus antakse olemasolevatele aktsionäridele), kuna sel juhul loetakse, et kõik esindajakontol hoitavad Aktsiad kuuluvad ühele investorile. Vaatamata eeltoodule annavad nii esindajakontodel kui ka tavapärastel väärtpaberikontodel hoitavad Aktsiad nende omanikele samasuguse hääleõiguse ning õiguse dividendidele ja muudele väljamaksetele.</w:t>
            </w:r>
          </w:p>
          <w:p w14:paraId="130C5AE8" w14:textId="77777777" w:rsidR="00F562D6" w:rsidRPr="00D6671D" w:rsidRDefault="00F562D6" w:rsidP="002B0EAB">
            <w:pPr>
              <w:pStyle w:val="Paragraph"/>
              <w:spacing w:before="0" w:after="0"/>
              <w:rPr>
                <w:b/>
                <w:bCs/>
                <w:i/>
                <w:iCs/>
                <w:sz w:val="16"/>
                <w:szCs w:val="16"/>
                <w:lang w:val="fi-FI"/>
              </w:rPr>
            </w:pPr>
            <w:r w:rsidRPr="00D6671D">
              <w:rPr>
                <w:b/>
                <w:bCs/>
                <w:i/>
                <w:iCs/>
                <w:sz w:val="16"/>
                <w:szCs w:val="16"/>
                <w:lang w:val="fi-FI"/>
              </w:rPr>
              <w:t>Aktsia piiratud kajastamine analüütikute poolt</w:t>
            </w:r>
          </w:p>
          <w:p w14:paraId="5C083BBD" w14:textId="77777777" w:rsidR="00F562D6" w:rsidRPr="00D6671D" w:rsidRDefault="00F562D6" w:rsidP="002B0EAB">
            <w:pPr>
              <w:pStyle w:val="Paragraph"/>
              <w:spacing w:before="0" w:after="0"/>
              <w:rPr>
                <w:sz w:val="16"/>
                <w:szCs w:val="16"/>
                <w:lang w:val="fi-FI"/>
              </w:rPr>
            </w:pPr>
            <w:r w:rsidRPr="00D6671D">
              <w:rPr>
                <w:sz w:val="16"/>
                <w:szCs w:val="16"/>
                <w:lang w:val="fi-FI"/>
              </w:rPr>
              <w:t>Hinda ja Aktsiaid mõjutab osaliselt see, kuidas ja mil määral neid kajastatakse analüütikute poolt. Kui üks või mitu analüütikut langetavad Aktsiate reitingut, võib selle tulemuseks olla Aktsiate hinna ja likviidsuse vähenemine. Kui üks või mitu analüütikut lõpetavad Aktsiate kajastamise, võib investorite huvi Äriühingu vastu langeda ja see võib põhjustada Aktsiate hinna või likviidsuse vähenemise. Seda, kuidas ja mil määral analüütikud Äriühingu tegevust tulevikus kajastavad, ei ole võimalik ette ennustada.</w:t>
            </w:r>
          </w:p>
          <w:p w14:paraId="42E8AA1C" w14:textId="77777777" w:rsidR="00F562D6" w:rsidRPr="00D6671D" w:rsidRDefault="00F562D6" w:rsidP="002B0EAB">
            <w:pPr>
              <w:pStyle w:val="Paragraph"/>
              <w:spacing w:before="0" w:after="0"/>
              <w:rPr>
                <w:b/>
                <w:bCs/>
                <w:i/>
                <w:iCs/>
                <w:sz w:val="16"/>
                <w:szCs w:val="16"/>
                <w:lang w:val="fi-FI"/>
              </w:rPr>
            </w:pPr>
            <w:r w:rsidRPr="00D6671D">
              <w:rPr>
                <w:b/>
                <w:bCs/>
                <w:i/>
                <w:iCs/>
                <w:sz w:val="16"/>
                <w:szCs w:val="16"/>
                <w:lang w:val="fi-FI"/>
              </w:rPr>
              <w:t>Aktsiate võõrandamine võib olla seaduse kohaselt piiratud</w:t>
            </w:r>
          </w:p>
          <w:p w14:paraId="72D2D5F3" w14:textId="77777777" w:rsidR="00F562D6" w:rsidRPr="00AA76D9" w:rsidRDefault="00F562D6" w:rsidP="002B0EAB">
            <w:pPr>
              <w:pStyle w:val="Paragraph"/>
              <w:spacing w:before="0" w:after="0"/>
              <w:rPr>
                <w:sz w:val="16"/>
                <w:szCs w:val="16"/>
                <w:lang w:val="fi-FI"/>
              </w:rPr>
            </w:pPr>
            <w:r w:rsidRPr="00AA76D9">
              <w:rPr>
                <w:sz w:val="16"/>
                <w:szCs w:val="16"/>
                <w:lang w:val="fi-FI"/>
              </w:rPr>
              <w:t xml:space="preserve">Aktsiad ei ole registreeritud Ameerika Ühendriikides sealse väärtpaberiseaduse alusel ega ühegi muu väärtpabereid käsitleva õigusakti alusel ega üheski teises riigis. Nimetatud õigusaktidest võivad tuleneda piirangud Aktsiate võõrandamisele. Äriühing ei kavatse taotleda Aktsiate kauplemisele lubamist ühelgi reguleeritud väärtpaberiturul peale Reguleeritud turu ega Aktsiaid muul moel üheski teises riigis avalikult müügiks pakkuda. Aktsiad on „piiratud </w:t>
            </w:r>
            <w:proofErr w:type="gramStart"/>
            <w:r w:rsidRPr="00AA76D9">
              <w:rPr>
                <w:sz w:val="16"/>
                <w:szCs w:val="16"/>
                <w:lang w:val="fi-FI"/>
              </w:rPr>
              <w:t>väärtpaberid“ Ameerika</w:t>
            </w:r>
            <w:proofErr w:type="gramEnd"/>
            <w:r w:rsidRPr="00AA76D9">
              <w:rPr>
                <w:sz w:val="16"/>
                <w:szCs w:val="16"/>
                <w:lang w:val="fi-FI"/>
              </w:rPr>
              <w:t xml:space="preserve"> Ühendriikide väärtpaberiseaduse eeskirja 144(a)(3) tähenduses ja nendega ei saa Ameerika Ühendriikides vabalt kaubelda. See, kas Aktsiad on vabalt võõrandatavad, võib sõltuda ka teiste riikide seadustest tulenevatest nõuetest.</w:t>
            </w:r>
          </w:p>
          <w:p w14:paraId="1D66CD0E" w14:textId="77777777" w:rsidR="00F562D6" w:rsidRPr="00CC2AEA" w:rsidRDefault="00F562D6" w:rsidP="002B0EAB">
            <w:pPr>
              <w:pStyle w:val="Paragraph"/>
              <w:spacing w:before="0" w:after="0"/>
              <w:rPr>
                <w:b/>
                <w:bCs/>
                <w:i/>
                <w:iCs/>
                <w:sz w:val="16"/>
                <w:szCs w:val="16"/>
              </w:rPr>
            </w:pPr>
            <w:r>
              <w:rPr>
                <w:b/>
                <w:bCs/>
                <w:i/>
                <w:iCs/>
                <w:sz w:val="16"/>
                <w:szCs w:val="16"/>
              </w:rPr>
              <w:t>Rahutused arenevatel turgudel võivad Aktsiate hinda langetada</w:t>
            </w:r>
          </w:p>
          <w:p w14:paraId="0BD55CA5" w14:textId="77777777" w:rsidR="00F562D6" w:rsidRPr="00CC2AEA" w:rsidRDefault="00F562D6" w:rsidP="002B0EAB">
            <w:pPr>
              <w:pStyle w:val="Paragraph"/>
              <w:spacing w:before="0" w:after="0"/>
              <w:rPr>
                <w:sz w:val="16"/>
                <w:szCs w:val="16"/>
              </w:rPr>
            </w:pPr>
            <w:r>
              <w:rPr>
                <w:sz w:val="16"/>
                <w:szCs w:val="16"/>
              </w:rPr>
              <w:t>Finantskriisid või muud rahutused arenevatel turgudel on lähiminevikus negatiivselt mõjutanud maailma väärtpaberiturgudel nende äriühingute aktsiate turuhindu, kes tegutsevad rahutustest mõjutatud arenevatel turgudel. Ei ole võimalik tagada, et volatiilsus, mis võib tuleneda tulevastest finantskriisidest või muudest teguritest, näiteks poliitilistest teguritest, mis võivad tekkida teistel arenevatel turgudel või muudest asjaoludest tingituna, ei mõjuta negatiivselt äriühingu Aktsiate väärtust ka siis, kui Eesti majandus jääb võrdlemisi stabiilseks.</w:t>
            </w:r>
          </w:p>
          <w:p w14:paraId="134FCF28" w14:textId="77777777" w:rsidR="00F562D6" w:rsidRPr="00CC2AEA" w:rsidRDefault="00F562D6" w:rsidP="002B0EAB">
            <w:pPr>
              <w:pStyle w:val="Paragraph"/>
              <w:spacing w:before="0" w:after="0"/>
              <w:rPr>
                <w:b/>
                <w:bCs/>
                <w:i/>
                <w:iCs/>
                <w:sz w:val="16"/>
                <w:szCs w:val="16"/>
              </w:rPr>
            </w:pPr>
            <w:r>
              <w:rPr>
                <w:b/>
                <w:bCs/>
                <w:i/>
                <w:iCs/>
                <w:sz w:val="16"/>
                <w:szCs w:val="16"/>
              </w:rPr>
              <w:t>Investoritele kohalduvad maksureeglid võivad Eesti äriühingu puhul varieeruda sõltuvalt investorite maksuresidentsusest</w:t>
            </w:r>
          </w:p>
          <w:p w14:paraId="77CAE142" w14:textId="77777777" w:rsidR="00F562D6" w:rsidRPr="00CC2AEA" w:rsidRDefault="00F562D6" w:rsidP="002B0EAB">
            <w:pPr>
              <w:pStyle w:val="Paragraph"/>
              <w:spacing w:before="0" w:after="0"/>
              <w:rPr>
                <w:sz w:val="16"/>
                <w:szCs w:val="16"/>
              </w:rPr>
            </w:pPr>
            <w:r>
              <w:rPr>
                <w:sz w:val="16"/>
                <w:szCs w:val="16"/>
              </w:rPr>
              <w:t>Äriühing on asutatud ja tegutseb Eesti Vabariigi seaduste kohaselt ning seega kohaldatakse kasumi jaotamisel ja muude väljamaksete puhul, mida Äriühing oma aktsionäridele teeb, Eesti Vabariigi maksukorda. Sellistest maksetest tulenevate tulude ja Aktsiate võõrandamisest saadud muude tulude maksustamine võib varieeruda sõltuvalt konkreetsete investorite maksuresidentsusest ja Eesti Vabariigi kehtivatest topeltmaksustamist käsitlevatest lepingutest. Teatavate investorite suhtes kohaldatavad tingimused võivad olla ebasoodsad või muutuda ebasoodsaks.</w:t>
            </w:r>
          </w:p>
          <w:p w14:paraId="3D3095DD" w14:textId="77777777" w:rsidR="00F562D6" w:rsidRPr="00AA76D9" w:rsidRDefault="00F562D6" w:rsidP="002B0EAB">
            <w:pPr>
              <w:pStyle w:val="Paragraph"/>
              <w:spacing w:before="0" w:after="0"/>
              <w:rPr>
                <w:sz w:val="16"/>
                <w:szCs w:val="16"/>
                <w:lang w:val="fi-FI"/>
              </w:rPr>
            </w:pPr>
            <w:r>
              <w:rPr>
                <w:sz w:val="16"/>
                <w:szCs w:val="16"/>
              </w:rPr>
              <w:t>See, kas Äriühingut loetakse Ameerika Ühendriikide föderaalse tulumaksu kohaldamisel passiivseks välismaiseks investeerimisühinguks („</w:t>
            </w:r>
            <w:proofErr w:type="gramStart"/>
            <w:r>
              <w:rPr>
                <w:sz w:val="16"/>
                <w:szCs w:val="16"/>
              </w:rPr>
              <w:t>PVIÜ“</w:t>
            </w:r>
            <w:proofErr w:type="gramEnd"/>
            <w:r>
              <w:rPr>
                <w:sz w:val="16"/>
                <w:szCs w:val="16"/>
              </w:rPr>
              <w:t xml:space="preserve">), tuleb kindlaks määrata iga aasta kohta eraldi ja vastav staatus võib seega muutuda. </w:t>
            </w:r>
            <w:r w:rsidRPr="00AA76D9">
              <w:rPr>
                <w:sz w:val="16"/>
                <w:szCs w:val="16"/>
                <w:lang w:val="fi-FI"/>
              </w:rPr>
              <w:t>Äriühing ei ole võtnud endale kohustust igal aastal analüüsida, kas teda loetakse PVIÜks või mitte.  Seetõttu peavad Ameerika Ühendriikide investorid arvesse võtma, et nad võivad olla sunnitud sellise analüüsi igal aastal ise tegema. Kui Äriühingut loetakse mis tahes aastal PVIÜks, võib see kaasa tuua ebasoodsaid maksutagajärgi Ameerika Ühendriikide aktsionäridele (s.t igale Aktsiate tulusaavale omanikule, kes (i) on Ameerika Ühendriikide föderaalse tulumaksu kohaldamise tähenduses Ameerika Ühendriikide kodanik või elanik, (ii) mis tahes Ameerika Ühendriikide osariigi seaduste alusel asutatud või tegutsev äriühing või äriühinguna käsitletav muu juriidiline isik, (iii) pärandvara, millelt teenitav tulu on maksustatav Ameerika Ühendriikide föderaalse tulumaksuga, olenemata selle allikast, või (iv) trust, kui Ameerika Ühendriikides asuv kohus saab teostada esmast järelevalvet trusti haldamise üle ja ühel või mitmel Ameerika Ühendriikide isikul on õigus kontrollida kõiki trusti olulisi otsuseid).</w:t>
            </w:r>
          </w:p>
          <w:p w14:paraId="0BF226EA" w14:textId="77777777" w:rsidR="00F562D6" w:rsidRPr="00AA76D9" w:rsidRDefault="00F562D6" w:rsidP="002B0EAB">
            <w:pPr>
              <w:pStyle w:val="Paragraph"/>
              <w:spacing w:before="0" w:after="0"/>
              <w:rPr>
                <w:sz w:val="16"/>
                <w:szCs w:val="16"/>
                <w:lang w:val="fi-FI"/>
              </w:rPr>
            </w:pPr>
            <w:r w:rsidRPr="00AA76D9">
              <w:rPr>
                <w:sz w:val="16"/>
                <w:szCs w:val="16"/>
                <w:lang w:val="fi-FI"/>
              </w:rPr>
              <w:t>Igal investoril võib tekkida maksukohustus väljaspool Eestit, mistõttu peaks iga investor konsulteerima selles küsimuses oma maksunõustajaga. Ei saa välistada võimalust, et tegevusalad, millega Grupp võib tulevikus tegelema hakata, ei tekita investorile täiendavat maksukohustust.</w:t>
            </w:r>
          </w:p>
          <w:p w14:paraId="63CB9A80" w14:textId="77777777" w:rsidR="00F562D6" w:rsidRPr="00AA76D9" w:rsidRDefault="00F562D6" w:rsidP="002B0EAB">
            <w:pPr>
              <w:pStyle w:val="Paragraph"/>
              <w:spacing w:before="0" w:after="0"/>
              <w:rPr>
                <w:sz w:val="16"/>
                <w:szCs w:val="16"/>
                <w:lang w:val="fi-FI"/>
              </w:rPr>
            </w:pPr>
            <w:r w:rsidRPr="00AA76D9">
              <w:rPr>
                <w:sz w:val="16"/>
                <w:szCs w:val="16"/>
                <w:lang w:val="fi-FI"/>
              </w:rPr>
              <w:t>Eestis ei maksa juriidilised isikud kuni kasumi jaotamiseni Aktsiate müügist või vahetamisest teenitud kapitalikasumilt ettevõtte tulumaksu. Reeglina ei nõuta tulumaksu ka tulult, mille on teeninud mitteresidendid (nii juriidilised kui ka füüsilised isikud). Samas tuleb Eestis maksta tulumaksu kapitalikasumilt, mis saadakse „</w:t>
            </w:r>
            <w:proofErr w:type="gramStart"/>
            <w:r w:rsidRPr="00AA76D9">
              <w:rPr>
                <w:sz w:val="16"/>
                <w:szCs w:val="16"/>
                <w:lang w:val="fi-FI"/>
              </w:rPr>
              <w:t>kinnisvaraettevõtte“ Aktsiate</w:t>
            </w:r>
            <w:proofErr w:type="gramEnd"/>
            <w:r w:rsidRPr="00AA76D9">
              <w:rPr>
                <w:sz w:val="16"/>
                <w:szCs w:val="16"/>
                <w:lang w:val="fi-FI"/>
              </w:rPr>
              <w:t xml:space="preserve"> müügist või vahetamisest, kui mitteresidendi osalus on suurem kui 10%. Kinnisvaraettevõttena käsitletakse äriühingut, lepingulist investeerimisfondi või muud varakogumit, mille varast Aktsiate võõrandamise ajal või kuni kahe aasta jooksul enne Aktsiate võõrandamist moodustasid Eestis asuvad kinnisasjad või rajatised vallasasjadena otseselt või kaudselt rohkem kui 50%. Kui Äriühingut loetakse vastavalt eeltoodule kinnisvaraettevõtteks, siis kaasneb sellega kohustus maksta Eesti Vabariigis tulumaksu kapitalikasumilt, mis saadi mitteresidendi Aktsiate müügist või vahetamisest, kui mitteresidendi osalus moodustas enne müügi- või vahetustehingut Äriühingu aktsiakapitalist rohkem kui 10%.</w:t>
            </w:r>
          </w:p>
          <w:p w14:paraId="14F302E2" w14:textId="77777777" w:rsidR="00F562D6" w:rsidRPr="00AA76D9" w:rsidRDefault="00F562D6" w:rsidP="002B0EAB">
            <w:pPr>
              <w:pStyle w:val="Paragraph"/>
              <w:spacing w:before="0" w:after="0"/>
              <w:rPr>
                <w:b/>
                <w:bCs/>
                <w:i/>
                <w:iCs/>
                <w:sz w:val="16"/>
                <w:szCs w:val="16"/>
                <w:lang w:val="fi-FI"/>
              </w:rPr>
            </w:pPr>
            <w:r w:rsidRPr="00AA76D9">
              <w:rPr>
                <w:b/>
                <w:bCs/>
                <w:i/>
                <w:iCs/>
                <w:sz w:val="16"/>
                <w:szCs w:val="16"/>
                <w:lang w:val="fi-FI"/>
              </w:rPr>
              <w:t>Äriühingu kohta tehtud kohtulahendite täitmise piirangud</w:t>
            </w:r>
          </w:p>
          <w:p w14:paraId="49C25E89" w14:textId="77777777" w:rsidR="00F562D6" w:rsidRPr="00AA76D9" w:rsidRDefault="00F562D6" w:rsidP="002B0EAB">
            <w:pPr>
              <w:pStyle w:val="Paragraph"/>
              <w:spacing w:before="0" w:after="0"/>
              <w:rPr>
                <w:sz w:val="16"/>
                <w:szCs w:val="16"/>
                <w:lang w:val="fi-FI"/>
              </w:rPr>
            </w:pPr>
            <w:r w:rsidRPr="00AA76D9">
              <w:rPr>
                <w:sz w:val="16"/>
                <w:szCs w:val="16"/>
                <w:lang w:val="fi-FI"/>
              </w:rPr>
              <w:t xml:space="preserve">Äriühingu suhtes tehtud välisriigi kohtulahendeid võib olla raske täitmisele pöörata. </w:t>
            </w:r>
          </w:p>
          <w:p w14:paraId="40B17DB8" w14:textId="77777777" w:rsidR="00F562D6" w:rsidRPr="00AA76D9" w:rsidRDefault="00F562D6" w:rsidP="002B0EAB">
            <w:pPr>
              <w:pStyle w:val="Paragraph"/>
              <w:spacing w:before="0" w:after="0"/>
              <w:rPr>
                <w:sz w:val="16"/>
                <w:szCs w:val="16"/>
                <w:lang w:val="fi-FI"/>
              </w:rPr>
            </w:pPr>
            <w:r w:rsidRPr="00AA76D9">
              <w:rPr>
                <w:sz w:val="16"/>
                <w:szCs w:val="16"/>
                <w:lang w:val="fi-FI"/>
              </w:rPr>
              <w:t xml:space="preserve">Äriühing on asutatud Eestis. Euroopa Liidu liikmesriikide kohtulahendite ning muude täitedokumentide tunnustamise ja täitmise suhtes kohaldatakse Euroopa Parlamendi ja nõukogu määrusest (EL) nr 1215/2012 või määrusest (EÜ) nr 805/2004 tulenevaid piiranguid. </w:t>
            </w:r>
          </w:p>
          <w:p w14:paraId="7430CE69" w14:textId="77777777" w:rsidR="00F562D6" w:rsidRPr="00D6671D" w:rsidRDefault="00F562D6" w:rsidP="002B0EAB">
            <w:pPr>
              <w:pStyle w:val="Paragraph"/>
              <w:spacing w:before="0" w:after="0"/>
              <w:rPr>
                <w:sz w:val="16"/>
                <w:szCs w:val="16"/>
                <w:lang w:val="fi-FI"/>
              </w:rPr>
            </w:pPr>
            <w:r w:rsidRPr="00D6671D">
              <w:rPr>
                <w:sz w:val="16"/>
                <w:szCs w:val="16"/>
                <w:lang w:val="fi-FI"/>
              </w:rPr>
              <w:t xml:space="preserve">Teiste välisriikide kohtulahendite ja muude täitedokumentide tunnustamise ja täitmisele pööramise suhtes kohaldatakse Eesti tsiviilkohtumenetluse seadustikust tulenevaid piiranguid. Välisriigi kohtulahendit ei tunnustata Eestis muu hulgas juhul, kui (a) lahendi tunnustamine oleks ilmselt vastuolus Eesti õiguse oluliste põhimõtetega (avaliku korraga); (b) lahend on vastuolus samade poolte vahel </w:t>
            </w:r>
            <w:r w:rsidRPr="00D6671D">
              <w:rPr>
                <w:sz w:val="16"/>
                <w:szCs w:val="16"/>
                <w:lang w:val="fi-FI"/>
              </w:rPr>
              <w:lastRenderedPageBreak/>
              <w:t>samas asjas Eestis tehtud varasema lahendiga või kui samade poolte vahel on samas asjas esitatud hagi Eesti kohtusse; (c) lahend on vastuolus samade poolte vahel samas asjas Eestis varem tunnustatud või täidetud välisriigi kohtu lahendiga; (d) lahend on vastuolus samade poolte vahel samas asjas välisriigis tehtud, kuid Eestis tunnustamata varasema lahendiga, eeldusel, et varasem välisriigi kohtulahend on Eestis tunnustatav või täidetav. Lahendit ei tunnustata Eestis ka juhul, kui kostja ei ole saanud oma õigusi mõistlikult kaitsta või kui lahendi teinud kohus ei võinud lahendit teha Eesti õiguse rahvusvahelise kohtualluvuse sätete kohaselt.</w:t>
            </w:r>
          </w:p>
          <w:p w14:paraId="0F6B98CB" w14:textId="77777777" w:rsidR="00F562D6" w:rsidRPr="00D6671D" w:rsidRDefault="00F562D6" w:rsidP="002B0EAB">
            <w:pPr>
              <w:jc w:val="both"/>
              <w:rPr>
                <w:rFonts w:ascii="Arial" w:hAnsi="Arial" w:cs="Arial"/>
                <w:b/>
                <w:color w:val="000000"/>
                <w:sz w:val="16"/>
                <w:szCs w:val="16"/>
                <w:shd w:val="clear" w:color="auto" w:fill="FFFFFF"/>
                <w:lang w:val="fi-FI"/>
              </w:rPr>
            </w:pPr>
          </w:p>
        </w:tc>
      </w:tr>
      <w:tr w:rsidR="00F562D6" w:rsidRPr="00CC2AEA" w14:paraId="0BFD424C" w14:textId="77777777" w:rsidTr="002B0EAB">
        <w:tc>
          <w:tcPr>
            <w:tcW w:w="9752" w:type="dxa"/>
            <w:gridSpan w:val="3"/>
            <w:tcBorders>
              <w:left w:val="single" w:sz="4" w:space="0" w:color="BFBFBF" w:themeColor="background1" w:themeShade="BF"/>
              <w:right w:val="single" w:sz="4" w:space="0" w:color="BFBFBF" w:themeColor="background1" w:themeShade="BF"/>
            </w:tcBorders>
            <w:shd w:val="clear" w:color="auto" w:fill="C8501E"/>
          </w:tcPr>
          <w:p w14:paraId="55679C38" w14:textId="77777777" w:rsidR="00F562D6" w:rsidRPr="00D6671D" w:rsidRDefault="00F562D6" w:rsidP="002B0EAB">
            <w:pPr>
              <w:jc w:val="center"/>
              <w:rPr>
                <w:rFonts w:ascii="Arial" w:hAnsi="Arial" w:cs="Arial"/>
                <w:color w:val="FFFFFF" w:themeColor="background1"/>
                <w:lang w:val="fi-FI"/>
              </w:rPr>
            </w:pPr>
          </w:p>
          <w:p w14:paraId="02E0FAAC" w14:textId="77777777" w:rsidR="00F562D6" w:rsidRPr="00CC2AEA" w:rsidRDefault="00F562D6" w:rsidP="002B0EAB">
            <w:pPr>
              <w:jc w:val="center"/>
              <w:rPr>
                <w:rFonts w:ascii="Arial" w:hAnsi="Arial" w:cs="Arial"/>
                <w:b/>
                <w:bCs/>
                <w:color w:val="FFFFFF" w:themeColor="background1"/>
              </w:rPr>
            </w:pPr>
            <w:r>
              <w:rPr>
                <w:rFonts w:ascii="Arial" w:hAnsi="Arial" w:cs="Arial"/>
                <w:b/>
                <w:bCs/>
                <w:color w:val="FFFFFF" w:themeColor="background1"/>
              </w:rPr>
              <w:t>E jagu — pakkumine</w:t>
            </w:r>
          </w:p>
        </w:tc>
      </w:tr>
      <w:tr w:rsidR="00F562D6" w:rsidRPr="00CC2AEA" w14:paraId="370B511E" w14:textId="77777777" w:rsidTr="002B0EAB">
        <w:tc>
          <w:tcPr>
            <w:tcW w:w="714" w:type="dxa"/>
            <w:tcBorders>
              <w:left w:val="single" w:sz="4" w:space="0" w:color="BFBFBF" w:themeColor="background1" w:themeShade="BF"/>
            </w:tcBorders>
          </w:tcPr>
          <w:p w14:paraId="0DE51EBA" w14:textId="77777777" w:rsidR="00F562D6" w:rsidRPr="00CC2AEA" w:rsidRDefault="00F562D6" w:rsidP="002B0EAB">
            <w:pPr>
              <w:rPr>
                <w:rFonts w:ascii="Arial" w:hAnsi="Arial" w:cs="Arial"/>
                <w:i/>
                <w:iCs/>
                <w:sz w:val="16"/>
                <w:szCs w:val="16"/>
              </w:rPr>
            </w:pPr>
            <w:r>
              <w:rPr>
                <w:rFonts w:ascii="Arial" w:hAnsi="Arial" w:cs="Arial"/>
                <w:i/>
                <w:iCs/>
                <w:sz w:val="16"/>
                <w:szCs w:val="16"/>
              </w:rPr>
              <w:t>Ele-ment</w:t>
            </w:r>
          </w:p>
        </w:tc>
        <w:tc>
          <w:tcPr>
            <w:tcW w:w="1554" w:type="dxa"/>
          </w:tcPr>
          <w:p w14:paraId="29D88A1F" w14:textId="77777777" w:rsidR="00F562D6" w:rsidRPr="00CC2AEA" w:rsidRDefault="00F562D6" w:rsidP="002B0EAB">
            <w:pPr>
              <w:rPr>
                <w:rFonts w:ascii="Arial" w:hAnsi="Arial" w:cs="Arial"/>
                <w:i/>
                <w:iCs/>
                <w:sz w:val="16"/>
                <w:szCs w:val="16"/>
              </w:rPr>
            </w:pPr>
            <w:r>
              <w:rPr>
                <w:rFonts w:ascii="Arial" w:hAnsi="Arial" w:cs="Arial"/>
                <w:i/>
                <w:iCs/>
                <w:sz w:val="16"/>
                <w:szCs w:val="16"/>
              </w:rPr>
              <w:t>Nimetus</w:t>
            </w:r>
          </w:p>
        </w:tc>
        <w:tc>
          <w:tcPr>
            <w:tcW w:w="7484" w:type="dxa"/>
            <w:tcBorders>
              <w:right w:val="single" w:sz="4" w:space="0" w:color="BFBFBF" w:themeColor="background1" w:themeShade="BF"/>
            </w:tcBorders>
          </w:tcPr>
          <w:p w14:paraId="73379991" w14:textId="77777777" w:rsidR="00F562D6" w:rsidRPr="00CC2AEA" w:rsidRDefault="00F562D6" w:rsidP="002B0EAB">
            <w:pPr>
              <w:rPr>
                <w:rFonts w:ascii="Arial" w:hAnsi="Arial" w:cs="Arial"/>
                <w:i/>
                <w:iCs/>
                <w:sz w:val="16"/>
                <w:szCs w:val="16"/>
              </w:rPr>
            </w:pPr>
            <w:r>
              <w:rPr>
                <w:rFonts w:ascii="Arial" w:hAnsi="Arial" w:cs="Arial"/>
                <w:i/>
                <w:iCs/>
                <w:sz w:val="16"/>
                <w:szCs w:val="16"/>
              </w:rPr>
              <w:t>Avaldatav teave</w:t>
            </w:r>
          </w:p>
        </w:tc>
      </w:tr>
      <w:tr w:rsidR="00F562D6" w:rsidRPr="00CC2AEA" w14:paraId="51581614" w14:textId="77777777" w:rsidTr="002B0EAB">
        <w:tc>
          <w:tcPr>
            <w:tcW w:w="714" w:type="dxa"/>
            <w:tcBorders>
              <w:left w:val="single" w:sz="4" w:space="0" w:color="BFBFBF" w:themeColor="background1" w:themeShade="BF"/>
            </w:tcBorders>
          </w:tcPr>
          <w:p w14:paraId="4833AA50" w14:textId="77777777" w:rsidR="00F562D6" w:rsidRPr="00CC2AEA" w:rsidRDefault="00F562D6" w:rsidP="002B0EAB">
            <w:pPr>
              <w:rPr>
                <w:rFonts w:ascii="Arial" w:hAnsi="Arial" w:cs="Arial"/>
                <w:sz w:val="16"/>
                <w:szCs w:val="16"/>
              </w:rPr>
            </w:pPr>
            <w:r>
              <w:rPr>
                <w:rFonts w:ascii="Arial" w:hAnsi="Arial" w:cs="Arial"/>
                <w:sz w:val="16"/>
                <w:szCs w:val="16"/>
              </w:rPr>
              <w:t>E.1</w:t>
            </w:r>
          </w:p>
        </w:tc>
        <w:tc>
          <w:tcPr>
            <w:tcW w:w="1554" w:type="dxa"/>
          </w:tcPr>
          <w:p w14:paraId="0119A4AB" w14:textId="77777777" w:rsidR="00F562D6" w:rsidRPr="00D6671D" w:rsidRDefault="00F562D6" w:rsidP="002B0EAB">
            <w:pPr>
              <w:rPr>
                <w:rFonts w:ascii="Arial" w:hAnsi="Arial" w:cs="Arial"/>
                <w:sz w:val="16"/>
                <w:szCs w:val="16"/>
                <w:lang w:val="fi-FI"/>
              </w:rPr>
            </w:pPr>
            <w:r w:rsidRPr="00D6671D">
              <w:rPr>
                <w:rFonts w:ascii="Arial" w:hAnsi="Arial" w:cs="Arial"/>
                <w:sz w:val="16"/>
                <w:szCs w:val="16"/>
                <w:lang w:val="fi-FI"/>
              </w:rPr>
              <w:t>Puhastulu kokku. Hinnang Aktsiate kauplemisele võtmise kogukulude kohta (sh hinnangulised kulud, mille hüvitamist nõutakse investorilt)</w:t>
            </w:r>
          </w:p>
        </w:tc>
        <w:tc>
          <w:tcPr>
            <w:tcW w:w="7484" w:type="dxa"/>
            <w:tcBorders>
              <w:right w:val="single" w:sz="4" w:space="0" w:color="BFBFBF" w:themeColor="background1" w:themeShade="BF"/>
            </w:tcBorders>
          </w:tcPr>
          <w:p w14:paraId="4FCEF349" w14:textId="57521287" w:rsidR="00F562D6" w:rsidRPr="00CC2AEA" w:rsidRDefault="000C6A53" w:rsidP="002B0EAB">
            <w:pPr>
              <w:jc w:val="both"/>
              <w:rPr>
                <w:rFonts w:ascii="Arial" w:hAnsi="Arial" w:cs="Arial"/>
                <w:sz w:val="16"/>
                <w:szCs w:val="16"/>
              </w:rPr>
            </w:pPr>
            <w:r w:rsidRPr="00D6671D">
              <w:rPr>
                <w:rFonts w:ascii="Arial" w:hAnsi="Arial" w:cs="Arial"/>
                <w:sz w:val="16"/>
                <w:szCs w:val="16"/>
                <w:lang w:val="fi-FI"/>
              </w:rPr>
              <w:t xml:space="preserve">Äriühing plaanib Pakkumise kaudu kaasata </w:t>
            </w:r>
            <w:r w:rsidR="005C4FD0" w:rsidRPr="00D6671D">
              <w:rPr>
                <w:rFonts w:ascii="Arial" w:hAnsi="Arial" w:cs="Arial"/>
                <w:sz w:val="16"/>
                <w:szCs w:val="16"/>
                <w:lang w:val="fi-FI"/>
              </w:rPr>
              <w:t>10,</w:t>
            </w:r>
            <w:r w:rsidR="001D5D83" w:rsidRPr="00D6671D">
              <w:rPr>
                <w:rFonts w:ascii="Arial" w:hAnsi="Arial" w:cs="Arial"/>
                <w:sz w:val="16"/>
                <w:szCs w:val="16"/>
                <w:lang w:val="fi-FI"/>
              </w:rPr>
              <w:t>8</w:t>
            </w:r>
            <w:r w:rsidRPr="00D6671D">
              <w:rPr>
                <w:rFonts w:ascii="Arial" w:hAnsi="Arial" w:cs="Arial"/>
                <w:sz w:val="16"/>
                <w:szCs w:val="16"/>
                <w:lang w:val="fi-FI"/>
              </w:rPr>
              <w:t>–</w:t>
            </w:r>
            <w:r w:rsidR="005C4FD0" w:rsidRPr="00D6671D">
              <w:rPr>
                <w:rFonts w:ascii="Arial" w:hAnsi="Arial" w:cs="Arial"/>
                <w:sz w:val="16"/>
                <w:szCs w:val="16"/>
                <w:lang w:val="fi-FI"/>
              </w:rPr>
              <w:t>13,</w:t>
            </w:r>
            <w:r w:rsidR="001D5D83" w:rsidRPr="00D6671D">
              <w:rPr>
                <w:rFonts w:ascii="Arial" w:hAnsi="Arial" w:cs="Arial"/>
                <w:sz w:val="16"/>
                <w:szCs w:val="16"/>
                <w:lang w:val="fi-FI"/>
              </w:rPr>
              <w:t>8</w:t>
            </w:r>
            <w:r w:rsidRPr="00D6671D">
              <w:rPr>
                <w:rFonts w:ascii="Arial" w:hAnsi="Arial" w:cs="Arial"/>
                <w:sz w:val="16"/>
                <w:szCs w:val="16"/>
                <w:lang w:val="fi-FI"/>
              </w:rPr>
              <w:t xml:space="preserve"> miljonit eurot, kui kõik Aktsiad märgitakse (ja kui pakkumishind on Pakkumise hinnavahemikus, s.t </w:t>
            </w:r>
            <w:r w:rsidR="005C4FD0" w:rsidRPr="00D6671D">
              <w:rPr>
                <w:rFonts w:ascii="Arial" w:hAnsi="Arial" w:cs="Arial"/>
                <w:sz w:val="16"/>
                <w:szCs w:val="16"/>
                <w:lang w:val="fi-FI"/>
              </w:rPr>
              <w:t>1,</w:t>
            </w:r>
            <w:r w:rsidR="001D5D83" w:rsidRPr="00D6671D">
              <w:rPr>
                <w:rFonts w:ascii="Arial" w:hAnsi="Arial" w:cs="Arial"/>
                <w:sz w:val="16"/>
                <w:szCs w:val="16"/>
                <w:lang w:val="fi-FI"/>
              </w:rPr>
              <w:t>80</w:t>
            </w:r>
            <w:r w:rsidRPr="00D6671D">
              <w:rPr>
                <w:rFonts w:ascii="Arial" w:hAnsi="Arial" w:cs="Arial"/>
                <w:sz w:val="16"/>
                <w:szCs w:val="16"/>
                <w:lang w:val="fi-FI"/>
              </w:rPr>
              <w:t>–</w:t>
            </w:r>
            <w:r w:rsidR="005C4FD0" w:rsidRPr="00D6671D">
              <w:rPr>
                <w:rFonts w:ascii="Arial" w:hAnsi="Arial" w:cs="Arial"/>
                <w:sz w:val="16"/>
                <w:szCs w:val="16"/>
                <w:lang w:val="fi-FI"/>
              </w:rPr>
              <w:t>2,</w:t>
            </w:r>
            <w:r w:rsidR="001D5D83" w:rsidRPr="00D6671D">
              <w:rPr>
                <w:rFonts w:ascii="Arial" w:hAnsi="Arial" w:cs="Arial"/>
                <w:sz w:val="16"/>
                <w:szCs w:val="16"/>
                <w:lang w:val="fi-FI"/>
              </w:rPr>
              <w:t>30</w:t>
            </w:r>
            <w:r w:rsidRPr="00D6671D">
              <w:rPr>
                <w:rFonts w:ascii="Arial" w:hAnsi="Arial" w:cs="Arial"/>
                <w:sz w:val="16"/>
                <w:szCs w:val="16"/>
                <w:lang w:val="fi-FI"/>
              </w:rPr>
              <w:t xml:space="preserve"> eurot Aktsia kohta). Aktsiate Pakkumise ja kauplemisele võtmise hinnangulised kogukulud moodustavad </w:t>
            </w:r>
            <w:r w:rsidR="00862CE6" w:rsidRPr="00D6671D">
              <w:rPr>
                <w:rFonts w:ascii="Arial" w:hAnsi="Arial" w:cs="Arial"/>
                <w:sz w:val="16"/>
                <w:szCs w:val="16"/>
                <w:lang w:val="fi-FI"/>
              </w:rPr>
              <w:t>480</w:t>
            </w:r>
            <w:r w:rsidRPr="00D6671D">
              <w:rPr>
                <w:rFonts w:ascii="Arial" w:hAnsi="Arial" w:cs="Arial"/>
                <w:sz w:val="16"/>
                <w:szCs w:val="16"/>
                <w:lang w:val="fi-FI"/>
              </w:rPr>
              <w:t>–</w:t>
            </w:r>
            <w:r w:rsidR="00862CE6" w:rsidRPr="00D6671D">
              <w:rPr>
                <w:rFonts w:ascii="Arial" w:hAnsi="Arial" w:cs="Arial"/>
                <w:sz w:val="16"/>
                <w:szCs w:val="16"/>
                <w:lang w:val="fi-FI"/>
              </w:rPr>
              <w:t>600</w:t>
            </w:r>
            <w:r w:rsidRPr="00D6671D">
              <w:rPr>
                <w:rFonts w:ascii="Arial" w:hAnsi="Arial" w:cs="Arial"/>
                <w:sz w:val="16"/>
                <w:szCs w:val="16"/>
                <w:lang w:val="fi-FI"/>
              </w:rPr>
              <w:t xml:space="preserve"> tuhat eurot. </w:t>
            </w:r>
            <w:r w:rsidRPr="000C6A53">
              <w:rPr>
                <w:rFonts w:ascii="Arial" w:hAnsi="Arial" w:cs="Arial"/>
                <w:sz w:val="16"/>
                <w:szCs w:val="16"/>
              </w:rPr>
              <w:t xml:space="preserve">Seega moodustab Aktsiate emiteerimise hinnanguline puhastulu kokku </w:t>
            </w:r>
            <w:r w:rsidR="00862CE6">
              <w:rPr>
                <w:rFonts w:ascii="Arial" w:hAnsi="Arial" w:cs="Arial"/>
                <w:sz w:val="16"/>
                <w:szCs w:val="16"/>
              </w:rPr>
              <w:t>10</w:t>
            </w:r>
            <w:r w:rsidR="005C4FD0">
              <w:rPr>
                <w:rFonts w:ascii="Arial" w:hAnsi="Arial" w:cs="Arial"/>
                <w:sz w:val="16"/>
                <w:szCs w:val="16"/>
              </w:rPr>
              <w:t>,</w:t>
            </w:r>
            <w:r w:rsidR="00862CE6">
              <w:rPr>
                <w:rFonts w:ascii="Arial" w:hAnsi="Arial" w:cs="Arial"/>
                <w:sz w:val="16"/>
                <w:szCs w:val="16"/>
              </w:rPr>
              <w:t>3</w:t>
            </w:r>
            <w:r w:rsidRPr="000C6A53">
              <w:rPr>
                <w:rFonts w:ascii="Arial" w:hAnsi="Arial" w:cs="Arial"/>
                <w:sz w:val="16"/>
                <w:szCs w:val="16"/>
              </w:rPr>
              <w:t>–</w:t>
            </w:r>
            <w:r w:rsidR="00862CE6">
              <w:rPr>
                <w:rFonts w:ascii="Arial" w:hAnsi="Arial" w:cs="Arial"/>
                <w:sz w:val="16"/>
                <w:szCs w:val="16"/>
              </w:rPr>
              <w:t>13</w:t>
            </w:r>
            <w:r w:rsidR="005C4FD0">
              <w:rPr>
                <w:rFonts w:ascii="Arial" w:hAnsi="Arial" w:cs="Arial"/>
                <w:sz w:val="16"/>
                <w:szCs w:val="16"/>
              </w:rPr>
              <w:t>,</w:t>
            </w:r>
            <w:r w:rsidR="00862CE6">
              <w:rPr>
                <w:rFonts w:ascii="Arial" w:hAnsi="Arial" w:cs="Arial"/>
                <w:sz w:val="16"/>
                <w:szCs w:val="16"/>
              </w:rPr>
              <w:t>2</w:t>
            </w:r>
            <w:r w:rsidRPr="000C6A53">
              <w:rPr>
                <w:rFonts w:ascii="Arial" w:hAnsi="Arial" w:cs="Arial"/>
                <w:sz w:val="16"/>
                <w:szCs w:val="16"/>
              </w:rPr>
              <w:t xml:space="preserve"> miljonit eurot</w:t>
            </w:r>
            <w:r w:rsidR="00F562D6">
              <w:rPr>
                <w:rFonts w:ascii="Arial" w:hAnsi="Arial" w:cs="Arial"/>
                <w:sz w:val="16"/>
                <w:szCs w:val="16"/>
              </w:rPr>
              <w:t>.</w:t>
            </w:r>
          </w:p>
        </w:tc>
      </w:tr>
      <w:tr w:rsidR="00F562D6" w:rsidRPr="006E4666" w14:paraId="78DCD9D8" w14:textId="77777777" w:rsidTr="002B0EAB">
        <w:tc>
          <w:tcPr>
            <w:tcW w:w="714" w:type="dxa"/>
            <w:tcBorders>
              <w:left w:val="single" w:sz="4" w:space="0" w:color="BFBFBF" w:themeColor="background1" w:themeShade="BF"/>
            </w:tcBorders>
          </w:tcPr>
          <w:p w14:paraId="3B53EB69" w14:textId="77777777" w:rsidR="00F562D6" w:rsidRPr="00CC2AEA" w:rsidRDefault="00F562D6" w:rsidP="002B0EAB">
            <w:pPr>
              <w:rPr>
                <w:rFonts w:ascii="Arial" w:hAnsi="Arial" w:cs="Arial"/>
                <w:sz w:val="16"/>
                <w:szCs w:val="16"/>
              </w:rPr>
            </w:pPr>
            <w:r>
              <w:rPr>
                <w:rFonts w:ascii="Arial" w:hAnsi="Arial" w:cs="Arial"/>
                <w:sz w:val="16"/>
                <w:szCs w:val="16"/>
              </w:rPr>
              <w:t>E.2a</w:t>
            </w:r>
          </w:p>
        </w:tc>
        <w:tc>
          <w:tcPr>
            <w:tcW w:w="1554" w:type="dxa"/>
          </w:tcPr>
          <w:p w14:paraId="1D7AF570" w14:textId="77777777" w:rsidR="00F562D6" w:rsidRPr="00D6671D" w:rsidRDefault="00F562D6" w:rsidP="002B0EAB">
            <w:pPr>
              <w:rPr>
                <w:rFonts w:ascii="Arial" w:hAnsi="Arial" w:cs="Arial"/>
                <w:sz w:val="16"/>
                <w:szCs w:val="16"/>
                <w:lang w:val="fi-FI"/>
              </w:rPr>
            </w:pPr>
            <w:r w:rsidRPr="00D6671D">
              <w:rPr>
                <w:rFonts w:ascii="Arial" w:hAnsi="Arial" w:cs="Arial"/>
                <w:sz w:val="16"/>
                <w:szCs w:val="16"/>
                <w:lang w:val="fi-FI"/>
              </w:rPr>
              <w:t>Pakkumise põhjused / tulu kasutamine / prognoositav puhastulu</w:t>
            </w:r>
          </w:p>
        </w:tc>
        <w:tc>
          <w:tcPr>
            <w:tcW w:w="7484" w:type="dxa"/>
            <w:tcBorders>
              <w:right w:val="single" w:sz="4" w:space="0" w:color="BFBFBF" w:themeColor="background1" w:themeShade="BF"/>
            </w:tcBorders>
          </w:tcPr>
          <w:p w14:paraId="11267872" w14:textId="77777777" w:rsidR="00B67F12" w:rsidRPr="00D6671D" w:rsidRDefault="00B67F12" w:rsidP="00B67F12">
            <w:pPr>
              <w:jc w:val="both"/>
              <w:rPr>
                <w:rFonts w:ascii="Arial" w:hAnsi="Arial" w:cs="Arial"/>
                <w:sz w:val="16"/>
                <w:szCs w:val="16"/>
                <w:lang w:val="fi-FI"/>
              </w:rPr>
            </w:pPr>
            <w:r w:rsidRPr="00D6671D">
              <w:rPr>
                <w:rFonts w:ascii="Arial" w:hAnsi="Arial" w:cs="Arial"/>
                <w:sz w:val="16"/>
                <w:szCs w:val="16"/>
                <w:lang w:val="fi-FI"/>
              </w:rPr>
              <w:t xml:space="preserve">Prospekt on koostatud üksnes Pakkumise tegemiseks ja Aktsiate kauplemisele võtmiseks. </w:t>
            </w:r>
          </w:p>
          <w:p w14:paraId="0BE76E15" w14:textId="77777777" w:rsidR="00B67F12" w:rsidRPr="00D6671D" w:rsidRDefault="001D5FFA" w:rsidP="00B67F12">
            <w:pPr>
              <w:jc w:val="both"/>
              <w:rPr>
                <w:rFonts w:ascii="Arial" w:hAnsi="Arial" w:cs="Arial"/>
                <w:sz w:val="16"/>
                <w:szCs w:val="16"/>
                <w:lang w:val="fi-FI"/>
              </w:rPr>
            </w:pPr>
            <w:r w:rsidRPr="00D6671D">
              <w:rPr>
                <w:rFonts w:ascii="Arial" w:hAnsi="Arial" w:cs="Arial"/>
                <w:sz w:val="16"/>
                <w:szCs w:val="16"/>
                <w:lang w:val="fi-FI"/>
              </w:rPr>
              <w:t>Äriühing plaanib Pakkumisest saadavat puhastulu kasutada: (1) Grupi olemasoleva kinnisvaraarendustegevuse (vt punkt 6.2) rahastamiseks ja (2) Äriühingu üldiste eesmärkidega seoses (s.t Äriühingu käibekapitali suurendamiseks)</w:t>
            </w:r>
            <w:r w:rsidR="00B67F12" w:rsidRPr="00D6671D">
              <w:rPr>
                <w:rFonts w:ascii="Arial" w:hAnsi="Arial" w:cs="Arial"/>
                <w:sz w:val="16"/>
                <w:szCs w:val="16"/>
                <w:lang w:val="fi-FI"/>
              </w:rPr>
              <w:t xml:space="preserve">. </w:t>
            </w:r>
          </w:p>
          <w:p w14:paraId="4876C5BD" w14:textId="77777777" w:rsidR="001D5FFA" w:rsidRPr="00D6671D" w:rsidRDefault="001D5FFA" w:rsidP="001D5FFA">
            <w:pPr>
              <w:jc w:val="both"/>
              <w:rPr>
                <w:rFonts w:ascii="Arial" w:hAnsi="Arial" w:cs="Arial"/>
                <w:sz w:val="16"/>
                <w:szCs w:val="16"/>
                <w:lang w:val="fi-FI"/>
              </w:rPr>
            </w:pPr>
            <w:r w:rsidRPr="00D6671D">
              <w:rPr>
                <w:rFonts w:ascii="Arial" w:hAnsi="Arial" w:cs="Arial"/>
                <w:sz w:val="16"/>
                <w:szCs w:val="16"/>
                <w:lang w:val="fi-FI"/>
              </w:rPr>
              <w:t>Äriühing ei ole teinud lõplikku otsust tulu jaotamise kohta kinnisvaraarendustegevuse ja üldiste eesmärkide vahel. Prospekti kuupäeva seisuga kavatseb Äriühing kasutada tulu järgmiselt:</w:t>
            </w:r>
          </w:p>
          <w:p w14:paraId="0F8CC0A6" w14:textId="77777777" w:rsidR="001D5FFA" w:rsidRPr="00D6671D" w:rsidRDefault="001D5FFA" w:rsidP="001D5FFA">
            <w:pPr>
              <w:jc w:val="both"/>
              <w:rPr>
                <w:rFonts w:ascii="Arial" w:hAnsi="Arial" w:cs="Arial"/>
                <w:sz w:val="16"/>
                <w:szCs w:val="16"/>
                <w:lang w:val="fi-FI"/>
              </w:rPr>
            </w:pPr>
            <w:r w:rsidRPr="00D6671D">
              <w:rPr>
                <w:rFonts w:ascii="Arial" w:hAnsi="Arial" w:cs="Arial"/>
                <w:sz w:val="16"/>
                <w:szCs w:val="16"/>
                <w:lang w:val="fi-FI"/>
              </w:rPr>
              <w:t>•</w:t>
            </w:r>
            <w:r w:rsidRPr="00D6671D">
              <w:rPr>
                <w:rFonts w:ascii="Arial" w:hAnsi="Arial" w:cs="Arial"/>
                <w:sz w:val="16"/>
                <w:szCs w:val="16"/>
                <w:lang w:val="fi-FI"/>
              </w:rPr>
              <w:tab/>
              <w:t>50–100% Grupi olemasoleva kinnisvaraarendustegevuse rahastamiseks;</w:t>
            </w:r>
          </w:p>
          <w:p w14:paraId="25C763BE" w14:textId="77777777" w:rsidR="00B67F12" w:rsidRPr="00D6671D" w:rsidRDefault="001D5FFA" w:rsidP="001D5FFA">
            <w:pPr>
              <w:jc w:val="both"/>
              <w:rPr>
                <w:rFonts w:ascii="Arial" w:hAnsi="Arial" w:cs="Arial"/>
                <w:sz w:val="16"/>
                <w:szCs w:val="16"/>
                <w:lang w:val="fi-FI"/>
              </w:rPr>
            </w:pPr>
            <w:r w:rsidRPr="00D6671D">
              <w:rPr>
                <w:rFonts w:ascii="Arial" w:hAnsi="Arial" w:cs="Arial"/>
                <w:sz w:val="16"/>
                <w:szCs w:val="16"/>
                <w:lang w:val="fi-FI"/>
              </w:rPr>
              <w:t>•</w:t>
            </w:r>
            <w:r w:rsidRPr="00D6671D">
              <w:rPr>
                <w:rFonts w:ascii="Arial" w:hAnsi="Arial" w:cs="Arial"/>
                <w:sz w:val="16"/>
                <w:szCs w:val="16"/>
                <w:lang w:val="fi-FI"/>
              </w:rPr>
              <w:tab/>
              <w:t>0 – 50% üldiste eesmärkidega seoses</w:t>
            </w:r>
            <w:r w:rsidR="00B67F12" w:rsidRPr="00D6671D">
              <w:rPr>
                <w:rFonts w:ascii="Arial" w:hAnsi="Arial" w:cs="Arial"/>
                <w:sz w:val="16"/>
                <w:szCs w:val="16"/>
                <w:lang w:val="fi-FI"/>
              </w:rPr>
              <w:t xml:space="preserve">. </w:t>
            </w:r>
          </w:p>
          <w:p w14:paraId="6D4A35C7" w14:textId="77777777" w:rsidR="001D5FFA" w:rsidRPr="00D6671D" w:rsidRDefault="001D5FFA" w:rsidP="001D5FFA">
            <w:pPr>
              <w:jc w:val="both"/>
              <w:rPr>
                <w:rFonts w:ascii="Arial" w:hAnsi="Arial" w:cs="Arial"/>
                <w:sz w:val="16"/>
                <w:szCs w:val="16"/>
                <w:lang w:val="fi-FI"/>
              </w:rPr>
            </w:pPr>
            <w:r w:rsidRPr="00D6671D">
              <w:rPr>
                <w:rFonts w:ascii="Arial" w:hAnsi="Arial" w:cs="Arial"/>
                <w:sz w:val="16"/>
                <w:szCs w:val="16"/>
                <w:lang w:val="fi-FI"/>
              </w:rPr>
              <w:t xml:space="preserve">Jaotust olemasolevate arendusprojektide (s.t T1 kaubanduskeskus, Ülemiste 5, Tondi kvartal, Kalaranna piirkond, Tallinas kvartal, Kliversala piirkond, Zvaigznes kvartal, Šaltinių Namai) vahel ei ole Äriühing veel kindlaks määranud. Jaotuse üle otsustamisel lähtub Äriühing projektide edenemisest (s.t vajalike lubade saamisest, ehituse edenemisest ja võimalustest rahastada projekti muudest allikatest) ning kinnisvaraturul valitsevatest tingimustest, sealhulgas (a) Grupi võimalustest saada arendusprojektidest positiivset rahavoogu, mida saaks rakendada muude projektide arendamiseks, (b) Grupi võimalustest rahastada projekte muudest allikatest (nt laenude abil), (c) turutingimuste muutustest, mis võivad arendusprojekte mõjutada, jms.  </w:t>
            </w:r>
          </w:p>
          <w:p w14:paraId="52FE179E" w14:textId="7540E61F" w:rsidR="00F562D6" w:rsidRPr="00D6671D" w:rsidRDefault="001D5FFA" w:rsidP="001D5FFA">
            <w:pPr>
              <w:jc w:val="both"/>
              <w:rPr>
                <w:rFonts w:ascii="Arial" w:hAnsi="Arial" w:cs="Arial"/>
                <w:sz w:val="16"/>
                <w:szCs w:val="16"/>
                <w:lang w:val="fi-FI"/>
              </w:rPr>
            </w:pPr>
            <w:r w:rsidRPr="00D6671D">
              <w:rPr>
                <w:rFonts w:ascii="Arial" w:hAnsi="Arial" w:cs="Arial"/>
                <w:sz w:val="16"/>
                <w:szCs w:val="16"/>
                <w:lang w:val="fi-FI"/>
              </w:rPr>
              <w:t xml:space="preserve">Aktsiate emiteerimise hinnanguline puhastulu moodustab kokku </w:t>
            </w:r>
            <w:r w:rsidR="00CE1139" w:rsidRPr="00D6671D">
              <w:rPr>
                <w:rFonts w:ascii="Arial" w:hAnsi="Arial" w:cs="Arial"/>
                <w:sz w:val="16"/>
                <w:szCs w:val="16"/>
                <w:lang w:val="fi-FI"/>
              </w:rPr>
              <w:t>10,</w:t>
            </w:r>
            <w:r w:rsidR="001D5D83" w:rsidRPr="00D6671D">
              <w:rPr>
                <w:rFonts w:ascii="Arial" w:hAnsi="Arial" w:cs="Arial"/>
                <w:sz w:val="16"/>
                <w:szCs w:val="16"/>
                <w:lang w:val="fi-FI"/>
              </w:rPr>
              <w:t>3</w:t>
            </w:r>
            <w:r w:rsidRPr="00D6671D">
              <w:rPr>
                <w:rFonts w:ascii="Arial" w:hAnsi="Arial" w:cs="Arial"/>
                <w:sz w:val="16"/>
                <w:szCs w:val="16"/>
                <w:lang w:val="fi-FI"/>
              </w:rPr>
              <w:t>–</w:t>
            </w:r>
            <w:r w:rsidR="00CE1139" w:rsidRPr="00D6671D">
              <w:rPr>
                <w:rFonts w:ascii="Arial" w:hAnsi="Arial" w:cs="Arial"/>
                <w:sz w:val="16"/>
                <w:szCs w:val="16"/>
                <w:lang w:val="fi-FI"/>
              </w:rPr>
              <w:t>13,</w:t>
            </w:r>
            <w:r w:rsidR="001D5D83" w:rsidRPr="00D6671D">
              <w:rPr>
                <w:rFonts w:ascii="Arial" w:hAnsi="Arial" w:cs="Arial"/>
                <w:sz w:val="16"/>
                <w:szCs w:val="16"/>
                <w:lang w:val="fi-FI"/>
              </w:rPr>
              <w:t>2</w:t>
            </w:r>
            <w:r w:rsidRPr="00D6671D">
              <w:rPr>
                <w:rFonts w:ascii="Arial" w:hAnsi="Arial" w:cs="Arial"/>
                <w:sz w:val="16"/>
                <w:szCs w:val="16"/>
                <w:lang w:val="fi-FI"/>
              </w:rPr>
              <w:t xml:space="preserve"> miljonit eurot</w:t>
            </w:r>
            <w:r w:rsidR="00B67F12" w:rsidRPr="00D6671D">
              <w:rPr>
                <w:rFonts w:ascii="Arial" w:hAnsi="Arial" w:cs="Arial"/>
                <w:sz w:val="16"/>
                <w:szCs w:val="16"/>
                <w:lang w:val="fi-FI"/>
              </w:rPr>
              <w:t>.</w:t>
            </w:r>
          </w:p>
        </w:tc>
      </w:tr>
      <w:tr w:rsidR="00F562D6" w:rsidRPr="006E4666" w14:paraId="6D8237BA" w14:textId="77777777" w:rsidTr="002B0EAB">
        <w:trPr>
          <w:trHeight w:val="184"/>
        </w:trPr>
        <w:tc>
          <w:tcPr>
            <w:tcW w:w="714" w:type="dxa"/>
            <w:tcBorders>
              <w:left w:val="single" w:sz="4" w:space="0" w:color="BFBFBF" w:themeColor="background1" w:themeShade="BF"/>
            </w:tcBorders>
          </w:tcPr>
          <w:p w14:paraId="4B9E1E51" w14:textId="77777777" w:rsidR="00F562D6" w:rsidRPr="00CC2AEA" w:rsidRDefault="00F562D6" w:rsidP="002B0EAB">
            <w:pPr>
              <w:rPr>
                <w:rFonts w:ascii="Arial" w:hAnsi="Arial" w:cs="Arial"/>
                <w:sz w:val="16"/>
                <w:szCs w:val="16"/>
              </w:rPr>
            </w:pPr>
            <w:r>
              <w:rPr>
                <w:rFonts w:ascii="Arial" w:hAnsi="Arial" w:cs="Arial"/>
                <w:sz w:val="16"/>
                <w:szCs w:val="16"/>
              </w:rPr>
              <w:t>E.3</w:t>
            </w:r>
          </w:p>
        </w:tc>
        <w:tc>
          <w:tcPr>
            <w:tcW w:w="1554" w:type="dxa"/>
          </w:tcPr>
          <w:p w14:paraId="0BFDE42B" w14:textId="77777777" w:rsidR="00F562D6" w:rsidRPr="00CC2AEA" w:rsidRDefault="00F562D6" w:rsidP="002B0EAB">
            <w:pPr>
              <w:rPr>
                <w:rFonts w:ascii="Arial" w:hAnsi="Arial" w:cs="Arial"/>
                <w:sz w:val="16"/>
                <w:szCs w:val="16"/>
              </w:rPr>
            </w:pPr>
            <w:r>
              <w:rPr>
                <w:rFonts w:ascii="Arial" w:hAnsi="Arial" w:cs="Arial"/>
                <w:sz w:val="16"/>
                <w:szCs w:val="16"/>
              </w:rPr>
              <w:t>Pakkumise tingimused</w:t>
            </w:r>
          </w:p>
        </w:tc>
        <w:tc>
          <w:tcPr>
            <w:tcW w:w="7484" w:type="dxa"/>
            <w:tcBorders>
              <w:right w:val="single" w:sz="4" w:space="0" w:color="BFBFBF" w:themeColor="background1" w:themeShade="BF"/>
            </w:tcBorders>
          </w:tcPr>
          <w:p w14:paraId="2626F7D3" w14:textId="7237DEEE" w:rsidR="00F562D6" w:rsidRPr="00D6671D" w:rsidRDefault="00CE3B8B" w:rsidP="002B0EAB">
            <w:pPr>
              <w:jc w:val="both"/>
              <w:rPr>
                <w:rFonts w:ascii="Arial" w:hAnsi="Arial" w:cs="Arial"/>
                <w:sz w:val="16"/>
                <w:szCs w:val="16"/>
                <w:lang w:val="fi-FI"/>
              </w:rPr>
            </w:pPr>
            <w:r w:rsidRPr="00D6671D">
              <w:rPr>
                <w:rFonts w:ascii="Arial" w:hAnsi="Arial"/>
                <w:sz w:val="16"/>
                <w:szCs w:val="16"/>
                <w:lang w:val="fi-FI"/>
              </w:rPr>
              <w:t xml:space="preserve">Äriühing pakub kuni </w:t>
            </w:r>
            <w:r w:rsidR="0083191C" w:rsidRPr="00D6671D">
              <w:rPr>
                <w:rFonts w:ascii="Arial" w:hAnsi="Arial"/>
                <w:sz w:val="16"/>
                <w:szCs w:val="16"/>
                <w:lang w:val="fi-FI"/>
              </w:rPr>
              <w:t>6 000 </w:t>
            </w:r>
            <w:r w:rsidR="001D5D83" w:rsidRPr="00D6671D">
              <w:rPr>
                <w:rFonts w:ascii="Arial" w:hAnsi="Arial"/>
                <w:sz w:val="16"/>
                <w:szCs w:val="16"/>
                <w:lang w:val="fi-FI"/>
              </w:rPr>
              <w:t>000</w:t>
            </w:r>
            <w:r w:rsidRPr="00D6671D">
              <w:rPr>
                <w:rFonts w:ascii="Arial" w:hAnsi="Arial"/>
                <w:sz w:val="16"/>
                <w:szCs w:val="16"/>
                <w:lang w:val="fi-FI"/>
              </w:rPr>
              <w:t xml:space="preserve"> uut emiteeritud aktsiat nimiväärtusega 0,2 eurot („</w:t>
            </w:r>
            <w:proofErr w:type="gramStart"/>
            <w:r w:rsidRPr="00D6671D">
              <w:rPr>
                <w:rFonts w:ascii="Arial" w:hAnsi="Arial"/>
                <w:b/>
                <w:bCs/>
                <w:sz w:val="16"/>
                <w:szCs w:val="16"/>
                <w:lang w:val="fi-FI"/>
              </w:rPr>
              <w:t>Aktsiad</w:t>
            </w:r>
            <w:r w:rsidRPr="00D6671D">
              <w:rPr>
                <w:rFonts w:ascii="Arial" w:hAnsi="Arial"/>
                <w:sz w:val="16"/>
                <w:szCs w:val="16"/>
                <w:lang w:val="fi-FI"/>
              </w:rPr>
              <w:t>“</w:t>
            </w:r>
            <w:proofErr w:type="gramEnd"/>
            <w:r w:rsidRPr="00D6671D">
              <w:rPr>
                <w:rFonts w:ascii="Arial" w:hAnsi="Arial"/>
                <w:sz w:val="16"/>
                <w:szCs w:val="16"/>
                <w:lang w:val="fi-FI"/>
              </w:rPr>
              <w:t>). Aktsiad kuuluvad Äriühingu kõigi olemasolevate aktsiatega samasse klassi. Pakkumine tehakse (a) Äriühingu aktsionäridele, kes väärtpaberiregistri andmete kohaselt väärtpaberiregistri 4. oktoobri 2017. aasta tööpäeva lõpu seisuga (või kell 23.59 (Tallinna aja järgi), kui väärtpaberiregister ei ole selleks kuupäevaks liitunud väärtpaberiarvelduste ühisplatvormiga TARGET2-Securities) omavad Äriühingu aktsiaid (edaspidi „</w:t>
            </w:r>
            <w:r w:rsidRPr="00D6671D">
              <w:rPr>
                <w:rFonts w:ascii="Arial" w:hAnsi="Arial"/>
                <w:b/>
                <w:bCs/>
                <w:sz w:val="16"/>
                <w:szCs w:val="16"/>
                <w:lang w:val="fi-FI"/>
              </w:rPr>
              <w:t>olemasolevad aktsionärid</w:t>
            </w:r>
            <w:r w:rsidRPr="00D6671D">
              <w:rPr>
                <w:rFonts w:ascii="Arial" w:hAnsi="Arial"/>
                <w:sz w:val="16"/>
                <w:szCs w:val="16"/>
                <w:lang w:val="fi-FI"/>
              </w:rPr>
              <w:t>“), (b) Äriühingu nõukogu valitud füüsilistele ja juriidilistele isikutele, kellele pakutakse Aktsiaid kogusummas vähemalt 100 000 euro eest isiku kohta (välja arvatud need isikud, kelle osalemine Pakkumises eeldab täiendavat registreerimist, prospekti või muid meetmeid lisaks Eesti õigusaktide kohaselt nõutavatele ja Äriühingu poolt võetud meetmetele) (edaspidi „</w:t>
            </w:r>
            <w:r w:rsidRPr="00D6671D">
              <w:rPr>
                <w:rFonts w:ascii="Arial" w:hAnsi="Arial"/>
                <w:b/>
                <w:bCs/>
                <w:sz w:val="16"/>
                <w:szCs w:val="16"/>
                <w:lang w:val="fi-FI"/>
              </w:rPr>
              <w:t>institutsionaalsed investorid</w:t>
            </w:r>
            <w:r w:rsidRPr="00D6671D">
              <w:rPr>
                <w:rFonts w:ascii="Arial" w:hAnsi="Arial"/>
                <w:sz w:val="16"/>
                <w:szCs w:val="16"/>
                <w:lang w:val="fi-FI"/>
              </w:rPr>
              <w:t>“), (c) Äriühingu juhatuse ja nõukogu liikmetele (edaspidi „</w:t>
            </w:r>
            <w:r w:rsidRPr="00D6671D">
              <w:rPr>
                <w:rFonts w:ascii="Arial" w:hAnsi="Arial"/>
                <w:b/>
                <w:bCs/>
                <w:sz w:val="16"/>
                <w:szCs w:val="16"/>
                <w:lang w:val="fi-FI"/>
              </w:rPr>
              <w:t>juhtkond</w:t>
            </w:r>
            <w:r w:rsidRPr="00D6671D">
              <w:rPr>
                <w:rFonts w:ascii="Arial" w:hAnsi="Arial"/>
                <w:sz w:val="16"/>
                <w:szCs w:val="16"/>
                <w:lang w:val="fi-FI"/>
              </w:rPr>
              <w:t>“) ning (</w:t>
            </w:r>
            <w:r w:rsidR="003954C2">
              <w:rPr>
                <w:rFonts w:ascii="Arial" w:hAnsi="Arial"/>
                <w:sz w:val="16"/>
                <w:szCs w:val="16"/>
                <w:lang w:val="fi-FI"/>
              </w:rPr>
              <w:t>d</w:t>
            </w:r>
            <w:r w:rsidRPr="00D6671D">
              <w:rPr>
                <w:rFonts w:ascii="Arial" w:hAnsi="Arial"/>
                <w:sz w:val="16"/>
                <w:szCs w:val="16"/>
                <w:lang w:val="fi-FI"/>
              </w:rPr>
              <w:t>) Eesti füüsilistele ja juriidilistele isikutele peale eespool nimetatud institutsionaalsete investorite ja olemasolevate aktsionäride (edaspidi „</w:t>
            </w:r>
            <w:r w:rsidRPr="00D6671D">
              <w:rPr>
                <w:rFonts w:ascii="Arial" w:hAnsi="Arial"/>
                <w:b/>
                <w:bCs/>
                <w:sz w:val="16"/>
                <w:szCs w:val="16"/>
                <w:lang w:val="fi-FI"/>
              </w:rPr>
              <w:t>Eesti jaeinvestorid</w:t>
            </w:r>
            <w:r w:rsidRPr="00D6671D">
              <w:rPr>
                <w:rFonts w:ascii="Arial" w:hAnsi="Arial"/>
                <w:sz w:val="16"/>
                <w:szCs w:val="16"/>
                <w:lang w:val="fi-FI"/>
              </w:rPr>
              <w:t>“) (olemasolevad aktsionärid, institutsionaalsed investorid, juhtkond ja Eesti jaeinvestorid edaspidi ühiselt „</w:t>
            </w:r>
            <w:r w:rsidRPr="00D6671D">
              <w:rPr>
                <w:rFonts w:ascii="Arial" w:hAnsi="Arial"/>
                <w:b/>
                <w:bCs/>
                <w:sz w:val="16"/>
                <w:szCs w:val="16"/>
                <w:lang w:val="fi-FI"/>
              </w:rPr>
              <w:t>investorid</w:t>
            </w:r>
            <w:r w:rsidRPr="00D6671D">
              <w:rPr>
                <w:rFonts w:ascii="Arial" w:hAnsi="Arial"/>
                <w:sz w:val="16"/>
                <w:szCs w:val="16"/>
                <w:lang w:val="fi-FI"/>
              </w:rPr>
              <w:t>“)</w:t>
            </w:r>
            <w:r w:rsidR="00F562D6" w:rsidRPr="00D6671D">
              <w:rPr>
                <w:rFonts w:ascii="Arial" w:hAnsi="Arial"/>
                <w:sz w:val="16"/>
                <w:szCs w:val="16"/>
                <w:lang w:val="fi-FI"/>
              </w:rPr>
              <w:t>.</w:t>
            </w:r>
          </w:p>
          <w:p w14:paraId="3FFE27F4" w14:textId="5F686D9C" w:rsidR="00F562D6" w:rsidRPr="00AA76D9" w:rsidRDefault="00D13C71" w:rsidP="002B0EAB">
            <w:pPr>
              <w:jc w:val="both"/>
              <w:rPr>
                <w:rFonts w:ascii="Arial" w:hAnsi="Arial" w:cs="Arial"/>
                <w:sz w:val="16"/>
                <w:szCs w:val="16"/>
                <w:lang w:val="fi-FI"/>
              </w:rPr>
            </w:pPr>
            <w:r w:rsidRPr="001C7B60">
              <w:rPr>
                <w:rFonts w:ascii="Arial" w:hAnsi="Arial" w:cs="Arial"/>
                <w:sz w:val="16"/>
                <w:szCs w:val="16"/>
                <w:lang w:val="fi-FI"/>
              </w:rPr>
              <w:t>Aktsiate märkimise periood algab 20. septembril 2017</w:t>
            </w:r>
            <w:r w:rsidR="006E4666" w:rsidRPr="00891B49">
              <w:rPr>
                <w:rFonts w:ascii="Arial" w:hAnsi="Arial" w:cs="Arial"/>
                <w:sz w:val="16"/>
                <w:szCs w:val="16"/>
                <w:lang w:val="fi-FI"/>
              </w:rPr>
              <w:t xml:space="preserve"> </w:t>
            </w:r>
            <w:r w:rsidR="006E4666" w:rsidRPr="00891B49">
              <w:rPr>
                <w:rFonts w:ascii="Arial" w:hAnsi="Arial"/>
                <w:sz w:val="16"/>
                <w:szCs w:val="16"/>
                <w:lang w:val="fi-FI"/>
              </w:rPr>
              <w:t xml:space="preserve">kell </w:t>
            </w:r>
            <w:r w:rsidR="001C7B60" w:rsidRPr="00891B49">
              <w:rPr>
                <w:rFonts w:ascii="Arial" w:hAnsi="Arial"/>
                <w:sz w:val="16"/>
                <w:szCs w:val="16"/>
                <w:lang w:val="fi-FI"/>
              </w:rPr>
              <w:t>10</w:t>
            </w:r>
            <w:r w:rsidR="006E4666" w:rsidRPr="00891B49">
              <w:rPr>
                <w:rFonts w:ascii="Arial" w:hAnsi="Arial"/>
                <w:sz w:val="16"/>
                <w:szCs w:val="16"/>
                <w:lang w:val="fi-FI"/>
              </w:rPr>
              <w:t>.</w:t>
            </w:r>
            <w:r w:rsidR="001C7B60" w:rsidRPr="00AA76D9">
              <w:rPr>
                <w:rFonts w:ascii="Arial" w:hAnsi="Arial"/>
                <w:sz w:val="16"/>
                <w:szCs w:val="16"/>
                <w:lang w:val="fi-FI"/>
              </w:rPr>
              <w:t>00</w:t>
            </w:r>
            <w:r w:rsidR="006E4666" w:rsidRPr="001C7B60">
              <w:rPr>
                <w:rFonts w:ascii="Arial" w:hAnsi="Arial"/>
                <w:sz w:val="16"/>
                <w:szCs w:val="16"/>
                <w:lang w:val="fi-FI"/>
              </w:rPr>
              <w:t xml:space="preserve"> </w:t>
            </w:r>
            <w:r w:rsidR="006E4666" w:rsidRPr="00D6671D">
              <w:rPr>
                <w:rFonts w:ascii="Arial" w:hAnsi="Arial"/>
                <w:sz w:val="16"/>
                <w:szCs w:val="16"/>
                <w:lang w:val="fi-FI"/>
              </w:rPr>
              <w:t>(Tallinna aja järgi)</w:t>
            </w:r>
            <w:r w:rsidRPr="00D6671D">
              <w:rPr>
                <w:rFonts w:ascii="Arial" w:hAnsi="Arial" w:cs="Arial"/>
                <w:sz w:val="16"/>
                <w:szCs w:val="16"/>
                <w:lang w:val="fi-FI"/>
              </w:rPr>
              <w:t xml:space="preserve"> ja lõpeb 4. oktoobril 2017</w:t>
            </w:r>
            <w:r w:rsidR="00891B49">
              <w:rPr>
                <w:rFonts w:ascii="Arial" w:hAnsi="Arial" w:cs="Arial"/>
                <w:sz w:val="16"/>
                <w:szCs w:val="16"/>
                <w:lang w:val="fi-FI"/>
              </w:rPr>
              <w:t xml:space="preserve"> </w:t>
            </w:r>
            <w:r w:rsidR="00891B49" w:rsidRPr="00D6671D">
              <w:rPr>
                <w:rFonts w:ascii="Arial" w:hAnsi="Arial"/>
                <w:sz w:val="16"/>
                <w:szCs w:val="16"/>
                <w:lang w:val="fi-FI"/>
              </w:rPr>
              <w:t xml:space="preserve">kell </w:t>
            </w:r>
            <w:r w:rsidR="00891B49">
              <w:rPr>
                <w:rFonts w:ascii="Arial" w:hAnsi="Arial"/>
                <w:sz w:val="16"/>
                <w:szCs w:val="16"/>
                <w:lang w:val="fi-FI"/>
              </w:rPr>
              <w:t>16</w:t>
            </w:r>
            <w:r w:rsidR="00891B49" w:rsidRPr="00D6671D">
              <w:rPr>
                <w:rFonts w:ascii="Arial" w:hAnsi="Arial"/>
                <w:sz w:val="16"/>
                <w:szCs w:val="16"/>
                <w:lang w:val="fi-FI"/>
              </w:rPr>
              <w:t>.</w:t>
            </w:r>
            <w:r w:rsidR="00891B49">
              <w:rPr>
                <w:rFonts w:ascii="Arial" w:hAnsi="Arial"/>
                <w:sz w:val="16"/>
                <w:szCs w:val="16"/>
                <w:lang w:val="fi-FI"/>
              </w:rPr>
              <w:t>00</w:t>
            </w:r>
            <w:r w:rsidR="00891B49" w:rsidRPr="00D6671D">
              <w:rPr>
                <w:rFonts w:ascii="Arial" w:hAnsi="Arial"/>
                <w:sz w:val="16"/>
                <w:szCs w:val="16"/>
                <w:lang w:val="fi-FI"/>
              </w:rPr>
              <w:t xml:space="preserve"> (Tallinna aja järgi)</w:t>
            </w:r>
            <w:r w:rsidRPr="00D6671D">
              <w:rPr>
                <w:rFonts w:ascii="Arial" w:hAnsi="Arial" w:cs="Arial"/>
                <w:sz w:val="16"/>
                <w:szCs w:val="16"/>
                <w:lang w:val="fi-FI"/>
              </w:rPr>
              <w:t xml:space="preserve"> („</w:t>
            </w:r>
            <w:proofErr w:type="gramStart"/>
            <w:r w:rsidRPr="00D6671D">
              <w:rPr>
                <w:rFonts w:ascii="Arial" w:hAnsi="Arial" w:cs="Arial"/>
                <w:b/>
                <w:bCs/>
                <w:sz w:val="16"/>
                <w:szCs w:val="16"/>
                <w:lang w:val="fi-FI"/>
              </w:rPr>
              <w:t>pakkumisperiood</w:t>
            </w:r>
            <w:r w:rsidRPr="00D6671D">
              <w:rPr>
                <w:rFonts w:ascii="Arial" w:hAnsi="Arial" w:cs="Arial"/>
                <w:sz w:val="16"/>
                <w:szCs w:val="16"/>
                <w:lang w:val="fi-FI"/>
              </w:rPr>
              <w:t>“</w:t>
            </w:r>
            <w:proofErr w:type="gramEnd"/>
            <w:r w:rsidRPr="00D6671D">
              <w:rPr>
                <w:rFonts w:ascii="Arial" w:hAnsi="Arial" w:cs="Arial"/>
                <w:sz w:val="16"/>
                <w:szCs w:val="16"/>
                <w:lang w:val="fi-FI"/>
              </w:rPr>
              <w:t xml:space="preserve">). </w:t>
            </w:r>
            <w:r w:rsidRPr="00AA76D9">
              <w:rPr>
                <w:rFonts w:ascii="Arial" w:hAnsi="Arial" w:cs="Arial"/>
                <w:sz w:val="16"/>
                <w:szCs w:val="16"/>
                <w:lang w:val="fi-FI"/>
              </w:rPr>
              <w:t>Äriühingu juhatusel on õigus pikendada pakkumisperioodi kuni 15 päeva võrra</w:t>
            </w:r>
            <w:r w:rsidR="00F562D6" w:rsidRPr="00AA76D9">
              <w:rPr>
                <w:rFonts w:ascii="Arial" w:hAnsi="Arial" w:cs="Arial"/>
                <w:sz w:val="16"/>
                <w:szCs w:val="16"/>
                <w:lang w:val="fi-FI"/>
              </w:rPr>
              <w:t xml:space="preserve">. </w:t>
            </w:r>
          </w:p>
          <w:p w14:paraId="144F8E5D" w14:textId="50AB1705" w:rsidR="00F562D6" w:rsidRPr="00D6671D" w:rsidRDefault="00F562D6" w:rsidP="002B0EAB">
            <w:pPr>
              <w:jc w:val="both"/>
              <w:rPr>
                <w:rFonts w:ascii="Arial" w:hAnsi="Arial" w:cs="Arial"/>
                <w:sz w:val="16"/>
                <w:szCs w:val="16"/>
                <w:lang w:val="fi-FI"/>
              </w:rPr>
            </w:pPr>
            <w:r w:rsidRPr="00AA76D9">
              <w:rPr>
                <w:rFonts w:ascii="Arial" w:hAnsi="Arial" w:cs="Arial"/>
                <w:sz w:val="16"/>
                <w:szCs w:val="16"/>
                <w:lang w:val="fi-FI"/>
              </w:rPr>
              <w:t xml:space="preserve">Iga Aktsia eest makstav pakkumishind määratakse kindlaks Äriühingu nõukogu poolt ja avalikustatakse Reguleeritud turu kaudu kolme tööpäeva jooksul pärast pakkumisperioodi lõppu. </w:t>
            </w:r>
            <w:r w:rsidRPr="00D6671D">
              <w:rPr>
                <w:rFonts w:ascii="Arial" w:hAnsi="Arial" w:cs="Arial"/>
                <w:sz w:val="16"/>
                <w:szCs w:val="16"/>
                <w:lang w:val="fi-FI"/>
              </w:rPr>
              <w:t xml:space="preserve">Pakkumishind on vahemikus </w:t>
            </w:r>
            <w:r w:rsidR="005C4FD0" w:rsidRPr="00D6671D">
              <w:rPr>
                <w:rFonts w:ascii="Arial" w:hAnsi="Arial" w:cs="Arial"/>
                <w:sz w:val="16"/>
                <w:szCs w:val="16"/>
                <w:lang w:val="fi-FI"/>
              </w:rPr>
              <w:t>1,</w:t>
            </w:r>
            <w:r w:rsidR="001D5D83" w:rsidRPr="00D6671D">
              <w:rPr>
                <w:rFonts w:ascii="Arial" w:hAnsi="Arial" w:cs="Arial"/>
                <w:sz w:val="16"/>
                <w:szCs w:val="16"/>
                <w:lang w:val="fi-FI"/>
              </w:rPr>
              <w:t>80</w:t>
            </w:r>
            <w:r w:rsidRPr="00D6671D">
              <w:rPr>
                <w:rFonts w:ascii="Arial" w:hAnsi="Arial" w:cs="Arial"/>
                <w:sz w:val="16"/>
                <w:szCs w:val="16"/>
                <w:lang w:val="fi-FI"/>
              </w:rPr>
              <w:t xml:space="preserve"> kuni </w:t>
            </w:r>
            <w:r w:rsidR="005C4FD0" w:rsidRPr="00D6671D">
              <w:rPr>
                <w:rFonts w:ascii="Arial" w:hAnsi="Arial" w:cs="Arial"/>
                <w:sz w:val="16"/>
                <w:szCs w:val="16"/>
                <w:lang w:val="fi-FI"/>
              </w:rPr>
              <w:t>2,</w:t>
            </w:r>
            <w:r w:rsidR="001D5D83" w:rsidRPr="00D6671D">
              <w:rPr>
                <w:rFonts w:ascii="Arial" w:hAnsi="Arial" w:cs="Arial"/>
                <w:sz w:val="16"/>
                <w:szCs w:val="16"/>
                <w:lang w:val="fi-FI"/>
              </w:rPr>
              <w:t>30</w:t>
            </w:r>
            <w:r w:rsidRPr="00D6671D">
              <w:rPr>
                <w:rFonts w:ascii="Arial" w:hAnsi="Arial" w:cs="Arial"/>
                <w:sz w:val="16"/>
                <w:szCs w:val="16"/>
                <w:lang w:val="fi-FI"/>
              </w:rPr>
              <w:t xml:space="preserve"> eurot („</w:t>
            </w:r>
            <w:r w:rsidRPr="00D6671D">
              <w:rPr>
                <w:rFonts w:ascii="Arial" w:hAnsi="Arial" w:cs="Arial"/>
                <w:b/>
                <w:bCs/>
                <w:sz w:val="16"/>
                <w:szCs w:val="16"/>
                <w:lang w:val="fi-FI"/>
              </w:rPr>
              <w:t xml:space="preserve">Pakkumise </w:t>
            </w:r>
            <w:proofErr w:type="gramStart"/>
            <w:r w:rsidRPr="00D6671D">
              <w:rPr>
                <w:rFonts w:ascii="Arial" w:hAnsi="Arial" w:cs="Arial"/>
                <w:b/>
                <w:bCs/>
                <w:sz w:val="16"/>
                <w:szCs w:val="16"/>
                <w:lang w:val="fi-FI"/>
              </w:rPr>
              <w:t>hinnavahemik</w:t>
            </w:r>
            <w:r w:rsidRPr="00D6671D">
              <w:rPr>
                <w:rFonts w:ascii="Arial" w:hAnsi="Arial" w:cs="Arial"/>
                <w:sz w:val="16"/>
                <w:szCs w:val="16"/>
                <w:lang w:val="fi-FI"/>
              </w:rPr>
              <w:t>“</w:t>
            </w:r>
            <w:proofErr w:type="gramEnd"/>
            <w:r w:rsidRPr="00D6671D">
              <w:rPr>
                <w:rFonts w:ascii="Arial" w:hAnsi="Arial" w:cs="Arial"/>
                <w:sz w:val="16"/>
                <w:szCs w:val="16"/>
                <w:lang w:val="fi-FI"/>
              </w:rPr>
              <w:t xml:space="preserve">). </w:t>
            </w:r>
          </w:p>
          <w:p w14:paraId="4B154DA4" w14:textId="77777777" w:rsidR="00F562D6" w:rsidRPr="00D6671D" w:rsidRDefault="00F562D6" w:rsidP="002B0EAB">
            <w:pPr>
              <w:jc w:val="both"/>
              <w:rPr>
                <w:rFonts w:ascii="Arial" w:hAnsi="Arial" w:cs="Arial"/>
                <w:sz w:val="16"/>
                <w:szCs w:val="16"/>
                <w:lang w:val="fi-FI"/>
              </w:rPr>
            </w:pPr>
            <w:r w:rsidRPr="00D6671D">
              <w:rPr>
                <w:rFonts w:ascii="Arial" w:hAnsi="Arial" w:cs="Arial"/>
                <w:sz w:val="16"/>
                <w:szCs w:val="16"/>
                <w:lang w:val="fi-FI"/>
              </w:rPr>
              <w:t xml:space="preserve">Iga investor võib märkida mis tahes arvul Aktsiaid (s.t üks kuni </w:t>
            </w:r>
            <w:r w:rsidR="0075272A" w:rsidRPr="00D6671D">
              <w:rPr>
                <w:rFonts w:ascii="Arial" w:hAnsi="Arial" w:cs="Arial"/>
                <w:sz w:val="16"/>
                <w:szCs w:val="16"/>
                <w:lang w:val="fi-FI"/>
              </w:rPr>
              <w:t>kuus miljonit</w:t>
            </w:r>
            <w:r w:rsidRPr="00D6671D">
              <w:rPr>
                <w:rFonts w:ascii="Arial" w:hAnsi="Arial" w:cs="Arial"/>
                <w:sz w:val="16"/>
                <w:szCs w:val="16"/>
                <w:lang w:val="fi-FI"/>
              </w:rPr>
              <w:t xml:space="preserve"> Aktsiat), esitades kirjaliku märkimiskinnituse. Äriühing aktsepteerib ka digitaalallkirjaga allkirjastatud märkimiskinnitusi. </w:t>
            </w:r>
          </w:p>
          <w:p w14:paraId="0B506DD7" w14:textId="77777777" w:rsidR="00F562D6" w:rsidRPr="00D6671D" w:rsidRDefault="00F562D6" w:rsidP="002B0EAB">
            <w:pPr>
              <w:jc w:val="both"/>
              <w:rPr>
                <w:rFonts w:ascii="Arial" w:hAnsi="Arial" w:cs="Arial"/>
                <w:sz w:val="16"/>
                <w:szCs w:val="16"/>
                <w:lang w:val="fi-FI"/>
              </w:rPr>
            </w:pPr>
            <w:r w:rsidRPr="00D6671D">
              <w:rPr>
                <w:rFonts w:ascii="Arial" w:hAnsi="Arial" w:cs="Arial"/>
                <w:sz w:val="16"/>
                <w:szCs w:val="16"/>
                <w:lang w:val="fi-FI"/>
              </w:rPr>
              <w:t xml:space="preserve">Märkimiskinnituse võib toimetada AS LHV Pank büroosse, mis asub aadressil Tartu mnt 2, Tallinn 10145, Eesti. </w:t>
            </w:r>
            <w:r w:rsidR="00D13C71" w:rsidRPr="00D6671D">
              <w:rPr>
                <w:rFonts w:ascii="Arial" w:hAnsi="Arial" w:cs="Arial"/>
                <w:sz w:val="16"/>
                <w:szCs w:val="16"/>
                <w:lang w:val="fi-FI"/>
              </w:rPr>
              <w:t xml:space="preserve">Olemasolevad aktsionärid ja juhtkonna liikmed võivad märkimiskinnituse saata e-postiga aadressil </w:t>
            </w:r>
            <w:hyperlink r:id="rId8" w:history="1">
              <w:r w:rsidR="00D13C71" w:rsidRPr="00D6671D">
                <w:rPr>
                  <w:rStyle w:val="Hyperlink"/>
                  <w:rFonts w:ascii="Arial" w:hAnsi="Arial" w:cs="Arial"/>
                  <w:sz w:val="16"/>
                  <w:szCs w:val="16"/>
                  <w:lang w:val="fi-FI"/>
                </w:rPr>
                <w:t>prokapital@prokapital.ee</w:t>
              </w:r>
            </w:hyperlink>
            <w:r w:rsidRPr="00D6671D">
              <w:rPr>
                <w:rFonts w:ascii="Arial" w:hAnsi="Arial" w:cs="Arial"/>
                <w:sz w:val="16"/>
                <w:szCs w:val="16"/>
                <w:lang w:val="fi-FI"/>
              </w:rPr>
              <w:t xml:space="preserve">.  </w:t>
            </w:r>
          </w:p>
          <w:p w14:paraId="27927BBE" w14:textId="77777777" w:rsidR="00F562D6" w:rsidRPr="00D6671D" w:rsidRDefault="00D13C71" w:rsidP="002B0EAB">
            <w:pPr>
              <w:jc w:val="both"/>
              <w:rPr>
                <w:rFonts w:ascii="Arial" w:hAnsi="Arial" w:cs="Arial"/>
                <w:sz w:val="16"/>
                <w:szCs w:val="16"/>
                <w:lang w:val="fi-FI"/>
              </w:rPr>
            </w:pPr>
            <w:r w:rsidRPr="00D6671D">
              <w:rPr>
                <w:rFonts w:ascii="Arial" w:hAnsi="Arial" w:cs="Arial"/>
                <w:sz w:val="16"/>
                <w:szCs w:val="16"/>
                <w:lang w:val="fi-FI"/>
              </w:rPr>
              <w:t>Märkimiskinnitusele tuleb lisada järgmised dokumendid: (a) kui investor on füüsiline isik, siis koopia tema kehtivast isikut tõendavast dokumendist; (b) kui investor on juriidiline isik, siis väljavõte asjaomasest registrist, kus see juriidiline isik on registreeritud; (c) kui märkimiskinnitus on investori nimel allkirjastatud esindaja poolt, siis dokument (näiteks volikiri), mis tõendab esindaja õigust allkirjastada märkimiskinnitus vastava investori nimel; ja (d) kui olemasolevaid Äriühingu aktsiaid hoitakse esindajakontol, siis vastava esindajakonto omaniku poolt välja antud dokument selle isiku kohta, kelle nimel neid aktsiad hoitakse väärtpaberiregistri 4. oktoobri 2017. aasta tööpäeva lõpu seisuga (või kell 23.59 (Tallinna aja järgi), kui väärtpaberiregister ei ole selleks kuupäevaks liitunud väärtpaberiarvelduste ühisplatvormiga TARGET2-Securities)</w:t>
            </w:r>
            <w:r w:rsidR="00F562D6" w:rsidRPr="00D6671D">
              <w:rPr>
                <w:rFonts w:ascii="Arial" w:hAnsi="Arial" w:cs="Arial"/>
                <w:sz w:val="16"/>
                <w:szCs w:val="16"/>
                <w:lang w:val="fi-FI"/>
              </w:rPr>
              <w:t>.</w:t>
            </w:r>
          </w:p>
          <w:p w14:paraId="39A1E910" w14:textId="77777777" w:rsidR="00F562D6" w:rsidRPr="00D6671D" w:rsidRDefault="00F562D6" w:rsidP="002B0EAB">
            <w:pPr>
              <w:jc w:val="both"/>
              <w:rPr>
                <w:rFonts w:ascii="Arial" w:hAnsi="Arial" w:cs="Arial"/>
                <w:sz w:val="16"/>
                <w:szCs w:val="16"/>
                <w:lang w:val="fi-FI"/>
              </w:rPr>
            </w:pPr>
            <w:r w:rsidRPr="00D6671D">
              <w:rPr>
                <w:rFonts w:ascii="Arial" w:hAnsi="Arial" w:cs="Arial"/>
                <w:sz w:val="16"/>
                <w:szCs w:val="16"/>
                <w:lang w:val="fi-FI"/>
              </w:rPr>
              <w:t xml:space="preserve">Ülalnimetatud dokumendid tuleb saata või toimetada (a) AS LHV Pank büroosse, mis asub aadressil Tartu mnt 2, Tallinn 10145, Eesti, või (b) kui märkimiskinnitus on edastatud e-postiga, siis AS Pro Kapital </w:t>
            </w:r>
            <w:r w:rsidRPr="00D6671D">
              <w:rPr>
                <w:rFonts w:ascii="Arial" w:hAnsi="Arial" w:cs="Arial"/>
                <w:sz w:val="16"/>
                <w:szCs w:val="16"/>
                <w:lang w:val="fi-FI"/>
              </w:rPr>
              <w:lastRenderedPageBreak/>
              <w:t xml:space="preserve">Grupp büroosse aadressil Sõjakooli 11, 11316 Tallinn. Välisriigi ametiisiku poolt väljastatud iga dokument peab olema kas legaliseeritud või kinnitatud dokumenditunnistuse apostilliga ning tõlgitud inglise keelde. </w:t>
            </w:r>
          </w:p>
          <w:p w14:paraId="1376D7C4" w14:textId="77777777" w:rsidR="00F562D6" w:rsidRPr="00CC2AEA" w:rsidRDefault="00F562D6" w:rsidP="002B0EAB">
            <w:pPr>
              <w:jc w:val="both"/>
              <w:rPr>
                <w:rFonts w:ascii="Arial" w:hAnsi="Arial" w:cs="Arial"/>
                <w:sz w:val="16"/>
                <w:szCs w:val="16"/>
              </w:rPr>
            </w:pPr>
            <w:r>
              <w:rPr>
                <w:rFonts w:ascii="Arial" w:hAnsi="Arial" w:cs="Arial"/>
                <w:sz w:val="16"/>
                <w:szCs w:val="16"/>
              </w:rPr>
              <w:t>Märkimiskinnituses peavad sisalduma järgmised andmed:</w:t>
            </w:r>
          </w:p>
          <w:p w14:paraId="51404295" w14:textId="77777777" w:rsidR="0088723D" w:rsidRDefault="002C4434">
            <w:pPr>
              <w:pStyle w:val="ListParagraph"/>
              <w:numPr>
                <w:ilvl w:val="2"/>
                <w:numId w:val="65"/>
              </w:numPr>
              <w:spacing w:after="0" w:line="240" w:lineRule="auto"/>
              <w:ind w:left="318" w:hanging="284"/>
              <w:contextualSpacing w:val="0"/>
              <w:jc w:val="both"/>
              <w:rPr>
                <w:rFonts w:ascii="Arial" w:hAnsi="Arial"/>
                <w:sz w:val="16"/>
              </w:rPr>
            </w:pPr>
            <w:r>
              <w:rPr>
                <w:rFonts w:ascii="Arial" w:hAnsi="Arial"/>
                <w:sz w:val="16"/>
              </w:rPr>
              <w:t>investori nimi;</w:t>
            </w:r>
          </w:p>
          <w:p w14:paraId="294739CD" w14:textId="77777777" w:rsidR="0088723D" w:rsidRDefault="002C4434">
            <w:pPr>
              <w:pStyle w:val="ListParagraph"/>
              <w:numPr>
                <w:ilvl w:val="2"/>
                <w:numId w:val="65"/>
              </w:numPr>
              <w:spacing w:after="0" w:line="240" w:lineRule="auto"/>
              <w:ind w:left="318" w:hanging="284"/>
              <w:contextualSpacing w:val="0"/>
              <w:jc w:val="both"/>
              <w:rPr>
                <w:rFonts w:ascii="Arial" w:hAnsi="Arial"/>
                <w:sz w:val="16"/>
              </w:rPr>
            </w:pPr>
            <w:r>
              <w:rPr>
                <w:rFonts w:ascii="Arial" w:hAnsi="Arial"/>
                <w:sz w:val="16"/>
              </w:rPr>
              <w:t>investori isikukood või registreerimisnumber (või selle puudumisel tema sünniaeg);</w:t>
            </w:r>
          </w:p>
          <w:p w14:paraId="2C8147FD" w14:textId="77777777" w:rsidR="0088723D" w:rsidRDefault="002C4434">
            <w:pPr>
              <w:pStyle w:val="ListParagraph"/>
              <w:numPr>
                <w:ilvl w:val="2"/>
                <w:numId w:val="65"/>
              </w:numPr>
              <w:spacing w:after="0" w:line="240" w:lineRule="auto"/>
              <w:ind w:left="318" w:hanging="284"/>
              <w:contextualSpacing w:val="0"/>
              <w:jc w:val="both"/>
              <w:rPr>
                <w:rFonts w:ascii="Arial" w:hAnsi="Arial"/>
                <w:sz w:val="16"/>
              </w:rPr>
            </w:pPr>
            <w:r>
              <w:rPr>
                <w:rFonts w:ascii="Arial" w:hAnsi="Arial"/>
                <w:sz w:val="16"/>
              </w:rPr>
              <w:t>investori märgitavate Aktsiate arv;</w:t>
            </w:r>
          </w:p>
          <w:p w14:paraId="76B37891" w14:textId="476B1997" w:rsidR="0088723D" w:rsidRDefault="008774BE">
            <w:pPr>
              <w:pStyle w:val="ListParagraph"/>
              <w:numPr>
                <w:ilvl w:val="2"/>
                <w:numId w:val="65"/>
              </w:numPr>
              <w:spacing w:after="0" w:line="240" w:lineRule="auto"/>
              <w:ind w:left="318" w:hanging="284"/>
              <w:contextualSpacing w:val="0"/>
              <w:jc w:val="both"/>
              <w:rPr>
                <w:rFonts w:ascii="Arial" w:hAnsi="Arial"/>
                <w:sz w:val="16"/>
              </w:rPr>
            </w:pPr>
            <w:r w:rsidRPr="008774BE">
              <w:rPr>
                <w:rFonts w:ascii="Arial" w:hAnsi="Arial"/>
                <w:sz w:val="16"/>
              </w:rPr>
              <w:t xml:space="preserve">märkimishind (s.t kõrgeim hind Aktsia kohta, mida investor on nõus iga tema poolt märgitava Aktsia eest maksma; märkimishind peab olema Pakkumise hinnavahemikus, s.t </w:t>
            </w:r>
            <w:r w:rsidR="005C4FD0">
              <w:rPr>
                <w:rFonts w:ascii="Arial" w:hAnsi="Arial"/>
                <w:sz w:val="16"/>
              </w:rPr>
              <w:t>1,</w:t>
            </w:r>
            <w:r w:rsidR="001D5D83">
              <w:rPr>
                <w:rFonts w:ascii="Arial" w:hAnsi="Arial"/>
                <w:sz w:val="16"/>
              </w:rPr>
              <w:t>80</w:t>
            </w:r>
            <w:r w:rsidRPr="008774BE">
              <w:rPr>
                <w:rFonts w:ascii="Arial" w:hAnsi="Arial"/>
                <w:sz w:val="16"/>
              </w:rPr>
              <w:t xml:space="preserve"> eurot, </w:t>
            </w:r>
            <w:r w:rsidR="005C4FD0">
              <w:rPr>
                <w:rFonts w:ascii="Arial" w:hAnsi="Arial"/>
                <w:sz w:val="16"/>
              </w:rPr>
              <w:t>1,</w:t>
            </w:r>
            <w:r w:rsidR="001D5D83">
              <w:rPr>
                <w:rFonts w:ascii="Arial" w:hAnsi="Arial"/>
                <w:sz w:val="16"/>
              </w:rPr>
              <w:t>90</w:t>
            </w:r>
            <w:r w:rsidRPr="008774BE">
              <w:rPr>
                <w:rFonts w:ascii="Arial" w:hAnsi="Arial"/>
                <w:sz w:val="16"/>
              </w:rPr>
              <w:t xml:space="preserve"> eurot, </w:t>
            </w:r>
            <w:r w:rsidR="005C4FD0">
              <w:rPr>
                <w:rFonts w:ascii="Arial" w:hAnsi="Arial"/>
                <w:sz w:val="16"/>
              </w:rPr>
              <w:t>2,</w:t>
            </w:r>
            <w:r w:rsidR="001D5D83">
              <w:rPr>
                <w:rFonts w:ascii="Arial" w:hAnsi="Arial"/>
                <w:sz w:val="16"/>
              </w:rPr>
              <w:t>00</w:t>
            </w:r>
            <w:r w:rsidRPr="008774BE">
              <w:rPr>
                <w:rFonts w:ascii="Arial" w:hAnsi="Arial"/>
                <w:sz w:val="16"/>
              </w:rPr>
              <w:t xml:space="preserve"> eurot, </w:t>
            </w:r>
            <w:r w:rsidR="005C4FD0">
              <w:rPr>
                <w:rFonts w:ascii="Arial" w:hAnsi="Arial"/>
                <w:sz w:val="16"/>
              </w:rPr>
              <w:t>2,</w:t>
            </w:r>
            <w:r w:rsidR="001D5D83">
              <w:rPr>
                <w:rFonts w:ascii="Arial" w:hAnsi="Arial"/>
                <w:sz w:val="16"/>
              </w:rPr>
              <w:t>10</w:t>
            </w:r>
            <w:r w:rsidRPr="008774BE">
              <w:rPr>
                <w:rFonts w:ascii="Arial" w:hAnsi="Arial"/>
                <w:sz w:val="16"/>
              </w:rPr>
              <w:t xml:space="preserve"> eurot, </w:t>
            </w:r>
            <w:r w:rsidR="005C4FD0">
              <w:rPr>
                <w:rFonts w:ascii="Arial" w:hAnsi="Arial"/>
                <w:sz w:val="16"/>
              </w:rPr>
              <w:t>2,</w:t>
            </w:r>
            <w:r w:rsidR="001D5D83">
              <w:rPr>
                <w:rFonts w:ascii="Arial" w:hAnsi="Arial"/>
                <w:sz w:val="16"/>
              </w:rPr>
              <w:t>20</w:t>
            </w:r>
            <w:r w:rsidRPr="008774BE">
              <w:rPr>
                <w:rFonts w:ascii="Arial" w:hAnsi="Arial"/>
                <w:sz w:val="16"/>
              </w:rPr>
              <w:t xml:space="preserve"> eurot või </w:t>
            </w:r>
            <w:r w:rsidR="005C4FD0">
              <w:rPr>
                <w:rFonts w:ascii="Arial" w:hAnsi="Arial"/>
                <w:sz w:val="16"/>
              </w:rPr>
              <w:t>2,</w:t>
            </w:r>
            <w:r w:rsidR="001D5D83">
              <w:rPr>
                <w:rFonts w:ascii="Arial" w:hAnsi="Arial"/>
                <w:sz w:val="16"/>
              </w:rPr>
              <w:t>30</w:t>
            </w:r>
            <w:r w:rsidRPr="008774BE">
              <w:rPr>
                <w:rFonts w:ascii="Arial" w:hAnsi="Arial"/>
                <w:sz w:val="16"/>
              </w:rPr>
              <w:t xml:space="preserve"> eurot)</w:t>
            </w:r>
            <w:r w:rsidR="002C4434">
              <w:rPr>
                <w:rFonts w:ascii="Arial" w:hAnsi="Arial"/>
                <w:sz w:val="16"/>
              </w:rPr>
              <w:t>;</w:t>
            </w:r>
          </w:p>
          <w:p w14:paraId="5E2553B3" w14:textId="77777777" w:rsidR="0088723D" w:rsidRDefault="002C4434">
            <w:pPr>
              <w:pStyle w:val="ListParagraph"/>
              <w:numPr>
                <w:ilvl w:val="2"/>
                <w:numId w:val="65"/>
              </w:numPr>
              <w:spacing w:after="0" w:line="240" w:lineRule="auto"/>
              <w:ind w:left="318" w:hanging="284"/>
              <w:contextualSpacing w:val="0"/>
              <w:jc w:val="both"/>
              <w:rPr>
                <w:rFonts w:ascii="Arial" w:hAnsi="Arial"/>
                <w:sz w:val="16"/>
              </w:rPr>
            </w:pPr>
            <w:r>
              <w:rPr>
                <w:rFonts w:ascii="Arial" w:hAnsi="Arial"/>
                <w:sz w:val="16"/>
              </w:rPr>
              <w:t xml:space="preserve">andmed väärtpaberiregistris avatud väärtpaberikonto kohta, millele tuleb emiteeritud Aktsiad üle kanda, sealhulgas: a) väärtpaberikonto omaniku nimi ja b) väärtpaberikonto number; </w:t>
            </w:r>
          </w:p>
          <w:p w14:paraId="5908F223" w14:textId="77777777" w:rsidR="0088723D" w:rsidRDefault="002C4434">
            <w:pPr>
              <w:pStyle w:val="ListParagraph"/>
              <w:numPr>
                <w:ilvl w:val="2"/>
                <w:numId w:val="65"/>
              </w:numPr>
              <w:spacing w:after="0" w:line="240" w:lineRule="auto"/>
              <w:ind w:left="318" w:hanging="284"/>
              <w:contextualSpacing w:val="0"/>
              <w:jc w:val="both"/>
              <w:rPr>
                <w:rFonts w:ascii="Arial" w:hAnsi="Arial"/>
                <w:sz w:val="16"/>
              </w:rPr>
            </w:pPr>
            <w:r>
              <w:rPr>
                <w:rFonts w:ascii="Arial" w:hAnsi="Arial"/>
                <w:sz w:val="16"/>
              </w:rPr>
              <w:t xml:space="preserve">selle pangakonto number (IBAN), millelt märkimishind makstakse; </w:t>
            </w:r>
          </w:p>
          <w:p w14:paraId="473E0913" w14:textId="337D93A0" w:rsidR="0088723D" w:rsidRPr="00E22875" w:rsidRDefault="002C4434">
            <w:pPr>
              <w:pStyle w:val="ListParagraph"/>
              <w:numPr>
                <w:ilvl w:val="2"/>
                <w:numId w:val="65"/>
              </w:numPr>
              <w:spacing w:after="0" w:line="240" w:lineRule="auto"/>
              <w:ind w:left="318" w:hanging="284"/>
              <w:contextualSpacing w:val="0"/>
              <w:jc w:val="both"/>
              <w:rPr>
                <w:rFonts w:ascii="Arial" w:hAnsi="Arial"/>
                <w:sz w:val="16"/>
              </w:rPr>
            </w:pPr>
            <w:r>
              <w:rPr>
                <w:rFonts w:ascii="Arial" w:hAnsi="Arial"/>
                <w:sz w:val="16"/>
              </w:rPr>
              <w:t xml:space="preserve">investori kinnitus, et: (a) investor on teadlik kõikidest Prospektis esitatud andmetest, aktsepteerib kõiki Pakkumise tingimusi ja nõustub nende kohaldamisega Äriühingu poolt; (b) investorile suunatud Pakkumine ja Aktsiate väljaandmine vastavalt märkimiskinnitusele ei nõua täiendavat registreerimist, emissiooniprospekti ega muid meetmeid lisaks nendele, mis on Eesti seaduste kohaselt kohustuslikud ja mida Äriühing on võtnud; (c) investor tunnistab ja nõustub, et märkimiskinnituse esitamisega võtab ta enesele </w:t>
            </w:r>
            <w:r w:rsidRPr="00E22875">
              <w:rPr>
                <w:rFonts w:ascii="Arial" w:hAnsi="Arial"/>
                <w:sz w:val="16"/>
              </w:rPr>
              <w:t xml:space="preserve">kohustuse omandada Aktsiad, mis märkimiskinnituse alusel märgitakse ja Äriühingu poolt eraldatakse; (d) investor mõistab, et kui märkimishind on </w:t>
            </w:r>
            <w:r w:rsidR="001D5D83" w:rsidRPr="00E22875">
              <w:rPr>
                <w:rFonts w:ascii="Arial" w:hAnsi="Arial"/>
                <w:sz w:val="16"/>
              </w:rPr>
              <w:t xml:space="preserve">madalam </w:t>
            </w:r>
            <w:r w:rsidR="00D35F95" w:rsidRPr="00D6671D">
              <w:rPr>
                <w:rFonts w:ascii="Arial" w:hAnsi="Arial"/>
                <w:sz w:val="16"/>
              </w:rPr>
              <w:t xml:space="preserve">nõukogu poolt kindlaks määratud </w:t>
            </w:r>
            <w:r w:rsidRPr="00E22875">
              <w:rPr>
                <w:rFonts w:ascii="Arial" w:hAnsi="Arial"/>
                <w:sz w:val="16"/>
              </w:rPr>
              <w:t>pakkumishinnast</w:t>
            </w:r>
            <w:r w:rsidR="00CE1139" w:rsidRPr="00D6671D">
              <w:rPr>
                <w:rFonts w:ascii="Arial" w:hAnsi="Arial"/>
                <w:sz w:val="16"/>
              </w:rPr>
              <w:t xml:space="preserve">, </w:t>
            </w:r>
            <w:r w:rsidRPr="00E22875">
              <w:rPr>
                <w:rFonts w:ascii="Arial" w:hAnsi="Arial"/>
                <w:sz w:val="16"/>
              </w:rPr>
              <w:t>siis talle märkimiskinnituse alusel Aktsiaid välja ei anta; (e) kõik märkimiskinnituses ja selle lisades esitatud andmed on kõikides aspektides õiged, täielikud ja täpsed; (f) investor nõustub, et kui ta ei ole Aktsiaid märkinud vastavalt kõigile Prospektis sätestatud nõuetele (sealhulgas juhul, kui märkimiskinnitus ei vasta kõikidele nõuetele või kui märkimiskinnitus esitatakse või märkimishind makstakse pärast asjakohase tähtaja lõppu jne), on Äriühingul õigus (kuid mitte kohustus) mittevastavustele vaatamata anda Aktsiad märkimiskinnituse alusel välja ja investor on koh</w:t>
            </w:r>
            <w:r w:rsidR="004F0F47" w:rsidRPr="00E22875">
              <w:rPr>
                <w:rFonts w:ascii="Arial" w:hAnsi="Arial"/>
                <w:sz w:val="16"/>
              </w:rPr>
              <w:t>ustatud need Aktsiad omandama</w:t>
            </w:r>
            <w:r w:rsidR="009056FE" w:rsidRPr="00E22875">
              <w:rPr>
                <w:rFonts w:ascii="Arial" w:hAnsi="Arial"/>
                <w:sz w:val="16"/>
              </w:rPr>
              <w:t xml:space="preserve">, (g) investor nõustub, et iga Aktsia eest makstava lõpliku pakkumishinna määrab </w:t>
            </w:r>
            <w:r w:rsidR="00D35F95" w:rsidRPr="00D6671D">
              <w:rPr>
                <w:rFonts w:ascii="Arial" w:hAnsi="Arial"/>
                <w:sz w:val="16"/>
              </w:rPr>
              <w:t xml:space="preserve">pärast </w:t>
            </w:r>
            <w:r w:rsidR="00D35F95" w:rsidRPr="00D6671D">
              <w:rPr>
                <w:rFonts w:ascii="Arial" w:hAnsi="Arial" w:cs="Arial"/>
                <w:sz w:val="16"/>
                <w:szCs w:val="16"/>
              </w:rPr>
              <w:t>pakkumisperioodi lõppu</w:t>
            </w:r>
            <w:r w:rsidR="00D35F95" w:rsidRPr="00D6671D">
              <w:rPr>
                <w:rFonts w:ascii="Arial" w:hAnsi="Arial"/>
                <w:sz w:val="16"/>
              </w:rPr>
              <w:t xml:space="preserve"> </w:t>
            </w:r>
            <w:r w:rsidR="009056FE" w:rsidRPr="00E22875">
              <w:rPr>
                <w:rFonts w:ascii="Arial" w:hAnsi="Arial"/>
                <w:sz w:val="16"/>
              </w:rPr>
              <w:t>kindlaks nõukogu</w:t>
            </w:r>
            <w:r w:rsidR="009056FE" w:rsidRPr="00E22875">
              <w:rPr>
                <w:rFonts w:ascii="Arial" w:hAnsi="Arial" w:cs="Arial"/>
                <w:sz w:val="16"/>
                <w:szCs w:val="16"/>
              </w:rPr>
              <w:t xml:space="preserve">, vastavalt Prospekti punktis 24.6.3 toodud korrale ja Äriühing võib </w:t>
            </w:r>
            <w:r w:rsidR="00FD22E9" w:rsidRPr="00D6671D">
              <w:rPr>
                <w:rFonts w:ascii="Arial" w:hAnsi="Arial" w:cs="Arial"/>
                <w:sz w:val="16"/>
                <w:szCs w:val="16"/>
              </w:rPr>
              <w:t xml:space="preserve">investoritele </w:t>
            </w:r>
            <w:r w:rsidR="009056FE" w:rsidRPr="00E22875">
              <w:rPr>
                <w:rFonts w:ascii="Arial" w:hAnsi="Arial" w:cs="Arial"/>
                <w:sz w:val="16"/>
                <w:szCs w:val="16"/>
              </w:rPr>
              <w:t>emiteerida 1 kuni 6 000 000 Aktsiat.</w:t>
            </w:r>
            <w:r w:rsidR="00D35F95" w:rsidRPr="00E22875">
              <w:rPr>
                <w:rFonts w:ascii="Arial" w:hAnsi="Arial" w:cs="Arial"/>
                <w:sz w:val="16"/>
                <w:szCs w:val="16"/>
              </w:rPr>
              <w:t xml:space="preserve"> </w:t>
            </w:r>
          </w:p>
          <w:p w14:paraId="31EEE802" w14:textId="5E47D27D" w:rsidR="004F0F47" w:rsidRDefault="004F0F47" w:rsidP="004F0F47">
            <w:pPr>
              <w:pStyle w:val="ListParagraph"/>
              <w:spacing w:after="0" w:line="240" w:lineRule="auto"/>
              <w:ind w:left="5"/>
              <w:contextualSpacing w:val="0"/>
              <w:jc w:val="both"/>
              <w:rPr>
                <w:rFonts w:ascii="Arial" w:hAnsi="Arial"/>
                <w:sz w:val="16"/>
              </w:rPr>
            </w:pPr>
            <w:r w:rsidRPr="00E22875">
              <w:rPr>
                <w:rFonts w:ascii="Arial" w:hAnsi="Arial"/>
                <w:sz w:val="16"/>
              </w:rPr>
              <w:t xml:space="preserve">Lisaks võib iga olemasolev aktsionär, kellel on aktsiate omandamise eesõigus, (a) kasutada seda eesõigust kohaldatavates õigusaktides sätestatud korras ja (b) osutada oma märkimiskinnituses, millisel arvul Aktsiaid ta soovib märkida Pakkumise hinnavahemikku jääva iga võimaliku pakkumishinna </w:t>
            </w:r>
            <w:r w:rsidRPr="004F0F47">
              <w:rPr>
                <w:rFonts w:ascii="Arial" w:hAnsi="Arial"/>
                <w:sz w:val="16"/>
              </w:rPr>
              <w:t xml:space="preserve">eest (s.t märgitavate Aktsiate arv juhul, kui pakkumishind on </w:t>
            </w:r>
            <w:r w:rsidR="001D5D83" w:rsidRPr="00D6671D">
              <w:rPr>
                <w:rFonts w:ascii="Arial" w:hAnsi="Arial"/>
                <w:sz w:val="16"/>
              </w:rPr>
              <w:t>1</w:t>
            </w:r>
            <w:r w:rsidR="005C4FD0" w:rsidRPr="00D6671D">
              <w:rPr>
                <w:rFonts w:ascii="Arial" w:hAnsi="Arial"/>
                <w:sz w:val="16"/>
              </w:rPr>
              <w:t>,</w:t>
            </w:r>
            <w:r w:rsidR="001D5D83" w:rsidRPr="00D6671D">
              <w:rPr>
                <w:rFonts w:ascii="Arial" w:hAnsi="Arial"/>
                <w:sz w:val="16"/>
              </w:rPr>
              <w:t>80</w:t>
            </w:r>
            <w:r w:rsidR="008774BE" w:rsidRPr="00D6671D">
              <w:rPr>
                <w:rFonts w:ascii="Arial" w:hAnsi="Arial"/>
                <w:sz w:val="16"/>
              </w:rPr>
              <w:t xml:space="preserve"> </w:t>
            </w:r>
            <w:r w:rsidRPr="004F0F47">
              <w:rPr>
                <w:rFonts w:ascii="Arial" w:hAnsi="Arial"/>
                <w:sz w:val="16"/>
              </w:rPr>
              <w:t xml:space="preserve">eurot aktsia kohta; </w:t>
            </w:r>
            <w:r w:rsidR="001D5D83" w:rsidRPr="00D6671D">
              <w:rPr>
                <w:rFonts w:ascii="Arial" w:hAnsi="Arial"/>
                <w:sz w:val="16"/>
              </w:rPr>
              <w:t>1</w:t>
            </w:r>
            <w:r w:rsidR="005C4FD0" w:rsidRPr="00D6671D">
              <w:rPr>
                <w:rFonts w:ascii="Arial" w:hAnsi="Arial"/>
                <w:sz w:val="16"/>
              </w:rPr>
              <w:t>,</w:t>
            </w:r>
            <w:r w:rsidR="001D5D83" w:rsidRPr="00D6671D">
              <w:rPr>
                <w:rFonts w:ascii="Arial" w:hAnsi="Arial"/>
                <w:sz w:val="16"/>
              </w:rPr>
              <w:t>90</w:t>
            </w:r>
            <w:r w:rsidR="008774BE" w:rsidRPr="00D6671D">
              <w:rPr>
                <w:rFonts w:ascii="Arial" w:hAnsi="Arial"/>
                <w:sz w:val="16"/>
              </w:rPr>
              <w:t xml:space="preserve"> </w:t>
            </w:r>
            <w:r w:rsidRPr="004F0F47">
              <w:rPr>
                <w:rFonts w:ascii="Arial" w:hAnsi="Arial"/>
                <w:sz w:val="16"/>
              </w:rPr>
              <w:t xml:space="preserve">eurot aktsia kohta; </w:t>
            </w:r>
            <w:r w:rsidR="001D5D83" w:rsidRPr="00D6671D">
              <w:rPr>
                <w:rFonts w:ascii="Arial" w:hAnsi="Arial"/>
                <w:sz w:val="16"/>
              </w:rPr>
              <w:t>2</w:t>
            </w:r>
            <w:r w:rsidR="005C4FD0" w:rsidRPr="00D6671D">
              <w:rPr>
                <w:rFonts w:ascii="Arial" w:hAnsi="Arial"/>
                <w:sz w:val="16"/>
              </w:rPr>
              <w:t>,</w:t>
            </w:r>
            <w:r w:rsidR="001D5D83" w:rsidRPr="00D6671D">
              <w:rPr>
                <w:rFonts w:ascii="Arial" w:hAnsi="Arial"/>
                <w:sz w:val="16"/>
              </w:rPr>
              <w:t>00</w:t>
            </w:r>
            <w:r w:rsidR="008774BE" w:rsidRPr="00D6671D">
              <w:rPr>
                <w:rFonts w:ascii="Arial" w:hAnsi="Arial"/>
                <w:sz w:val="16"/>
              </w:rPr>
              <w:t xml:space="preserve"> </w:t>
            </w:r>
            <w:r w:rsidRPr="004F0F47">
              <w:rPr>
                <w:rFonts w:ascii="Arial" w:hAnsi="Arial"/>
                <w:sz w:val="16"/>
              </w:rPr>
              <w:t xml:space="preserve">eurot aktsia kohta; </w:t>
            </w:r>
            <w:r w:rsidR="001D5D83" w:rsidRPr="00D6671D">
              <w:rPr>
                <w:rFonts w:ascii="Arial" w:hAnsi="Arial"/>
                <w:sz w:val="16"/>
              </w:rPr>
              <w:t>2</w:t>
            </w:r>
            <w:r w:rsidR="005C4FD0" w:rsidRPr="00D6671D">
              <w:rPr>
                <w:rFonts w:ascii="Arial" w:hAnsi="Arial"/>
                <w:sz w:val="16"/>
              </w:rPr>
              <w:t>,</w:t>
            </w:r>
            <w:r w:rsidR="001D5D83" w:rsidRPr="00D6671D">
              <w:rPr>
                <w:rFonts w:ascii="Arial" w:hAnsi="Arial"/>
                <w:sz w:val="16"/>
              </w:rPr>
              <w:t>10</w:t>
            </w:r>
            <w:r w:rsidR="008774BE" w:rsidRPr="00D6671D">
              <w:rPr>
                <w:rFonts w:ascii="Arial" w:hAnsi="Arial"/>
                <w:sz w:val="16"/>
              </w:rPr>
              <w:t xml:space="preserve"> </w:t>
            </w:r>
            <w:r w:rsidRPr="004F0F47">
              <w:rPr>
                <w:rFonts w:ascii="Arial" w:hAnsi="Arial"/>
                <w:sz w:val="16"/>
              </w:rPr>
              <w:t xml:space="preserve">eurot aktsia kohta; </w:t>
            </w:r>
            <w:r w:rsidR="001D5D83" w:rsidRPr="00D6671D">
              <w:rPr>
                <w:rFonts w:ascii="Arial" w:hAnsi="Arial"/>
                <w:sz w:val="16"/>
              </w:rPr>
              <w:t>2</w:t>
            </w:r>
            <w:r w:rsidR="005C4FD0" w:rsidRPr="00D6671D">
              <w:rPr>
                <w:rFonts w:ascii="Arial" w:hAnsi="Arial"/>
                <w:sz w:val="16"/>
              </w:rPr>
              <w:t>,</w:t>
            </w:r>
            <w:r w:rsidR="001D5D83" w:rsidRPr="00D6671D">
              <w:rPr>
                <w:rFonts w:ascii="Arial" w:hAnsi="Arial"/>
                <w:sz w:val="16"/>
              </w:rPr>
              <w:t>20</w:t>
            </w:r>
            <w:r w:rsidR="008774BE" w:rsidRPr="00D6671D">
              <w:rPr>
                <w:rFonts w:ascii="Arial" w:hAnsi="Arial"/>
                <w:sz w:val="16"/>
              </w:rPr>
              <w:t xml:space="preserve"> </w:t>
            </w:r>
            <w:r w:rsidRPr="004F0F47">
              <w:rPr>
                <w:rFonts w:ascii="Arial" w:hAnsi="Arial"/>
                <w:sz w:val="16"/>
              </w:rPr>
              <w:t xml:space="preserve">eurot aktsia kohta ja </w:t>
            </w:r>
            <w:r w:rsidR="001D5D83" w:rsidRPr="00D6671D">
              <w:rPr>
                <w:rFonts w:ascii="Arial" w:hAnsi="Arial"/>
                <w:sz w:val="16"/>
              </w:rPr>
              <w:t>2</w:t>
            </w:r>
            <w:r w:rsidR="005C4FD0" w:rsidRPr="00D6671D">
              <w:rPr>
                <w:rFonts w:ascii="Arial" w:hAnsi="Arial"/>
                <w:sz w:val="16"/>
              </w:rPr>
              <w:t>,</w:t>
            </w:r>
            <w:r w:rsidR="001D5D83" w:rsidRPr="00D6671D">
              <w:rPr>
                <w:rFonts w:ascii="Arial" w:hAnsi="Arial"/>
                <w:sz w:val="16"/>
              </w:rPr>
              <w:t>30</w:t>
            </w:r>
            <w:r w:rsidR="008774BE" w:rsidRPr="00D6671D">
              <w:rPr>
                <w:rFonts w:ascii="Arial" w:hAnsi="Arial"/>
                <w:sz w:val="16"/>
              </w:rPr>
              <w:t xml:space="preserve"> </w:t>
            </w:r>
            <w:r w:rsidRPr="004F0F47">
              <w:rPr>
                <w:rFonts w:ascii="Arial" w:hAnsi="Arial"/>
                <w:sz w:val="16"/>
              </w:rPr>
              <w:t>eurot aktsia kohta)</w:t>
            </w:r>
            <w:r>
              <w:rPr>
                <w:rFonts w:ascii="Arial" w:hAnsi="Arial"/>
                <w:sz w:val="16"/>
              </w:rPr>
              <w:t>.</w:t>
            </w:r>
          </w:p>
          <w:p w14:paraId="354760DB" w14:textId="77777777" w:rsidR="00F562D6" w:rsidRPr="00D6671D" w:rsidRDefault="00F562D6" w:rsidP="002B0EAB">
            <w:pPr>
              <w:jc w:val="both"/>
              <w:rPr>
                <w:rFonts w:ascii="Arial" w:hAnsi="Arial" w:cs="Arial"/>
                <w:sz w:val="16"/>
                <w:szCs w:val="16"/>
                <w:lang w:val="fi-FI"/>
              </w:rPr>
            </w:pPr>
            <w:r w:rsidRPr="00D6671D">
              <w:rPr>
                <w:rFonts w:ascii="Arial" w:hAnsi="Arial" w:cs="Arial"/>
                <w:sz w:val="16"/>
                <w:szCs w:val="16"/>
                <w:lang w:val="fi-FI"/>
              </w:rPr>
              <w:t xml:space="preserve">Kui investor esitab mitu märkimiskinnitust, käsitleb Äriühing neid üheainsa märkimiskinnitusena, mis on esitatud kõigis kinnitustes esitatud Aktsiate koguarvu märkimiseks.  </w:t>
            </w:r>
          </w:p>
          <w:p w14:paraId="0E5B7A05" w14:textId="77777777" w:rsidR="00F562D6" w:rsidRPr="00D6671D" w:rsidRDefault="008774BE" w:rsidP="002B0EAB">
            <w:pPr>
              <w:jc w:val="both"/>
              <w:rPr>
                <w:rFonts w:ascii="Arial" w:hAnsi="Arial" w:cs="Arial"/>
                <w:sz w:val="16"/>
                <w:szCs w:val="16"/>
                <w:lang w:val="fi-FI"/>
              </w:rPr>
            </w:pPr>
            <w:r w:rsidRPr="00D6671D">
              <w:rPr>
                <w:rFonts w:ascii="Arial" w:hAnsi="Arial" w:cs="Arial"/>
                <w:sz w:val="16"/>
                <w:szCs w:val="16"/>
                <w:lang w:val="fi-FI"/>
              </w:rPr>
              <w:t>Investor võib märkimiskinnitust muuta või selle tühistada kuni pakkumisperioodi lõppemiseni 4. oktoobril 2017</w:t>
            </w:r>
            <w:r w:rsidR="00F562D6" w:rsidRPr="00D6671D">
              <w:rPr>
                <w:rFonts w:ascii="Arial" w:hAnsi="Arial" w:cs="Arial"/>
                <w:sz w:val="16"/>
                <w:szCs w:val="16"/>
                <w:lang w:val="fi-FI"/>
              </w:rPr>
              <w:t>. Kui Äriühing avaldab Prospekti lisa, on investoritel, kes esitasid märkimiskinnituse enne lisa kohta teate avaldamist, õigus oma märkimiskinnitus tühistada 2 (kahe) tööpäeva jooksul pärast lisa kohta teate avaldamist. Investorid, kes oma märkimiskinnitust ülalnimetatud perioodi jooksul ei tühista, loetakse nõustuvat kõigi lisas esitatud muudatustega.</w:t>
            </w:r>
          </w:p>
          <w:p w14:paraId="6664B7BA" w14:textId="77777777" w:rsidR="00F562D6" w:rsidRPr="00D6671D" w:rsidRDefault="00F562D6" w:rsidP="002B0EAB">
            <w:pPr>
              <w:jc w:val="both"/>
              <w:rPr>
                <w:rFonts w:ascii="Arial" w:hAnsi="Arial" w:cs="Arial"/>
                <w:sz w:val="16"/>
                <w:szCs w:val="16"/>
                <w:lang w:val="fi-FI"/>
              </w:rPr>
            </w:pPr>
            <w:r w:rsidRPr="00D6671D">
              <w:rPr>
                <w:rFonts w:ascii="Arial" w:hAnsi="Arial" w:cs="Arial"/>
                <w:sz w:val="16"/>
                <w:szCs w:val="16"/>
                <w:lang w:val="fi-FI"/>
              </w:rPr>
              <w:t xml:space="preserve">Märkimiskinnituse tühistamiseks või muutmiseks peab investor edastama teate, milles on märgitud (a) märkimiskinnitus, mida ta soovib tühistada või muuta, ja (b) muudatuste korral vastavad muudatused. Teate edastamisel tuleb järgida märkimiskinnituste esitamise suhtes kohaldatavat korda. </w:t>
            </w:r>
          </w:p>
          <w:p w14:paraId="40E95754" w14:textId="77777777" w:rsidR="00F562D6" w:rsidRPr="00CC2AEA" w:rsidRDefault="00F562D6" w:rsidP="002B0EAB">
            <w:pPr>
              <w:jc w:val="both"/>
              <w:rPr>
                <w:rFonts w:ascii="Arial" w:hAnsi="Arial" w:cs="Arial"/>
                <w:sz w:val="16"/>
                <w:szCs w:val="16"/>
              </w:rPr>
            </w:pPr>
            <w:r w:rsidRPr="00D6671D">
              <w:rPr>
                <w:rFonts w:ascii="Arial" w:hAnsi="Arial" w:cs="Arial"/>
                <w:sz w:val="16"/>
                <w:szCs w:val="16"/>
                <w:lang w:val="fi-FI"/>
              </w:rPr>
              <w:t xml:space="preserve">Investor, kes on esitanud märkimiskinnituse, peab tasuma Aktsiate märkimishinna vastavalt märkimiskinnitusele. </w:t>
            </w:r>
            <w:r>
              <w:rPr>
                <w:rFonts w:ascii="Arial" w:hAnsi="Arial" w:cs="Arial"/>
                <w:sz w:val="16"/>
                <w:szCs w:val="16"/>
              </w:rPr>
              <w:t>Makse tuleb teha järgmiselt:</w:t>
            </w:r>
          </w:p>
          <w:p w14:paraId="52C7F58D" w14:textId="77777777" w:rsidR="0088723D" w:rsidRDefault="002B0EAB">
            <w:pPr>
              <w:pStyle w:val="ListParagraph"/>
              <w:numPr>
                <w:ilvl w:val="2"/>
                <w:numId w:val="66"/>
              </w:numPr>
              <w:spacing w:after="0" w:line="240" w:lineRule="auto"/>
              <w:ind w:left="318" w:hanging="284"/>
              <w:contextualSpacing w:val="0"/>
              <w:jc w:val="both"/>
              <w:rPr>
                <w:rFonts w:ascii="Arial" w:hAnsi="Arial"/>
                <w:sz w:val="16"/>
              </w:rPr>
            </w:pPr>
            <w:r w:rsidRPr="002B0EAB">
              <w:rPr>
                <w:rFonts w:ascii="Arial" w:hAnsi="Arial"/>
                <w:sz w:val="16"/>
              </w:rPr>
              <w:t>ülekanne peab toimuma hiljemalt pakkumisperioodi viimasel päeval; makse tuleb teha ülekandega Äriühingu pangakontole EE727700771000914548 (AS LHV Pank Tartu mnt 2, 10145 Tallinn, BIC/SWIFT: LHVBEE22)</w:t>
            </w:r>
            <w:r w:rsidR="002C4434">
              <w:rPr>
                <w:rFonts w:ascii="Arial" w:hAnsi="Arial"/>
                <w:sz w:val="16"/>
              </w:rPr>
              <w:t>;</w:t>
            </w:r>
          </w:p>
          <w:p w14:paraId="5C23F95D" w14:textId="77777777" w:rsidR="0088723D" w:rsidRDefault="002C4434">
            <w:pPr>
              <w:pStyle w:val="ListParagraph"/>
              <w:numPr>
                <w:ilvl w:val="2"/>
                <w:numId w:val="66"/>
              </w:numPr>
              <w:spacing w:after="0" w:line="240" w:lineRule="auto"/>
              <w:ind w:left="318" w:hanging="284"/>
              <w:contextualSpacing w:val="0"/>
              <w:jc w:val="both"/>
              <w:rPr>
                <w:rFonts w:ascii="Arial" w:hAnsi="Arial"/>
                <w:sz w:val="16"/>
              </w:rPr>
            </w:pPr>
            <w:r>
              <w:rPr>
                <w:rFonts w:ascii="Arial" w:hAnsi="Arial"/>
                <w:sz w:val="16"/>
              </w:rPr>
              <w:t>ülekandekorralduse selgituses tuleb märkida olemasoleva aktsionäri nimi ja märkimiskinnituse kuupäev;</w:t>
            </w:r>
          </w:p>
          <w:p w14:paraId="6B224823" w14:textId="77777777" w:rsidR="0088723D" w:rsidRDefault="002C4434">
            <w:pPr>
              <w:pStyle w:val="ListParagraph"/>
              <w:numPr>
                <w:ilvl w:val="2"/>
                <w:numId w:val="66"/>
              </w:numPr>
              <w:spacing w:after="0" w:line="240" w:lineRule="auto"/>
              <w:ind w:left="318" w:hanging="284"/>
              <w:contextualSpacing w:val="0"/>
              <w:jc w:val="both"/>
              <w:rPr>
                <w:rFonts w:ascii="Arial" w:hAnsi="Arial"/>
                <w:sz w:val="16"/>
              </w:rPr>
            </w:pPr>
            <w:r>
              <w:rPr>
                <w:rFonts w:ascii="Arial" w:hAnsi="Arial"/>
                <w:sz w:val="16"/>
              </w:rPr>
              <w:t>Äriühingule makstav summa peab olema võrdne märkimiskinnituses märgitud Aktsiate arvu ja märkimiskinnituses märgitud märkimishinna korrutisega.</w:t>
            </w:r>
          </w:p>
          <w:p w14:paraId="1D366160" w14:textId="77777777" w:rsidR="00F562D6" w:rsidRPr="00D6671D" w:rsidRDefault="00F562D6" w:rsidP="002B0EAB">
            <w:pPr>
              <w:jc w:val="both"/>
              <w:rPr>
                <w:rFonts w:ascii="Arial" w:hAnsi="Arial" w:cs="Arial"/>
                <w:sz w:val="16"/>
                <w:szCs w:val="16"/>
                <w:lang w:val="fi-FI"/>
              </w:rPr>
            </w:pPr>
            <w:r w:rsidRPr="00D6671D">
              <w:rPr>
                <w:rFonts w:ascii="Arial" w:hAnsi="Arial" w:cs="Arial"/>
                <w:sz w:val="16"/>
                <w:szCs w:val="16"/>
                <w:lang w:val="fi-FI"/>
              </w:rPr>
              <w:t>Äriühing eraldab Aktsiaid olemasolevatele investoritele järgmistes osades:</w:t>
            </w:r>
          </w:p>
          <w:p w14:paraId="4A4260B0" w14:textId="64F5340D" w:rsidR="00F562D6" w:rsidRPr="00D6671D" w:rsidRDefault="00F562D6" w:rsidP="002B0EAB">
            <w:pPr>
              <w:jc w:val="both"/>
              <w:rPr>
                <w:rFonts w:ascii="Arial" w:hAnsi="Arial" w:cs="Arial"/>
                <w:sz w:val="16"/>
                <w:szCs w:val="16"/>
                <w:lang w:val="fi-FI"/>
              </w:rPr>
            </w:pPr>
            <w:r w:rsidRPr="00D6671D">
              <w:rPr>
                <w:rFonts w:ascii="Arial" w:hAnsi="Arial"/>
                <w:sz w:val="16"/>
                <w:szCs w:val="16"/>
                <w:lang w:val="fi-FI"/>
              </w:rPr>
              <w:t xml:space="preserve">1. </w:t>
            </w:r>
            <w:r w:rsidR="002B0EAB" w:rsidRPr="00D6671D">
              <w:rPr>
                <w:rFonts w:ascii="Arial" w:hAnsi="Arial"/>
                <w:sz w:val="16"/>
                <w:szCs w:val="16"/>
                <w:lang w:val="fi-FI"/>
              </w:rPr>
              <w:t>esiteks on igal olemasoleval aktsionäril õigus omandada ja talle eraldatakse sellisel arvul Aktsiaid, mis on proportsionaalne väärtpaberiregistris registreeritud andmete alusel olemasolevate aktsionäride nimekirja kindlaksmääramise hetkel (s.t väärtpaberiregistri 4. oktoobri 2017. aasta tööpäeva lõpu seisuga (või kell 23.59 (Tallinna aja järgi), kui väärtpaberiregister ei ole selleks kuupäevaks liitunud väärtpaberiarvelduste ühisplatvormiga TARGET2-Securities) talle kuuluvate aktsiate arvuga</w:t>
            </w:r>
            <w:r w:rsidRPr="00D6671D">
              <w:rPr>
                <w:rFonts w:ascii="Arial" w:hAnsi="Arial"/>
                <w:sz w:val="16"/>
                <w:szCs w:val="16"/>
                <w:lang w:val="fi-FI"/>
              </w:rPr>
              <w:t>. Olemasolevale aktsionärile selles osas eraldatavate Aktsiate maksimaalne arv arvutatakse järgmise valemi järgi ja tulemus ümardatakse allapoole täisarvuni: S</w:t>
            </w:r>
            <w:r w:rsidRPr="00D6671D">
              <w:rPr>
                <w:rFonts w:ascii="Arial" w:hAnsi="Arial"/>
                <w:sz w:val="16"/>
                <w:vertAlign w:val="subscript"/>
                <w:lang w:val="fi-FI"/>
              </w:rPr>
              <w:t>m</w:t>
            </w:r>
            <w:r w:rsidRPr="00D6671D">
              <w:rPr>
                <w:rFonts w:ascii="Arial" w:hAnsi="Arial"/>
                <w:sz w:val="16"/>
                <w:szCs w:val="16"/>
                <w:lang w:val="fi-FI"/>
              </w:rPr>
              <w:t xml:space="preserve"> = S</w:t>
            </w:r>
            <w:r w:rsidRPr="00D6671D">
              <w:rPr>
                <w:rFonts w:ascii="Arial" w:hAnsi="Arial"/>
                <w:sz w:val="16"/>
                <w:vertAlign w:val="subscript"/>
                <w:lang w:val="fi-FI"/>
              </w:rPr>
              <w:t>a</w:t>
            </w:r>
            <w:r w:rsidRPr="00D6671D">
              <w:rPr>
                <w:rFonts w:ascii="Arial" w:hAnsi="Arial"/>
                <w:sz w:val="16"/>
                <w:szCs w:val="16"/>
                <w:lang w:val="fi-FI"/>
              </w:rPr>
              <w:t xml:space="preserve"> x s</w:t>
            </w:r>
            <w:r w:rsidRPr="00D6671D">
              <w:rPr>
                <w:rFonts w:ascii="Arial" w:hAnsi="Arial"/>
                <w:sz w:val="16"/>
                <w:vertAlign w:val="subscript"/>
                <w:lang w:val="fi-FI"/>
              </w:rPr>
              <w:t>e</w:t>
            </w:r>
            <w:r w:rsidRPr="00D6671D">
              <w:rPr>
                <w:rFonts w:ascii="Arial" w:hAnsi="Arial"/>
                <w:sz w:val="16"/>
                <w:szCs w:val="16"/>
                <w:lang w:val="fi-FI"/>
              </w:rPr>
              <w:t xml:space="preserve"> / s</w:t>
            </w:r>
            <w:r w:rsidRPr="00D6671D">
              <w:rPr>
                <w:rFonts w:ascii="Arial" w:hAnsi="Arial"/>
                <w:sz w:val="16"/>
                <w:vertAlign w:val="subscript"/>
                <w:lang w:val="fi-FI"/>
              </w:rPr>
              <w:t>a</w:t>
            </w:r>
            <w:r w:rsidRPr="00D6671D">
              <w:rPr>
                <w:rFonts w:ascii="Arial" w:hAnsi="Arial"/>
                <w:sz w:val="16"/>
                <w:szCs w:val="16"/>
                <w:vertAlign w:val="subscript"/>
                <w:lang w:val="fi-FI"/>
              </w:rPr>
              <w:t>.</w:t>
            </w:r>
            <w:r w:rsidRPr="00D6671D">
              <w:rPr>
                <w:rFonts w:ascii="Arial" w:hAnsi="Arial"/>
                <w:sz w:val="16"/>
                <w:szCs w:val="16"/>
                <w:lang w:val="fi-FI"/>
              </w:rPr>
              <w:t xml:space="preserve"> Selles valemis: (a) „</w:t>
            </w:r>
            <w:proofErr w:type="gramStart"/>
            <w:r w:rsidRPr="00D6671D">
              <w:rPr>
                <w:rFonts w:ascii="Arial" w:hAnsi="Arial"/>
                <w:sz w:val="16"/>
                <w:szCs w:val="16"/>
                <w:lang w:val="fi-FI"/>
              </w:rPr>
              <w:t>S</w:t>
            </w:r>
            <w:r w:rsidRPr="00D6671D">
              <w:rPr>
                <w:rFonts w:ascii="Arial" w:hAnsi="Arial"/>
                <w:sz w:val="16"/>
                <w:vertAlign w:val="subscript"/>
                <w:lang w:val="fi-FI"/>
              </w:rPr>
              <w:t>m</w:t>
            </w:r>
            <w:r w:rsidRPr="00D6671D">
              <w:rPr>
                <w:rFonts w:ascii="Arial" w:hAnsi="Arial"/>
                <w:sz w:val="16"/>
                <w:szCs w:val="16"/>
                <w:lang w:val="fi-FI"/>
              </w:rPr>
              <w:t>“ on</w:t>
            </w:r>
            <w:proofErr w:type="gramEnd"/>
            <w:r w:rsidRPr="00D6671D">
              <w:rPr>
                <w:rFonts w:ascii="Arial" w:hAnsi="Arial"/>
                <w:sz w:val="16"/>
                <w:szCs w:val="16"/>
                <w:lang w:val="fi-FI"/>
              </w:rPr>
              <w:t xml:space="preserve"> maksimaalne Aktsiate arv, mida olemasolev aktsionär võib omandada; (b) „S</w:t>
            </w:r>
            <w:r w:rsidRPr="00D6671D">
              <w:rPr>
                <w:rFonts w:ascii="Arial" w:hAnsi="Arial"/>
                <w:sz w:val="16"/>
                <w:vertAlign w:val="subscript"/>
                <w:lang w:val="fi-FI"/>
              </w:rPr>
              <w:t>a</w:t>
            </w:r>
            <w:r w:rsidRPr="00D6671D">
              <w:rPr>
                <w:rFonts w:ascii="Arial" w:hAnsi="Arial"/>
                <w:sz w:val="16"/>
                <w:szCs w:val="16"/>
                <w:lang w:val="fi-FI"/>
              </w:rPr>
              <w:t xml:space="preserve">“ on Aktsiate koguarv (s.t </w:t>
            </w:r>
            <w:r w:rsidR="0075272A" w:rsidRPr="00D6671D">
              <w:rPr>
                <w:rFonts w:ascii="Arial" w:hAnsi="Arial"/>
                <w:sz w:val="16"/>
                <w:szCs w:val="16"/>
                <w:lang w:val="fi-FI"/>
              </w:rPr>
              <w:t>6</w:t>
            </w:r>
            <w:r w:rsidR="005C4FD0" w:rsidRPr="00D6671D">
              <w:rPr>
                <w:rFonts w:ascii="Arial" w:hAnsi="Arial"/>
                <w:sz w:val="16"/>
                <w:szCs w:val="16"/>
                <w:lang w:val="fi-FI"/>
              </w:rPr>
              <w:t> </w:t>
            </w:r>
            <w:r w:rsidR="0075272A" w:rsidRPr="00D6671D">
              <w:rPr>
                <w:rFonts w:ascii="Arial" w:hAnsi="Arial"/>
                <w:sz w:val="16"/>
                <w:szCs w:val="16"/>
                <w:lang w:val="fi-FI"/>
              </w:rPr>
              <w:t>000</w:t>
            </w:r>
            <w:r w:rsidR="005C4FD0" w:rsidRPr="00D6671D">
              <w:rPr>
                <w:rFonts w:ascii="Arial" w:hAnsi="Arial"/>
                <w:sz w:val="16"/>
                <w:szCs w:val="16"/>
                <w:lang w:val="fi-FI"/>
              </w:rPr>
              <w:t> </w:t>
            </w:r>
            <w:r w:rsidR="0075272A" w:rsidRPr="00D6671D">
              <w:rPr>
                <w:rFonts w:ascii="Arial" w:hAnsi="Arial"/>
                <w:sz w:val="16"/>
                <w:szCs w:val="16"/>
                <w:lang w:val="fi-FI"/>
              </w:rPr>
              <w:t>000</w:t>
            </w:r>
            <w:r w:rsidRPr="00D6671D">
              <w:rPr>
                <w:rFonts w:ascii="Arial" w:hAnsi="Arial"/>
                <w:sz w:val="16"/>
                <w:szCs w:val="16"/>
                <w:lang w:val="fi-FI"/>
              </w:rPr>
              <w:t>); (c) „s</w:t>
            </w:r>
            <w:r w:rsidRPr="00D6671D">
              <w:rPr>
                <w:rFonts w:ascii="Arial" w:hAnsi="Arial"/>
                <w:sz w:val="16"/>
                <w:vertAlign w:val="subscript"/>
                <w:lang w:val="fi-FI"/>
              </w:rPr>
              <w:t>e</w:t>
            </w:r>
            <w:r w:rsidRPr="00D6671D">
              <w:rPr>
                <w:rFonts w:ascii="Arial" w:hAnsi="Arial"/>
                <w:sz w:val="16"/>
                <w:szCs w:val="16"/>
                <w:lang w:val="fi-FI"/>
              </w:rPr>
              <w:t>“ on olemasolevale aktsionärile olemasolevate aktsionäride nimekirja kindlaksmääramise hetkel kuuluvate aktsiate arv; ja (d) „s</w:t>
            </w:r>
            <w:r w:rsidRPr="00D6671D">
              <w:rPr>
                <w:rFonts w:ascii="Arial" w:hAnsi="Arial"/>
                <w:sz w:val="16"/>
                <w:vertAlign w:val="subscript"/>
                <w:lang w:val="fi-FI"/>
              </w:rPr>
              <w:t>a</w:t>
            </w:r>
            <w:r w:rsidRPr="00D6671D">
              <w:rPr>
                <w:rFonts w:ascii="Arial" w:hAnsi="Arial"/>
                <w:sz w:val="16"/>
                <w:szCs w:val="16"/>
                <w:lang w:val="fi-FI"/>
              </w:rPr>
              <w:t>“ on Äriühingu aktsiate koguarv enne Aktsiate emiteerimist (s.t 54 271 722);</w:t>
            </w:r>
          </w:p>
          <w:p w14:paraId="6F841E58" w14:textId="77777777" w:rsidR="00F562D6" w:rsidRPr="00D6671D" w:rsidRDefault="00F562D6" w:rsidP="002B0EAB">
            <w:pPr>
              <w:jc w:val="both"/>
              <w:rPr>
                <w:rFonts w:ascii="Arial" w:hAnsi="Arial" w:cs="Arial"/>
                <w:sz w:val="16"/>
                <w:szCs w:val="16"/>
                <w:lang w:val="fi-FI"/>
              </w:rPr>
            </w:pPr>
            <w:r w:rsidRPr="00D6671D">
              <w:rPr>
                <w:rFonts w:ascii="Arial" w:hAnsi="Arial" w:cs="Arial"/>
                <w:sz w:val="16"/>
                <w:szCs w:val="16"/>
                <w:lang w:val="fi-FI"/>
              </w:rPr>
              <w:t xml:space="preserve">2. teiseks eraldatakse igale olemasolevale aktsionärile üks Aktsia, kui talle esimeses osas eraldatud Aktsiate täisarv saadi ümardamise teel (vt eespool);  </w:t>
            </w:r>
          </w:p>
          <w:p w14:paraId="3A8D1114" w14:textId="77777777" w:rsidR="00F562D6" w:rsidRPr="00D6671D" w:rsidRDefault="00F562D6" w:rsidP="002B0EAB">
            <w:pPr>
              <w:jc w:val="both"/>
              <w:rPr>
                <w:rFonts w:ascii="Arial" w:hAnsi="Arial" w:cs="Arial"/>
                <w:sz w:val="16"/>
                <w:szCs w:val="16"/>
                <w:lang w:val="fi-FI"/>
              </w:rPr>
            </w:pPr>
            <w:r w:rsidRPr="00D6671D">
              <w:rPr>
                <w:rFonts w:ascii="Arial" w:hAnsi="Arial" w:cs="Arial"/>
                <w:sz w:val="16"/>
                <w:szCs w:val="16"/>
                <w:lang w:val="fi-FI"/>
              </w:rPr>
              <w:t xml:space="preserve">3. kolmandaks eraldatakse ülejäänud Aktsiad investoritele nõukogu otsuse alusel, mis võetakse vastu pärast märkimisperioodi lõppu (eraldatavate Aktsiate arvu määrab nõukogu oma äranägemisel). </w:t>
            </w:r>
          </w:p>
          <w:p w14:paraId="50D4F086" w14:textId="77777777" w:rsidR="00F562D6" w:rsidRPr="00D6671D" w:rsidRDefault="00F562D6" w:rsidP="002B0EAB">
            <w:pPr>
              <w:jc w:val="both"/>
              <w:rPr>
                <w:rFonts w:ascii="Arial" w:hAnsi="Arial" w:cs="Arial"/>
                <w:sz w:val="16"/>
                <w:szCs w:val="16"/>
                <w:lang w:val="fi-FI"/>
              </w:rPr>
            </w:pPr>
            <w:r w:rsidRPr="00D6671D">
              <w:rPr>
                <w:rFonts w:ascii="Arial" w:hAnsi="Arial" w:cs="Arial"/>
                <w:sz w:val="16"/>
                <w:szCs w:val="16"/>
                <w:lang w:val="fi-FI"/>
              </w:rPr>
              <w:t xml:space="preserve">Kui investorile ei eraldata kõiki märgitud Aktsiaid ja kui märkimiskinnituses taotles investor väljaantud Aktsiate ülekandmist mitmele väärtpaberikontole, võib Äriühing oma äranägemisel valida, millis(t)ele neist väärtpaberikontodest väljaantud Aktsiad üle kantakse. </w:t>
            </w:r>
            <w:r w:rsidR="002B0EAB" w:rsidRPr="00D6671D">
              <w:rPr>
                <w:rFonts w:ascii="Arial" w:hAnsi="Arial" w:cs="Arial"/>
                <w:sz w:val="16"/>
                <w:szCs w:val="16"/>
                <w:lang w:val="fi-FI"/>
              </w:rPr>
              <w:t>Eraldatavate Aktsiate arv määratakse kindlaks Äriühingu poolt ja avalikustatakse Nasdaq Tallinna kaudu 6. oktoobril 2017 või sellele lähedasel kuupäeval</w:t>
            </w:r>
            <w:r w:rsidRPr="00D6671D">
              <w:rPr>
                <w:rFonts w:ascii="Arial" w:hAnsi="Arial" w:cs="Arial"/>
                <w:sz w:val="16"/>
                <w:szCs w:val="16"/>
                <w:lang w:val="fi-FI"/>
              </w:rPr>
              <w:t>.</w:t>
            </w:r>
          </w:p>
          <w:p w14:paraId="141C30BB" w14:textId="77777777" w:rsidR="00F562D6" w:rsidRPr="00D6671D" w:rsidRDefault="00F562D6" w:rsidP="002B0EAB">
            <w:pPr>
              <w:jc w:val="both"/>
              <w:rPr>
                <w:rFonts w:ascii="Arial" w:hAnsi="Arial" w:cs="Arial"/>
                <w:sz w:val="16"/>
                <w:szCs w:val="16"/>
                <w:lang w:val="fi-FI"/>
              </w:rPr>
            </w:pPr>
            <w:r w:rsidRPr="00D6671D">
              <w:rPr>
                <w:rFonts w:ascii="Arial" w:hAnsi="Arial" w:cs="Arial"/>
                <w:sz w:val="16"/>
                <w:szCs w:val="16"/>
                <w:lang w:val="fi-FI"/>
              </w:rPr>
              <w:lastRenderedPageBreak/>
              <w:t>Kui Pakkumine tühistatakse, kui investor tühistab märkimiskinnituse või muudab seda, kui pakkumishind on investori makstud märkimishinnast madalam või kui investorile eraldatakse ja antakse välja tema poolt märgitust vähem Aktsiaid, siis tagastatakse enammakstud summa (s.t märkimishind, millest on maha arvatud (i) investorile välja antud Aktsiate pakkumishind ja (ii) enammakstud summa tasumisega seotud põhjendatud kulud) investorile järgmiste tingimuste kohaselt: (a) vastav makse tehakse samale pangakontole, millelt tasuti märkimishind; (b) makse tehakse 5 tööpäeva jooksul pärast pakkumisperioodi lõppu; (c) aja eest, mil vastav summa oli Äriühingu valduses, ei arvestata ega maksta investorile intressi ega muid sarnaseid summasid.</w:t>
            </w:r>
          </w:p>
          <w:p w14:paraId="18862691" w14:textId="77777777" w:rsidR="00F562D6" w:rsidRPr="00D6671D" w:rsidRDefault="00F562D6" w:rsidP="002B0EAB">
            <w:pPr>
              <w:jc w:val="both"/>
              <w:rPr>
                <w:rFonts w:ascii="Arial" w:hAnsi="Arial" w:cs="Arial"/>
                <w:sz w:val="16"/>
                <w:szCs w:val="16"/>
                <w:lang w:val="fi-FI"/>
              </w:rPr>
            </w:pPr>
          </w:p>
        </w:tc>
      </w:tr>
      <w:tr w:rsidR="00F562D6" w:rsidRPr="006E4666" w14:paraId="156FE2A9" w14:textId="77777777" w:rsidTr="002B0EAB">
        <w:tc>
          <w:tcPr>
            <w:tcW w:w="714" w:type="dxa"/>
            <w:tcBorders>
              <w:left w:val="single" w:sz="4" w:space="0" w:color="BFBFBF" w:themeColor="background1" w:themeShade="BF"/>
            </w:tcBorders>
          </w:tcPr>
          <w:p w14:paraId="37A0DD79" w14:textId="77777777" w:rsidR="00F562D6" w:rsidRPr="00CC2AEA" w:rsidRDefault="00F562D6" w:rsidP="002B0EAB">
            <w:pPr>
              <w:rPr>
                <w:rFonts w:ascii="Arial" w:hAnsi="Arial" w:cs="Arial"/>
                <w:sz w:val="16"/>
                <w:szCs w:val="16"/>
              </w:rPr>
            </w:pPr>
            <w:r>
              <w:rPr>
                <w:rFonts w:ascii="Arial" w:hAnsi="Arial" w:cs="Arial"/>
                <w:sz w:val="16"/>
                <w:szCs w:val="16"/>
              </w:rPr>
              <w:lastRenderedPageBreak/>
              <w:t>E.4</w:t>
            </w:r>
          </w:p>
        </w:tc>
        <w:tc>
          <w:tcPr>
            <w:tcW w:w="1554" w:type="dxa"/>
          </w:tcPr>
          <w:p w14:paraId="315D2B06" w14:textId="77777777" w:rsidR="00F562D6" w:rsidRPr="00D6671D" w:rsidRDefault="00F562D6" w:rsidP="002B0EAB">
            <w:pPr>
              <w:rPr>
                <w:rFonts w:ascii="Arial" w:hAnsi="Arial" w:cs="Arial"/>
                <w:sz w:val="16"/>
                <w:szCs w:val="16"/>
                <w:lang w:val="fi-FI"/>
              </w:rPr>
            </w:pPr>
            <w:r w:rsidRPr="00D6671D">
              <w:rPr>
                <w:rFonts w:ascii="Arial" w:hAnsi="Arial" w:cs="Arial"/>
                <w:sz w:val="16"/>
                <w:szCs w:val="16"/>
                <w:lang w:val="fi-FI"/>
              </w:rPr>
              <w:t>Pakkumise seisukohast olulised huvid / huvide konfliktid</w:t>
            </w:r>
          </w:p>
        </w:tc>
        <w:tc>
          <w:tcPr>
            <w:tcW w:w="7484" w:type="dxa"/>
            <w:tcBorders>
              <w:right w:val="single" w:sz="4" w:space="0" w:color="BFBFBF" w:themeColor="background1" w:themeShade="BF"/>
            </w:tcBorders>
          </w:tcPr>
          <w:p w14:paraId="5E484445" w14:textId="2DDAC6E4" w:rsidR="00F562D6" w:rsidRPr="00D6671D" w:rsidRDefault="006E677A" w:rsidP="002B0EAB">
            <w:pPr>
              <w:jc w:val="both"/>
              <w:rPr>
                <w:rFonts w:ascii="Arial" w:hAnsi="Arial" w:cs="Arial"/>
                <w:sz w:val="16"/>
                <w:szCs w:val="16"/>
                <w:lang w:val="fi-FI"/>
              </w:rPr>
            </w:pPr>
            <w:r w:rsidRPr="00D6671D">
              <w:rPr>
                <w:rFonts w:ascii="Arial" w:hAnsi="Arial" w:cs="Arial"/>
                <w:sz w:val="16"/>
                <w:szCs w:val="16"/>
                <w:lang w:val="fi-FI"/>
              </w:rPr>
              <w:t xml:space="preserve">Äriühing ei ole teadlik ühestki Pakkumisega seotud huvide konfliktist. Hr </w:t>
            </w:r>
            <w:r w:rsidR="001D5D83" w:rsidRPr="00D6671D">
              <w:rPr>
                <w:rFonts w:ascii="Arial" w:hAnsi="Arial" w:cs="Arial"/>
                <w:sz w:val="16"/>
                <w:szCs w:val="16"/>
                <w:lang w:val="fi-FI"/>
              </w:rPr>
              <w:t xml:space="preserve">Paolo Michelozzi kavatseb märkida </w:t>
            </w:r>
            <w:r w:rsidR="00DD51B0" w:rsidRPr="00D6671D">
              <w:rPr>
                <w:rFonts w:ascii="Arial" w:hAnsi="Arial" w:cs="Arial"/>
                <w:sz w:val="16"/>
                <w:szCs w:val="16"/>
                <w:lang w:val="fi-FI"/>
              </w:rPr>
              <w:t xml:space="preserve">vähemalt </w:t>
            </w:r>
            <w:r w:rsidR="001D5D83" w:rsidRPr="00D6671D">
              <w:rPr>
                <w:rFonts w:ascii="Arial" w:hAnsi="Arial" w:cs="Arial"/>
                <w:sz w:val="16"/>
                <w:szCs w:val="16"/>
                <w:lang w:val="fi-FI"/>
              </w:rPr>
              <w:t>25</w:t>
            </w:r>
            <w:r w:rsidR="00CE1139" w:rsidRPr="00D6671D">
              <w:rPr>
                <w:rFonts w:ascii="Arial" w:hAnsi="Arial" w:cs="Arial"/>
                <w:sz w:val="16"/>
                <w:szCs w:val="16"/>
                <w:lang w:val="fi-FI"/>
              </w:rPr>
              <w:t> </w:t>
            </w:r>
            <w:r w:rsidR="001D5D83" w:rsidRPr="00D6671D">
              <w:rPr>
                <w:rFonts w:ascii="Arial" w:hAnsi="Arial" w:cs="Arial"/>
                <w:sz w:val="16"/>
                <w:szCs w:val="16"/>
                <w:lang w:val="fi-FI"/>
              </w:rPr>
              <w:t>000</w:t>
            </w:r>
            <w:r w:rsidRPr="00D6671D">
              <w:rPr>
                <w:rFonts w:ascii="Arial" w:hAnsi="Arial" w:cs="Arial"/>
                <w:sz w:val="16"/>
                <w:szCs w:val="16"/>
                <w:lang w:val="fi-FI"/>
              </w:rPr>
              <w:t xml:space="preserve"> Aktsiat mis tahes pakkumishinna eest, mis jääb Pakkumise hinnavahemikku. Äriühing ei tea, kas mõni olemasolev põhiaktsionär või muu juhatuse või nõukogu liige kavatseb märkida Aktsiaid</w:t>
            </w:r>
            <w:bookmarkStart w:id="10" w:name="_Hlk488765573"/>
            <w:r w:rsidR="00F562D6" w:rsidRPr="00D6671D">
              <w:rPr>
                <w:rFonts w:ascii="Arial" w:hAnsi="Arial" w:cs="Arial"/>
                <w:sz w:val="16"/>
                <w:szCs w:val="16"/>
                <w:lang w:val="fi-FI"/>
              </w:rPr>
              <w:t>.</w:t>
            </w:r>
            <w:bookmarkEnd w:id="10"/>
          </w:p>
        </w:tc>
      </w:tr>
      <w:tr w:rsidR="00F562D6" w:rsidRPr="00CC2AEA" w14:paraId="2FEE596C" w14:textId="77777777" w:rsidTr="002B0EAB">
        <w:tc>
          <w:tcPr>
            <w:tcW w:w="714" w:type="dxa"/>
            <w:tcBorders>
              <w:left w:val="single" w:sz="4" w:space="0" w:color="BFBFBF" w:themeColor="background1" w:themeShade="BF"/>
            </w:tcBorders>
          </w:tcPr>
          <w:p w14:paraId="00572DD6" w14:textId="77777777" w:rsidR="00F562D6" w:rsidRPr="00CC2AEA" w:rsidRDefault="00F562D6" w:rsidP="002B0EAB">
            <w:pPr>
              <w:rPr>
                <w:rFonts w:ascii="Arial" w:hAnsi="Arial" w:cs="Arial"/>
                <w:sz w:val="16"/>
                <w:szCs w:val="16"/>
              </w:rPr>
            </w:pPr>
            <w:r>
              <w:rPr>
                <w:rFonts w:ascii="Arial" w:hAnsi="Arial" w:cs="Arial"/>
                <w:sz w:val="16"/>
                <w:szCs w:val="16"/>
              </w:rPr>
              <w:t>E.5</w:t>
            </w:r>
          </w:p>
        </w:tc>
        <w:tc>
          <w:tcPr>
            <w:tcW w:w="1554" w:type="dxa"/>
          </w:tcPr>
          <w:p w14:paraId="2B862650" w14:textId="77777777" w:rsidR="00F562D6" w:rsidRPr="00D6671D" w:rsidRDefault="00F562D6" w:rsidP="002B0EAB">
            <w:pPr>
              <w:rPr>
                <w:rFonts w:ascii="Arial" w:hAnsi="Arial" w:cs="Arial"/>
                <w:sz w:val="16"/>
                <w:szCs w:val="16"/>
                <w:lang w:val="fi-FI"/>
              </w:rPr>
            </w:pPr>
            <w:r w:rsidRPr="00D6671D">
              <w:rPr>
                <w:rFonts w:ascii="Arial" w:hAnsi="Arial" w:cs="Arial"/>
                <w:sz w:val="16"/>
                <w:szCs w:val="16"/>
                <w:lang w:val="fi-FI"/>
              </w:rPr>
              <w:t>Väärtpaberit müügiks pakkuva isiku või üksuse nimi. Võõrandamispiirangud: osalised ja võõrandamispiirangu kestus</w:t>
            </w:r>
          </w:p>
        </w:tc>
        <w:tc>
          <w:tcPr>
            <w:tcW w:w="7484" w:type="dxa"/>
            <w:tcBorders>
              <w:right w:val="single" w:sz="4" w:space="0" w:color="BFBFBF" w:themeColor="background1" w:themeShade="BF"/>
            </w:tcBorders>
          </w:tcPr>
          <w:p w14:paraId="54788E0D" w14:textId="77777777" w:rsidR="00F562D6" w:rsidRPr="00CC2AEA" w:rsidRDefault="00F562D6" w:rsidP="002B0EAB">
            <w:pPr>
              <w:pStyle w:val="BMBodyText"/>
              <w:spacing w:before="0" w:after="0"/>
              <w:rPr>
                <w:rFonts w:ascii="Arial" w:hAnsi="Arial" w:cs="Arial"/>
                <w:bCs w:val="0"/>
                <w:noProof w:val="0"/>
                <w:sz w:val="16"/>
                <w:szCs w:val="16"/>
              </w:rPr>
            </w:pPr>
            <w:r>
              <w:rPr>
                <w:rFonts w:ascii="Arial" w:hAnsi="Arial" w:cs="Arial"/>
                <w:bCs w:val="0"/>
                <w:noProof w:val="0"/>
                <w:sz w:val="16"/>
                <w:szCs w:val="16"/>
              </w:rPr>
              <w:t>Ei ole kohaldatav.</w:t>
            </w:r>
          </w:p>
        </w:tc>
      </w:tr>
      <w:tr w:rsidR="00F562D6" w:rsidRPr="006E4666" w14:paraId="5A9311CE" w14:textId="77777777" w:rsidTr="002B0EAB">
        <w:tc>
          <w:tcPr>
            <w:tcW w:w="714" w:type="dxa"/>
            <w:tcBorders>
              <w:left w:val="single" w:sz="4" w:space="0" w:color="BFBFBF" w:themeColor="background1" w:themeShade="BF"/>
            </w:tcBorders>
          </w:tcPr>
          <w:p w14:paraId="65E94FC3" w14:textId="77777777" w:rsidR="00F562D6" w:rsidRPr="00CC2AEA" w:rsidRDefault="00F562D6" w:rsidP="002B0EAB">
            <w:pPr>
              <w:rPr>
                <w:rFonts w:ascii="Arial" w:hAnsi="Arial" w:cs="Arial"/>
                <w:sz w:val="16"/>
                <w:szCs w:val="16"/>
              </w:rPr>
            </w:pPr>
            <w:r>
              <w:rPr>
                <w:rFonts w:ascii="Arial" w:hAnsi="Arial" w:cs="Arial"/>
                <w:sz w:val="16"/>
                <w:szCs w:val="16"/>
              </w:rPr>
              <w:t>E.6</w:t>
            </w:r>
          </w:p>
        </w:tc>
        <w:tc>
          <w:tcPr>
            <w:tcW w:w="1554" w:type="dxa"/>
          </w:tcPr>
          <w:p w14:paraId="42A5C947" w14:textId="77777777" w:rsidR="00F562D6" w:rsidRPr="00D6671D" w:rsidRDefault="00F562D6" w:rsidP="002B0EAB">
            <w:pPr>
              <w:rPr>
                <w:rFonts w:ascii="Arial" w:hAnsi="Arial" w:cs="Arial"/>
                <w:sz w:val="16"/>
                <w:szCs w:val="16"/>
                <w:lang w:val="fi-FI"/>
              </w:rPr>
            </w:pPr>
            <w:r w:rsidRPr="00D6671D">
              <w:rPr>
                <w:rFonts w:ascii="Arial" w:hAnsi="Arial" w:cs="Arial"/>
                <w:sz w:val="16"/>
                <w:szCs w:val="16"/>
                <w:lang w:val="fi-FI"/>
              </w:rPr>
              <w:t>Kohene osaluse vähenemine. Pakkumisest tuleneva kohese osaluse vähenemise (lahjenduse) suurus ja protsent, kui olemasolev aktsionär ei märgi Pakkumise raames Aktsiaid</w:t>
            </w:r>
          </w:p>
        </w:tc>
        <w:tc>
          <w:tcPr>
            <w:tcW w:w="7484" w:type="dxa"/>
            <w:tcBorders>
              <w:right w:val="single" w:sz="4" w:space="0" w:color="BFBFBF" w:themeColor="background1" w:themeShade="BF"/>
            </w:tcBorders>
          </w:tcPr>
          <w:p w14:paraId="6D276FAC" w14:textId="77777777" w:rsidR="00F562D6" w:rsidRPr="00D6671D" w:rsidRDefault="00F562D6" w:rsidP="002B0EAB">
            <w:pPr>
              <w:jc w:val="both"/>
              <w:rPr>
                <w:rFonts w:ascii="Arial" w:hAnsi="Arial" w:cs="Arial"/>
                <w:sz w:val="16"/>
                <w:szCs w:val="16"/>
                <w:lang w:val="fi-FI"/>
              </w:rPr>
            </w:pPr>
            <w:r w:rsidRPr="00D6671D">
              <w:rPr>
                <w:rFonts w:ascii="Arial" w:hAnsi="Arial" w:cs="Arial"/>
                <w:sz w:val="16"/>
                <w:szCs w:val="16"/>
                <w:lang w:val="fi-FI"/>
              </w:rPr>
              <w:t xml:space="preserve">Emiteeritavad Aktsiad moodustavad ligikaudu 11 protsenti Äriühingu põhikirjajärgsest aktsiakapitalist enne selle suurendamist, kui kõik Aktsiad emiteeritakse. </w:t>
            </w:r>
            <w:r w:rsidR="00980619" w:rsidRPr="00D6671D">
              <w:rPr>
                <w:rFonts w:ascii="Arial" w:hAnsi="Arial" w:cs="Arial"/>
                <w:sz w:val="16"/>
                <w:szCs w:val="16"/>
                <w:lang w:val="fi-FI"/>
              </w:rPr>
              <w:t>Igal olemasoleval aktsionäril on õigus omandada ja talle eraldatakse sellisel arvul Aktsiaid, mis on proportsionaalne väärtpaberiregistris registreeritud andmete alusel olemasolevate aktsionäride nimekirja kindlaksmääramise hetkel (s.t väärtpaberiregistri 4. oktoobri 2017. aasta tööpäeva lõpu seisuga (või kell 23.59 (Tallinna aja järgi), kui väärtpaberiregister ei ole selleks kuupäevaks liitunud väärtpaberiarvelduste ühisplatvormiga TARGET2-Securities) talle kuuluvate aktsiate arvuga, ja seeläbi vältida lahjendust</w:t>
            </w:r>
            <w:r w:rsidRPr="00D6671D">
              <w:rPr>
                <w:rFonts w:ascii="Arial" w:hAnsi="Arial" w:cs="Arial"/>
                <w:sz w:val="16"/>
                <w:szCs w:val="16"/>
                <w:lang w:val="fi-FI"/>
              </w:rPr>
              <w:t xml:space="preserve">. </w:t>
            </w:r>
          </w:p>
          <w:p w14:paraId="1CF4133F" w14:textId="169AF457" w:rsidR="00F562D6" w:rsidRPr="00D6671D" w:rsidRDefault="00F562D6" w:rsidP="002B0EAB">
            <w:pPr>
              <w:jc w:val="both"/>
              <w:rPr>
                <w:rFonts w:ascii="Arial" w:hAnsi="Arial" w:cs="Arial"/>
                <w:sz w:val="16"/>
                <w:szCs w:val="16"/>
                <w:lang w:val="fi-FI"/>
              </w:rPr>
            </w:pPr>
            <w:r w:rsidRPr="00D6671D">
              <w:rPr>
                <w:rFonts w:ascii="Arial" w:hAnsi="Arial" w:cs="Arial"/>
                <w:sz w:val="16"/>
                <w:szCs w:val="16"/>
                <w:lang w:val="fi-FI"/>
              </w:rPr>
              <w:t xml:space="preserve">Kui ükski olemasolev aktsionär ei osale Pakkumises ja kõik Aktsiad antakse välja teistele investoritele, moodustab lahjendus ligikaudu </w:t>
            </w:r>
            <w:r w:rsidR="001D5D83" w:rsidRPr="00D6671D">
              <w:rPr>
                <w:rFonts w:ascii="Arial" w:hAnsi="Arial" w:cs="Arial"/>
                <w:sz w:val="16"/>
                <w:szCs w:val="16"/>
                <w:lang w:val="fi-FI"/>
              </w:rPr>
              <w:t>9</w:t>
            </w:r>
            <w:r w:rsidR="005C4FD0" w:rsidRPr="00D6671D">
              <w:rPr>
                <w:rFonts w:ascii="Arial" w:hAnsi="Arial" w:cs="Arial"/>
                <w:sz w:val="16"/>
                <w:szCs w:val="16"/>
                <w:lang w:val="fi-FI"/>
              </w:rPr>
              <w:t>,</w:t>
            </w:r>
            <w:r w:rsidR="001D5D83" w:rsidRPr="00D6671D">
              <w:rPr>
                <w:rFonts w:ascii="Arial" w:hAnsi="Arial" w:cs="Arial"/>
                <w:sz w:val="16"/>
                <w:szCs w:val="16"/>
                <w:lang w:val="fi-FI"/>
              </w:rPr>
              <w:t>95</w:t>
            </w:r>
            <w:r w:rsidR="00980619" w:rsidRPr="00D6671D">
              <w:rPr>
                <w:rFonts w:ascii="Arial" w:hAnsi="Arial" w:cs="Arial"/>
                <w:sz w:val="16"/>
                <w:szCs w:val="16"/>
                <w:lang w:val="fi-FI"/>
              </w:rPr>
              <w:t xml:space="preserve"> </w:t>
            </w:r>
            <w:r w:rsidRPr="00D6671D">
              <w:rPr>
                <w:rFonts w:ascii="Arial" w:hAnsi="Arial" w:cs="Arial"/>
                <w:sz w:val="16"/>
                <w:szCs w:val="16"/>
                <w:lang w:val="fi-FI"/>
              </w:rPr>
              <w:t xml:space="preserve">protsenti, s.t Äriühingu aktsionäridele, kes olid olemas enne aktsiakapitali suurendamist ja Aktsiate emiteerimist, kuulub pärast emissiooni ligikaudu </w:t>
            </w:r>
            <w:r w:rsidR="001D5D83" w:rsidRPr="00D6671D">
              <w:rPr>
                <w:rFonts w:ascii="Arial" w:hAnsi="Arial" w:cs="Arial"/>
                <w:sz w:val="16"/>
                <w:szCs w:val="16"/>
                <w:lang w:val="fi-FI"/>
              </w:rPr>
              <w:t>90</w:t>
            </w:r>
            <w:r w:rsidR="005C4FD0" w:rsidRPr="00D6671D">
              <w:rPr>
                <w:rFonts w:ascii="Arial" w:hAnsi="Arial" w:cs="Arial"/>
                <w:sz w:val="16"/>
                <w:szCs w:val="16"/>
                <w:lang w:val="fi-FI"/>
              </w:rPr>
              <w:t>,</w:t>
            </w:r>
            <w:r w:rsidR="001D5D83" w:rsidRPr="00D6671D">
              <w:rPr>
                <w:rFonts w:ascii="Arial" w:hAnsi="Arial" w:cs="Arial"/>
                <w:sz w:val="16"/>
                <w:szCs w:val="16"/>
                <w:lang w:val="fi-FI"/>
              </w:rPr>
              <w:t>05</w:t>
            </w:r>
            <w:r w:rsidR="00980619" w:rsidRPr="00D6671D">
              <w:rPr>
                <w:rFonts w:ascii="Arial" w:hAnsi="Arial" w:cs="Arial"/>
                <w:sz w:val="16"/>
                <w:szCs w:val="16"/>
                <w:lang w:val="fi-FI"/>
              </w:rPr>
              <w:t xml:space="preserve"> </w:t>
            </w:r>
            <w:r w:rsidRPr="00D6671D">
              <w:rPr>
                <w:rFonts w:ascii="Arial" w:hAnsi="Arial" w:cs="Arial"/>
                <w:sz w:val="16"/>
                <w:szCs w:val="16"/>
                <w:lang w:val="fi-FI"/>
              </w:rPr>
              <w:t>protsenti Äriühingu aktsiatest.</w:t>
            </w:r>
          </w:p>
        </w:tc>
      </w:tr>
      <w:tr w:rsidR="00F562D6" w:rsidRPr="006E4666" w14:paraId="481B5A5B" w14:textId="77777777" w:rsidTr="002B0EAB">
        <w:tc>
          <w:tcPr>
            <w:tcW w:w="714" w:type="dxa"/>
            <w:tcBorders>
              <w:left w:val="single" w:sz="4" w:space="0" w:color="BFBFBF" w:themeColor="background1" w:themeShade="BF"/>
              <w:bottom w:val="single" w:sz="4" w:space="0" w:color="BFBFBF" w:themeColor="background1" w:themeShade="BF"/>
            </w:tcBorders>
          </w:tcPr>
          <w:p w14:paraId="571EF555" w14:textId="77777777" w:rsidR="00F562D6" w:rsidRPr="00CC2AEA" w:rsidRDefault="00F562D6" w:rsidP="002B0EAB">
            <w:pPr>
              <w:rPr>
                <w:rFonts w:ascii="Arial" w:hAnsi="Arial" w:cs="Arial"/>
                <w:sz w:val="16"/>
                <w:szCs w:val="16"/>
              </w:rPr>
            </w:pPr>
            <w:r>
              <w:rPr>
                <w:rFonts w:ascii="Arial" w:hAnsi="Arial" w:cs="Arial"/>
                <w:sz w:val="16"/>
                <w:szCs w:val="16"/>
              </w:rPr>
              <w:t>E.7</w:t>
            </w:r>
          </w:p>
        </w:tc>
        <w:tc>
          <w:tcPr>
            <w:tcW w:w="1554" w:type="dxa"/>
            <w:tcBorders>
              <w:bottom w:val="single" w:sz="4" w:space="0" w:color="BFBFBF" w:themeColor="background1" w:themeShade="BF"/>
            </w:tcBorders>
          </w:tcPr>
          <w:p w14:paraId="59B6B47D" w14:textId="77777777" w:rsidR="00F562D6" w:rsidRPr="00D6671D" w:rsidRDefault="00F562D6" w:rsidP="002B0EAB">
            <w:pPr>
              <w:rPr>
                <w:rFonts w:ascii="Arial" w:hAnsi="Arial" w:cs="Arial"/>
                <w:sz w:val="16"/>
                <w:szCs w:val="16"/>
                <w:lang w:val="fi-FI"/>
              </w:rPr>
            </w:pPr>
            <w:r w:rsidRPr="00D6671D">
              <w:rPr>
                <w:rFonts w:ascii="Arial" w:hAnsi="Arial" w:cs="Arial"/>
                <w:sz w:val="16"/>
                <w:szCs w:val="16"/>
                <w:lang w:val="fi-FI"/>
              </w:rPr>
              <w:t>Hinnangulised kulud, mille hüvitamist Äriühing nõuab investorilt</w:t>
            </w:r>
          </w:p>
        </w:tc>
        <w:tc>
          <w:tcPr>
            <w:tcW w:w="7484" w:type="dxa"/>
            <w:tcBorders>
              <w:bottom w:val="single" w:sz="4" w:space="0" w:color="BFBFBF" w:themeColor="background1" w:themeShade="BF"/>
              <w:right w:val="single" w:sz="4" w:space="0" w:color="BFBFBF" w:themeColor="background1" w:themeShade="BF"/>
            </w:tcBorders>
          </w:tcPr>
          <w:p w14:paraId="51370DDB" w14:textId="77777777" w:rsidR="00F562D6" w:rsidRPr="00D6671D" w:rsidRDefault="00F562D6" w:rsidP="002B0EAB">
            <w:pPr>
              <w:jc w:val="both"/>
              <w:rPr>
                <w:rFonts w:ascii="Arial" w:hAnsi="Arial" w:cs="Arial"/>
                <w:sz w:val="16"/>
                <w:szCs w:val="16"/>
                <w:lang w:val="fi-FI"/>
              </w:rPr>
            </w:pPr>
            <w:r w:rsidRPr="00D6671D">
              <w:rPr>
                <w:rFonts w:ascii="Arial" w:hAnsi="Arial" w:cs="Arial"/>
                <w:sz w:val="16"/>
                <w:szCs w:val="16"/>
                <w:lang w:val="fi-FI"/>
              </w:rPr>
              <w:t>Äriühing ei nõua investoritelt Aktsiate märkimisel otseste kulude, s.t tootetasude, sisenemistasude, haldustasude ega väljumistasude maksmist.</w:t>
            </w:r>
          </w:p>
        </w:tc>
      </w:tr>
    </w:tbl>
    <w:p w14:paraId="5C66400E" w14:textId="77777777" w:rsidR="00F562D6" w:rsidRPr="00D6671D" w:rsidRDefault="00F562D6" w:rsidP="00F562D6">
      <w:pPr>
        <w:pStyle w:val="Paragraph"/>
        <w:rPr>
          <w:lang w:val="fi-FI"/>
        </w:rPr>
      </w:pPr>
    </w:p>
    <w:p w14:paraId="59B4419C" w14:textId="77777777" w:rsidR="00820ABE" w:rsidRPr="00D6671D" w:rsidRDefault="00820ABE">
      <w:pPr>
        <w:rPr>
          <w:lang w:val="fi-FI"/>
        </w:rPr>
      </w:pPr>
    </w:p>
    <w:sectPr w:rsidR="00820ABE" w:rsidRPr="00D6671D" w:rsidSect="00C360BD">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EE4A3" w14:textId="77777777" w:rsidR="00D902DD" w:rsidRDefault="00D902DD" w:rsidP="000F420F">
      <w:r>
        <w:separator/>
      </w:r>
    </w:p>
  </w:endnote>
  <w:endnote w:type="continuationSeparator" w:id="0">
    <w:p w14:paraId="06FD7C7F" w14:textId="77777777" w:rsidR="00D902DD" w:rsidRDefault="00D902DD" w:rsidP="000F420F">
      <w:r>
        <w:continuationSeparator/>
      </w:r>
    </w:p>
  </w:endnote>
  <w:endnote w:type="continuationNotice" w:id="1">
    <w:p w14:paraId="5119828B" w14:textId="77777777" w:rsidR="00D902DD" w:rsidRDefault="00D902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enturyCondensed">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EY Gothic Cond Demi">
    <w:altName w:val="Arial Narrow"/>
    <w:charset w:val="00"/>
    <w:family w:val="auto"/>
    <w:pitch w:val="variable"/>
    <w:sig w:usb0="800000A7" w:usb1="00000040" w:usb2="00000000" w:usb3="00000000" w:csb0="00000009"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685864572"/>
      <w:docPartObj>
        <w:docPartGallery w:val="Page Numbers (Bottom of Page)"/>
        <w:docPartUnique/>
      </w:docPartObj>
    </w:sdtPr>
    <w:sdtEndPr>
      <w:rPr>
        <w:rFonts w:asciiTheme="majorHAnsi" w:hAnsiTheme="majorHAnsi" w:cstheme="minorBidi"/>
        <w:sz w:val="20"/>
        <w:szCs w:val="20"/>
      </w:rPr>
    </w:sdtEndPr>
    <w:sdtContent>
      <w:sdt>
        <w:sdtPr>
          <w:rPr>
            <w:rFonts w:ascii="Arial" w:hAnsi="Arial" w:cs="Arial"/>
            <w:sz w:val="16"/>
            <w:szCs w:val="16"/>
          </w:rPr>
          <w:id w:val="-1769616900"/>
          <w:docPartObj>
            <w:docPartGallery w:val="Page Numbers (Top of Page)"/>
            <w:docPartUnique/>
          </w:docPartObj>
        </w:sdtPr>
        <w:sdtEndPr>
          <w:rPr>
            <w:rFonts w:asciiTheme="majorHAnsi" w:hAnsiTheme="majorHAnsi" w:cstheme="minorBidi"/>
            <w:sz w:val="20"/>
            <w:szCs w:val="20"/>
          </w:rPr>
        </w:sdtEndPr>
        <w:sdtContent>
          <w:p w14:paraId="66DD1920" w14:textId="1FF7B413" w:rsidR="00DD51B0" w:rsidRDefault="00DD51B0">
            <w:pPr>
              <w:pStyle w:val="Footer"/>
              <w:jc w:val="right"/>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AA76D9">
              <w:rPr>
                <w:rFonts w:ascii="Arial" w:hAnsi="Arial" w:cs="Arial"/>
                <w:noProof/>
                <w:sz w:val="16"/>
                <w:szCs w:val="16"/>
              </w:rPr>
              <w:t>15</w:t>
            </w:r>
            <w:r>
              <w:rPr>
                <w:rFonts w:ascii="Arial" w:hAnsi="Arial" w:cs="Arial"/>
                <w:sz w:val="16"/>
                <w:szCs w:val="16"/>
              </w:rPr>
              <w:fldChar w:fldCharType="end"/>
            </w:r>
            <w:r>
              <w:rPr>
                <w:rFonts w:ascii="Arial" w:hAnsi="Arial" w:cs="Arial"/>
                <w:sz w:val="16"/>
                <w:szCs w:val="16"/>
              </w:rPr>
              <w:t>(</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AA76D9">
              <w:rPr>
                <w:rFonts w:ascii="Arial" w:hAnsi="Arial" w:cs="Arial"/>
                <w:noProof/>
                <w:sz w:val="16"/>
                <w:szCs w:val="16"/>
              </w:rPr>
              <w:t>15</w:t>
            </w:r>
            <w:r>
              <w:rPr>
                <w:rFonts w:ascii="Arial" w:hAnsi="Arial" w:cs="Arial"/>
                <w:sz w:val="16"/>
                <w:szCs w:val="16"/>
              </w:rPr>
              <w:fldChar w:fldCharType="end"/>
            </w:r>
            <w:r>
              <w:rPr>
                <w:rFonts w:ascii="Arial" w:hAnsi="Arial" w:cs="Arial"/>
                <w:sz w:val="16"/>
                <w:szCs w:val="16"/>
              </w:rPr>
              <w:t>)</w:t>
            </w:r>
          </w:p>
        </w:sdtContent>
      </w:sdt>
    </w:sdtContent>
  </w:sdt>
  <w:p w14:paraId="4B19CCD2" w14:textId="77777777" w:rsidR="00DD51B0" w:rsidRDefault="00DD5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8067D" w14:textId="77777777" w:rsidR="00D902DD" w:rsidRDefault="00D902DD" w:rsidP="000F420F">
      <w:r>
        <w:separator/>
      </w:r>
    </w:p>
  </w:footnote>
  <w:footnote w:type="continuationSeparator" w:id="0">
    <w:p w14:paraId="4504F66A" w14:textId="77777777" w:rsidR="00D902DD" w:rsidRDefault="00D902DD" w:rsidP="000F420F">
      <w:r>
        <w:continuationSeparator/>
      </w:r>
    </w:p>
  </w:footnote>
  <w:footnote w:type="continuationNotice" w:id="1">
    <w:p w14:paraId="1D86C370" w14:textId="77777777" w:rsidR="00D902DD" w:rsidRDefault="00D902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2D68585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3332"/>
    <w:multiLevelType w:val="hybridMultilevel"/>
    <w:tmpl w:val="9B767BEC"/>
    <w:lvl w:ilvl="0" w:tplc="2932D484">
      <w:start w:val="1"/>
      <w:numFmt w:val="bullet"/>
      <w:lvlText w:val=""/>
      <w:lvlJc w:val="left"/>
      <w:pPr>
        <w:ind w:left="720" w:hanging="360"/>
      </w:pPr>
      <w:rPr>
        <w:rFonts w:ascii="Symbol" w:hAnsi="Symbol" w:hint="default"/>
        <w:color w:val="00A9CE"/>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4B36DB"/>
    <w:multiLevelType w:val="hybridMultilevel"/>
    <w:tmpl w:val="C360C03E"/>
    <w:lvl w:ilvl="0" w:tplc="AD3673EE">
      <w:start w:val="1"/>
      <w:numFmt w:val="bullet"/>
      <w:pStyle w:val="Body1"/>
      <w:lvlText w:val=""/>
      <w:lvlJc w:val="left"/>
      <w:pPr>
        <w:tabs>
          <w:tab w:val="num" w:pos="992"/>
        </w:tabs>
        <w:ind w:left="992"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C2BED"/>
    <w:multiLevelType w:val="hybridMultilevel"/>
    <w:tmpl w:val="D248A3BE"/>
    <w:lvl w:ilvl="0" w:tplc="2932D484">
      <w:start w:val="1"/>
      <w:numFmt w:val="bullet"/>
      <w:lvlText w:val=""/>
      <w:lvlJc w:val="left"/>
      <w:pPr>
        <w:ind w:left="720" w:hanging="360"/>
      </w:pPr>
      <w:rPr>
        <w:rFonts w:ascii="Symbol" w:hAnsi="Symbol" w:hint="default"/>
        <w:color w:val="00A9CE"/>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F185A"/>
    <w:multiLevelType w:val="multilevel"/>
    <w:tmpl w:val="4A120CEE"/>
    <w:lvl w:ilvl="0">
      <w:start w:val="5"/>
      <w:numFmt w:val="decimal"/>
      <w:lvlText w:val="%1"/>
      <w:lvlJc w:val="left"/>
      <w:pPr>
        <w:tabs>
          <w:tab w:val="num" w:pos="360"/>
        </w:tabs>
        <w:ind w:left="360" w:hanging="360"/>
      </w:pPr>
      <w:rPr>
        <w:rFonts w:hint="default"/>
        <w:sz w:val="18"/>
      </w:rPr>
    </w:lvl>
    <w:lvl w:ilvl="1">
      <w:start w:val="1"/>
      <w:numFmt w:val="decimal"/>
      <w:pStyle w:val="Invalda3"/>
      <w:lvlText w:val="5.%2."/>
      <w:lvlJc w:val="left"/>
      <w:pPr>
        <w:tabs>
          <w:tab w:val="num" w:pos="0"/>
        </w:tabs>
        <w:ind w:left="0" w:hanging="360"/>
      </w:pPr>
      <w:rPr>
        <w:rFonts w:hint="default"/>
        <w:sz w:val="18"/>
      </w:rPr>
    </w:lvl>
    <w:lvl w:ilvl="2">
      <w:start w:val="1"/>
      <w:numFmt w:val="decimal"/>
      <w:lvlText w:val="%1.%2.%3."/>
      <w:lvlJc w:val="left"/>
      <w:pPr>
        <w:tabs>
          <w:tab w:val="num" w:pos="0"/>
        </w:tabs>
        <w:ind w:left="0" w:hanging="720"/>
      </w:pPr>
      <w:rPr>
        <w:rFonts w:hint="default"/>
        <w:sz w:val="20"/>
      </w:rPr>
    </w:lvl>
    <w:lvl w:ilvl="3">
      <w:start w:val="1"/>
      <w:numFmt w:val="decimal"/>
      <w:lvlText w:val="%1.%2.%3.%4."/>
      <w:lvlJc w:val="left"/>
      <w:pPr>
        <w:tabs>
          <w:tab w:val="num" w:pos="-360"/>
        </w:tabs>
        <w:ind w:left="-360" w:hanging="720"/>
      </w:pPr>
      <w:rPr>
        <w:rFonts w:hint="default"/>
        <w:sz w:val="20"/>
      </w:rPr>
    </w:lvl>
    <w:lvl w:ilvl="4">
      <w:start w:val="1"/>
      <w:numFmt w:val="decimal"/>
      <w:lvlText w:val="%1.%2.%3.%4.%5."/>
      <w:lvlJc w:val="left"/>
      <w:pPr>
        <w:tabs>
          <w:tab w:val="num" w:pos="-360"/>
        </w:tabs>
        <w:ind w:left="-360" w:hanging="1080"/>
      </w:pPr>
      <w:rPr>
        <w:rFonts w:hint="default"/>
        <w:sz w:val="20"/>
      </w:rPr>
    </w:lvl>
    <w:lvl w:ilvl="5">
      <w:start w:val="1"/>
      <w:numFmt w:val="decimal"/>
      <w:lvlText w:val="%1.%2.%3.%4.%5.%6."/>
      <w:lvlJc w:val="left"/>
      <w:pPr>
        <w:tabs>
          <w:tab w:val="num" w:pos="-720"/>
        </w:tabs>
        <w:ind w:left="-72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080"/>
        </w:tabs>
        <w:ind w:left="-108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5" w15:restartNumberingAfterBreak="0">
    <w:nsid w:val="07853ADB"/>
    <w:multiLevelType w:val="hybridMultilevel"/>
    <w:tmpl w:val="4830A80C"/>
    <w:lvl w:ilvl="0" w:tplc="2932D484">
      <w:start w:val="1"/>
      <w:numFmt w:val="bullet"/>
      <w:lvlText w:val=""/>
      <w:lvlJc w:val="left"/>
      <w:pPr>
        <w:ind w:left="720" w:hanging="360"/>
      </w:pPr>
      <w:rPr>
        <w:rFonts w:ascii="Symbol" w:hAnsi="Symbol" w:hint="default"/>
        <w:color w:val="00A9CE"/>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B1E32"/>
    <w:multiLevelType w:val="multilevel"/>
    <w:tmpl w:val="47304B5A"/>
    <w:numStyleLink w:val="BulletedList"/>
  </w:abstractNum>
  <w:abstractNum w:abstractNumId="7" w15:restartNumberingAfterBreak="0">
    <w:nsid w:val="0AA17C6B"/>
    <w:multiLevelType w:val="hybridMultilevel"/>
    <w:tmpl w:val="C68CA02E"/>
    <w:lvl w:ilvl="0" w:tplc="2932D484">
      <w:start w:val="1"/>
      <w:numFmt w:val="bullet"/>
      <w:lvlText w:val=""/>
      <w:lvlJc w:val="left"/>
      <w:pPr>
        <w:ind w:left="720" w:hanging="360"/>
      </w:pPr>
      <w:rPr>
        <w:rFonts w:ascii="Symbol" w:hAnsi="Symbol" w:hint="default"/>
        <w:color w:val="00A9CE"/>
        <w:u w:color="FFFFFF" w:themeColor="background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F230E2"/>
    <w:multiLevelType w:val="hybridMultilevel"/>
    <w:tmpl w:val="1A8AA348"/>
    <w:lvl w:ilvl="0" w:tplc="2932D484">
      <w:start w:val="1"/>
      <w:numFmt w:val="bullet"/>
      <w:lvlText w:val=""/>
      <w:lvlJc w:val="left"/>
      <w:pPr>
        <w:ind w:left="720" w:hanging="360"/>
      </w:pPr>
      <w:rPr>
        <w:rFonts w:ascii="Symbol" w:hAnsi="Symbol" w:hint="default"/>
        <w:color w:val="00A9CE"/>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91668"/>
    <w:multiLevelType w:val="multilevel"/>
    <w:tmpl w:val="47304B5A"/>
    <w:styleLink w:val="BulletedList"/>
    <w:lvl w:ilvl="0">
      <w:start w:val="1"/>
      <w:numFmt w:val="bullet"/>
      <w:pStyle w:val="Bulletedlist1"/>
      <w:lvlText w:val=""/>
      <w:lvlJc w:val="left"/>
      <w:pPr>
        <w:ind w:left="709" w:hanging="709"/>
      </w:pPr>
      <w:rPr>
        <w:rFonts w:ascii="Symbol" w:hAnsi="Symbol" w:hint="default"/>
        <w:color w:val="4472C4" w:themeColor="accent1"/>
      </w:rPr>
    </w:lvl>
    <w:lvl w:ilvl="1">
      <w:start w:val="1"/>
      <w:numFmt w:val="bullet"/>
      <w:pStyle w:val="Bulletedlist2"/>
      <w:lvlText w:val=""/>
      <w:lvlJc w:val="left"/>
      <w:pPr>
        <w:ind w:left="1418" w:hanging="709"/>
      </w:pPr>
      <w:rPr>
        <w:rFonts w:ascii="Symbol" w:hAnsi="Symbol" w:hint="default"/>
        <w:color w:val="4472C4" w:themeColor="accent1"/>
      </w:rPr>
    </w:lvl>
    <w:lvl w:ilvl="2">
      <w:start w:val="1"/>
      <w:numFmt w:val="none"/>
      <w:lvlText w:val="-"/>
      <w:lvlJc w:val="left"/>
      <w:pPr>
        <w:tabs>
          <w:tab w:val="num" w:pos="1418"/>
        </w:tabs>
        <w:ind w:left="2126" w:hanging="708"/>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none"/>
      <w:lvlText w:val=""/>
      <w:lvlJc w:val="left"/>
      <w:pPr>
        <w:ind w:left="709" w:hanging="709"/>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0" w15:restartNumberingAfterBreak="0">
    <w:nsid w:val="10F704CA"/>
    <w:multiLevelType w:val="hybridMultilevel"/>
    <w:tmpl w:val="C9345C82"/>
    <w:lvl w:ilvl="0" w:tplc="4AD42C58">
      <w:start w:val="1"/>
      <w:numFmt w:val="bullet"/>
      <w:pStyle w:val="BM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DC4F5D"/>
    <w:multiLevelType w:val="multilevel"/>
    <w:tmpl w:val="EDDCC37E"/>
    <w:lvl w:ilvl="0">
      <w:start w:val="1"/>
      <w:numFmt w:val="bullet"/>
      <w:lvlText w:val=""/>
      <w:lvlJc w:val="left"/>
      <w:pPr>
        <w:ind w:left="720" w:hanging="360"/>
      </w:pPr>
      <w:rPr>
        <w:rFonts w:ascii="Symbol" w:hAnsi="Symbol" w:hint="default"/>
        <w:color w:val="00A9CE"/>
        <w:u w:color="FFFFFF" w:themeColor="background1"/>
      </w:rPr>
    </w:lvl>
    <w:lvl w:ilvl="1">
      <w:start w:val="8"/>
      <w:numFmt w:val="decimal"/>
      <w:isLgl/>
      <w:lvlText w:val="%1.%2."/>
      <w:lvlJc w:val="left"/>
      <w:pPr>
        <w:ind w:left="912" w:hanging="55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1E24DA6"/>
    <w:multiLevelType w:val="hybridMultilevel"/>
    <w:tmpl w:val="C6E48F28"/>
    <w:lvl w:ilvl="0" w:tplc="2932D484">
      <w:start w:val="1"/>
      <w:numFmt w:val="bullet"/>
      <w:lvlText w:val=""/>
      <w:lvlJc w:val="left"/>
      <w:pPr>
        <w:ind w:left="720" w:hanging="360"/>
      </w:pPr>
      <w:rPr>
        <w:rFonts w:ascii="Symbol" w:hAnsi="Symbol" w:hint="default"/>
        <w:color w:val="00A9CE"/>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B25B6F"/>
    <w:multiLevelType w:val="hybridMultilevel"/>
    <w:tmpl w:val="FF8C3F48"/>
    <w:lvl w:ilvl="0" w:tplc="2932D484">
      <w:start w:val="1"/>
      <w:numFmt w:val="bullet"/>
      <w:lvlText w:val=""/>
      <w:lvlJc w:val="left"/>
      <w:pPr>
        <w:ind w:left="720" w:hanging="360"/>
      </w:pPr>
      <w:rPr>
        <w:rFonts w:ascii="Symbol" w:hAnsi="Symbol" w:hint="default"/>
        <w:color w:val="00A9CE"/>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A60565"/>
    <w:multiLevelType w:val="hybridMultilevel"/>
    <w:tmpl w:val="97481FF8"/>
    <w:lvl w:ilvl="0" w:tplc="2932D484">
      <w:start w:val="1"/>
      <w:numFmt w:val="bullet"/>
      <w:lvlText w:val=""/>
      <w:lvlJc w:val="left"/>
      <w:pPr>
        <w:ind w:left="780" w:hanging="360"/>
      </w:pPr>
      <w:rPr>
        <w:rFonts w:ascii="Symbol" w:hAnsi="Symbol" w:hint="default"/>
        <w:color w:val="00A9CE"/>
        <w:u w:color="FFFFFF" w:themeColor="background1"/>
      </w:rPr>
    </w:lvl>
    <w:lvl w:ilvl="1" w:tplc="2932D484">
      <w:start w:val="1"/>
      <w:numFmt w:val="bullet"/>
      <w:lvlText w:val=""/>
      <w:lvlJc w:val="left"/>
      <w:pPr>
        <w:ind w:left="1500" w:hanging="360"/>
      </w:pPr>
      <w:rPr>
        <w:rFonts w:ascii="Symbol" w:hAnsi="Symbol" w:hint="default"/>
        <w:color w:val="00A9CE"/>
        <w:u w:color="FFFFFF" w:themeColor="background1"/>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18D31092"/>
    <w:multiLevelType w:val="hybridMultilevel"/>
    <w:tmpl w:val="E21259C2"/>
    <w:lvl w:ilvl="0" w:tplc="2932D484">
      <w:start w:val="1"/>
      <w:numFmt w:val="bullet"/>
      <w:lvlText w:val=""/>
      <w:lvlJc w:val="left"/>
      <w:pPr>
        <w:ind w:left="720" w:hanging="360"/>
      </w:pPr>
      <w:rPr>
        <w:rFonts w:ascii="Symbol" w:hAnsi="Symbol" w:hint="default"/>
        <w:color w:val="00A9CE"/>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A10DA3"/>
    <w:multiLevelType w:val="hybridMultilevel"/>
    <w:tmpl w:val="D042F568"/>
    <w:lvl w:ilvl="0" w:tplc="2932D484">
      <w:start w:val="1"/>
      <w:numFmt w:val="bullet"/>
      <w:lvlText w:val=""/>
      <w:lvlJc w:val="left"/>
      <w:pPr>
        <w:ind w:left="776" w:hanging="360"/>
      </w:pPr>
      <w:rPr>
        <w:rFonts w:ascii="Symbol" w:hAnsi="Symbol" w:hint="default"/>
        <w:color w:val="00A9CE"/>
        <w:u w:color="FFFFFF" w:themeColor="background1"/>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7" w15:restartNumberingAfterBreak="0">
    <w:nsid w:val="210F6D22"/>
    <w:multiLevelType w:val="multilevel"/>
    <w:tmpl w:val="742AF550"/>
    <w:styleLink w:val="NumberedHeading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tabs>
          <w:tab w:val="num" w:pos="1418"/>
        </w:tabs>
        <w:ind w:left="709" w:hanging="709"/>
      </w:pPr>
      <w:rPr>
        <w:rFonts w:hint="default"/>
      </w:rPr>
    </w:lvl>
    <w:lvl w:ilvl="3">
      <w:start w:val="1"/>
      <w:numFmt w:val="decimal"/>
      <w:lvlRestart w:val="1"/>
      <w:pStyle w:val="Clause1"/>
      <w:lvlText w:val="%1.%4"/>
      <w:lvlJc w:val="left"/>
      <w:pPr>
        <w:ind w:left="720" w:hanging="720"/>
      </w:pPr>
      <w:rPr>
        <w:rFonts w:hint="default"/>
      </w:rPr>
    </w:lvl>
    <w:lvl w:ilvl="4">
      <w:start w:val="1"/>
      <w:numFmt w:val="decimal"/>
      <w:lvlRestart w:val="2"/>
      <w:pStyle w:val="Clause2"/>
      <w:lvlText w:val="%1.%2.%5"/>
      <w:lvlJc w:val="left"/>
      <w:pPr>
        <w:ind w:left="720" w:hanging="720"/>
      </w:pPr>
      <w:rPr>
        <w:rFonts w:hint="default"/>
      </w:rPr>
    </w:lvl>
    <w:lvl w:ilvl="5">
      <w:start w:val="1"/>
      <w:numFmt w:val="decimal"/>
      <w:pStyle w:val="Clause3"/>
      <w:lvlText w:val="%1.%2.%3.%6"/>
      <w:lvlJc w:val="left"/>
      <w:pPr>
        <w:ind w:left="720" w:hanging="720"/>
      </w:pPr>
      <w:rPr>
        <w:rFonts w:hint="default"/>
      </w:rPr>
    </w:lvl>
    <w:lvl w:ilvl="6">
      <w:start w:val="1"/>
      <w:numFmt w:val="decimal"/>
      <w:pStyle w:val="Clause2A"/>
      <w:lvlText w:val="%1.%2.%5.%7"/>
      <w:lvlJc w:val="left"/>
      <w:pPr>
        <w:ind w:left="720" w:hanging="720"/>
      </w:pPr>
      <w:rPr>
        <w:rFonts w:hint="default"/>
      </w:rPr>
    </w:lvl>
    <w:lvl w:ilvl="7">
      <w:start w:val="1"/>
      <w:numFmt w:val="decimal"/>
      <w:lvlRestart w:val="4"/>
      <w:pStyle w:val="Clause1A"/>
      <w:lvlText w:val="%1.%4.%8"/>
      <w:lvlJc w:val="left"/>
      <w:pPr>
        <w:ind w:left="720" w:hanging="720"/>
      </w:pPr>
      <w:rPr>
        <w:rFonts w:hint="default"/>
      </w:rPr>
    </w:lvl>
    <w:lvl w:ilvl="8">
      <w:start w:val="1"/>
      <w:numFmt w:val="decimal"/>
      <w:pStyle w:val="Clause1B"/>
      <w:lvlText w:val="%1.%4.%8.%9"/>
      <w:lvlJc w:val="left"/>
      <w:pPr>
        <w:ind w:left="720" w:hanging="720"/>
      </w:pPr>
      <w:rPr>
        <w:rFonts w:hint="default"/>
      </w:rPr>
    </w:lvl>
  </w:abstractNum>
  <w:abstractNum w:abstractNumId="18" w15:restartNumberingAfterBreak="0">
    <w:nsid w:val="22026A0B"/>
    <w:multiLevelType w:val="hybridMultilevel"/>
    <w:tmpl w:val="EF6A466E"/>
    <w:lvl w:ilvl="0" w:tplc="2932D484">
      <w:start w:val="1"/>
      <w:numFmt w:val="bullet"/>
      <w:lvlText w:val=""/>
      <w:lvlJc w:val="left"/>
      <w:pPr>
        <w:ind w:left="720" w:hanging="360"/>
      </w:pPr>
      <w:rPr>
        <w:rFonts w:ascii="Symbol" w:hAnsi="Symbol" w:hint="default"/>
        <w:color w:val="00A9CE"/>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5948CF"/>
    <w:multiLevelType w:val="hybridMultilevel"/>
    <w:tmpl w:val="68FE41CA"/>
    <w:lvl w:ilvl="0" w:tplc="2932D484">
      <w:start w:val="1"/>
      <w:numFmt w:val="bullet"/>
      <w:lvlText w:val=""/>
      <w:lvlJc w:val="left"/>
      <w:pPr>
        <w:ind w:left="720" w:hanging="360"/>
      </w:pPr>
      <w:rPr>
        <w:rFonts w:ascii="Symbol" w:hAnsi="Symbol" w:hint="default"/>
        <w:color w:val="00A9CE"/>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E67371"/>
    <w:multiLevelType w:val="hybridMultilevel"/>
    <w:tmpl w:val="ED16FC66"/>
    <w:lvl w:ilvl="0" w:tplc="2932D484">
      <w:start w:val="1"/>
      <w:numFmt w:val="bullet"/>
      <w:lvlText w:val=""/>
      <w:lvlJc w:val="left"/>
      <w:pPr>
        <w:ind w:left="720" w:hanging="360"/>
      </w:pPr>
      <w:rPr>
        <w:rFonts w:ascii="Symbol" w:hAnsi="Symbol" w:hint="default"/>
        <w:color w:val="00A9CE"/>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712AE7"/>
    <w:multiLevelType w:val="hybridMultilevel"/>
    <w:tmpl w:val="2F122AE4"/>
    <w:lvl w:ilvl="0" w:tplc="2932D484">
      <w:start w:val="1"/>
      <w:numFmt w:val="bullet"/>
      <w:lvlText w:val=""/>
      <w:lvlJc w:val="left"/>
      <w:pPr>
        <w:ind w:left="720" w:hanging="360"/>
      </w:pPr>
      <w:rPr>
        <w:rFonts w:ascii="Symbol" w:hAnsi="Symbol" w:hint="default"/>
        <w:color w:val="00A9CE"/>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635412"/>
    <w:multiLevelType w:val="singleLevel"/>
    <w:tmpl w:val="AB30F568"/>
    <w:lvl w:ilvl="0">
      <w:start w:val="1"/>
      <w:numFmt w:val="decimal"/>
      <w:pStyle w:val="AANumbering"/>
      <w:lvlText w:val="%1."/>
      <w:lvlJc w:val="left"/>
      <w:pPr>
        <w:tabs>
          <w:tab w:val="num" w:pos="283"/>
        </w:tabs>
        <w:ind w:left="283" w:hanging="283"/>
      </w:pPr>
    </w:lvl>
  </w:abstractNum>
  <w:abstractNum w:abstractNumId="23" w15:restartNumberingAfterBreak="0">
    <w:nsid w:val="26C500FB"/>
    <w:multiLevelType w:val="multilevel"/>
    <w:tmpl w:val="F288D3F0"/>
    <w:styleLink w:val="NumberedList"/>
    <w:lvl w:ilvl="0">
      <w:start w:val="1"/>
      <w:numFmt w:val="decimal"/>
      <w:pStyle w:val="Numberedlist1"/>
      <w:lvlText w:val="(%1)"/>
      <w:lvlJc w:val="left"/>
      <w:pPr>
        <w:ind w:left="709" w:hanging="709"/>
      </w:pPr>
      <w:rPr>
        <w:rFonts w:hint="default"/>
      </w:rPr>
    </w:lvl>
    <w:lvl w:ilvl="1">
      <w:start w:val="1"/>
      <w:numFmt w:val="lowerLetter"/>
      <w:pStyle w:val="Numberedlist2"/>
      <w:lvlText w:val="(%2)"/>
      <w:lvlJc w:val="left"/>
      <w:pPr>
        <w:ind w:left="1418" w:hanging="709"/>
      </w:pPr>
      <w:rPr>
        <w:rFonts w:hint="default"/>
      </w:rPr>
    </w:lvl>
    <w:lvl w:ilvl="2">
      <w:start w:val="1"/>
      <w:numFmt w:val="lowerRoman"/>
      <w:pStyle w:val="Numberedlist3"/>
      <w:lvlText w:val="(%3)"/>
      <w:lvlJc w:val="left"/>
      <w:pPr>
        <w:tabs>
          <w:tab w:val="num" w:pos="1418"/>
        </w:tabs>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24" w15:restartNumberingAfterBreak="0">
    <w:nsid w:val="26D44778"/>
    <w:multiLevelType w:val="multilevel"/>
    <w:tmpl w:val="426227A4"/>
    <w:styleLink w:val="ResolutionList"/>
    <w:lvl w:ilvl="0">
      <w:start w:val="1"/>
      <w:numFmt w:val="decimal"/>
      <w:pStyle w:val="Resolution"/>
      <w:lvlText w:val="%1."/>
      <w:lvlJc w:val="left"/>
      <w:pPr>
        <w:ind w:left="720" w:hanging="720"/>
      </w:pPr>
      <w:rPr>
        <w:rFonts w:hint="default"/>
      </w:rPr>
    </w:lvl>
    <w:lvl w:ilvl="1">
      <w:start w:val="1"/>
      <w:numFmt w:val="none"/>
      <w:lvlText w:val=""/>
      <w:lvlJc w:val="left"/>
      <w:pPr>
        <w:ind w:left="-31680" w:firstLine="0"/>
      </w:pPr>
      <w:rPr>
        <w:rFonts w:hint="default"/>
      </w:rPr>
    </w:lvl>
    <w:lvl w:ilvl="2">
      <w:start w:val="1"/>
      <w:numFmt w:val="none"/>
      <w:lvlText w:val=""/>
      <w:lvlJc w:val="left"/>
      <w:pPr>
        <w:ind w:left="-31680" w:firstLine="0"/>
      </w:pPr>
      <w:rPr>
        <w:rFonts w:hint="default"/>
      </w:rPr>
    </w:lvl>
    <w:lvl w:ilvl="3">
      <w:start w:val="1"/>
      <w:numFmt w:val="none"/>
      <w:lvlText w:val=""/>
      <w:lvlJc w:val="left"/>
      <w:pPr>
        <w:ind w:left="-31680" w:firstLine="0"/>
      </w:pPr>
      <w:rPr>
        <w:rFonts w:hint="default"/>
      </w:rPr>
    </w:lvl>
    <w:lvl w:ilvl="4">
      <w:start w:val="1"/>
      <w:numFmt w:val="none"/>
      <w:lvlText w:val=""/>
      <w:lvlJc w:val="left"/>
      <w:pPr>
        <w:ind w:left="-31680" w:firstLine="0"/>
      </w:pPr>
      <w:rPr>
        <w:rFonts w:hint="default"/>
      </w:rPr>
    </w:lvl>
    <w:lvl w:ilvl="5">
      <w:start w:val="1"/>
      <w:numFmt w:val="none"/>
      <w:lvlText w:val=""/>
      <w:lvlJc w:val="left"/>
      <w:pPr>
        <w:ind w:left="-31680" w:firstLine="0"/>
      </w:pPr>
      <w:rPr>
        <w:rFonts w:hint="default"/>
      </w:rPr>
    </w:lvl>
    <w:lvl w:ilvl="6">
      <w:start w:val="1"/>
      <w:numFmt w:val="none"/>
      <w:lvlText w:val=""/>
      <w:lvlJc w:val="left"/>
      <w:pPr>
        <w:ind w:left="-31680" w:firstLine="0"/>
      </w:pPr>
      <w:rPr>
        <w:rFonts w:hint="default"/>
      </w:rPr>
    </w:lvl>
    <w:lvl w:ilvl="7">
      <w:start w:val="1"/>
      <w:numFmt w:val="none"/>
      <w:lvlText w:val=""/>
      <w:lvlJc w:val="left"/>
      <w:pPr>
        <w:ind w:left="-31680" w:firstLine="0"/>
      </w:pPr>
      <w:rPr>
        <w:rFonts w:hint="default"/>
      </w:rPr>
    </w:lvl>
    <w:lvl w:ilvl="8">
      <w:start w:val="1"/>
      <w:numFmt w:val="none"/>
      <w:lvlText w:val=""/>
      <w:lvlJc w:val="left"/>
      <w:pPr>
        <w:ind w:left="-31680" w:firstLine="0"/>
      </w:pPr>
      <w:rPr>
        <w:rFonts w:hint="default"/>
      </w:rPr>
    </w:lvl>
  </w:abstractNum>
  <w:abstractNum w:abstractNumId="25" w15:restartNumberingAfterBreak="0">
    <w:nsid w:val="28E50D15"/>
    <w:multiLevelType w:val="hybridMultilevel"/>
    <w:tmpl w:val="017EB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9C20EC"/>
    <w:multiLevelType w:val="hybridMultilevel"/>
    <w:tmpl w:val="E3B64306"/>
    <w:lvl w:ilvl="0" w:tplc="2932D484">
      <w:start w:val="1"/>
      <w:numFmt w:val="bullet"/>
      <w:lvlText w:val=""/>
      <w:lvlJc w:val="left"/>
      <w:pPr>
        <w:ind w:left="720" w:hanging="360"/>
      </w:pPr>
      <w:rPr>
        <w:rFonts w:ascii="Symbol" w:hAnsi="Symbol" w:hint="default"/>
        <w:color w:val="00A9CE"/>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B40D12"/>
    <w:multiLevelType w:val="multilevel"/>
    <w:tmpl w:val="2720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FB3F8A"/>
    <w:multiLevelType w:val="multilevel"/>
    <w:tmpl w:val="9280E0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2E0D6B11"/>
    <w:multiLevelType w:val="hybridMultilevel"/>
    <w:tmpl w:val="8BBADE88"/>
    <w:lvl w:ilvl="0" w:tplc="2932D484">
      <w:start w:val="1"/>
      <w:numFmt w:val="bullet"/>
      <w:lvlText w:val=""/>
      <w:lvlJc w:val="left"/>
      <w:pPr>
        <w:ind w:left="720" w:hanging="360"/>
      </w:pPr>
      <w:rPr>
        <w:rFonts w:ascii="Symbol" w:hAnsi="Symbol" w:hint="default"/>
        <w:color w:val="00A9CE"/>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0FD0605"/>
    <w:multiLevelType w:val="hybridMultilevel"/>
    <w:tmpl w:val="5072BDC0"/>
    <w:lvl w:ilvl="0" w:tplc="2932D484">
      <w:start w:val="1"/>
      <w:numFmt w:val="bullet"/>
      <w:lvlText w:val=""/>
      <w:lvlJc w:val="left"/>
      <w:pPr>
        <w:ind w:left="1440" w:hanging="360"/>
      </w:pPr>
      <w:rPr>
        <w:rFonts w:ascii="Symbol" w:hAnsi="Symbol" w:hint="default"/>
        <w:color w:val="00A9CE"/>
        <w:u w:color="FFFFFF"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1750FF8"/>
    <w:multiLevelType w:val="hybridMultilevel"/>
    <w:tmpl w:val="A118A6C4"/>
    <w:lvl w:ilvl="0" w:tplc="2932D484">
      <w:start w:val="1"/>
      <w:numFmt w:val="bullet"/>
      <w:lvlText w:val=""/>
      <w:lvlJc w:val="left"/>
      <w:pPr>
        <w:ind w:left="780" w:hanging="360"/>
      </w:pPr>
      <w:rPr>
        <w:rFonts w:ascii="Symbol" w:hAnsi="Symbol" w:hint="default"/>
        <w:color w:val="00A9CE"/>
        <w:u w:color="FFFFFF" w:themeColor="background1"/>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32936C55"/>
    <w:multiLevelType w:val="hybridMultilevel"/>
    <w:tmpl w:val="AFD61106"/>
    <w:lvl w:ilvl="0" w:tplc="2932D484">
      <w:start w:val="1"/>
      <w:numFmt w:val="bullet"/>
      <w:lvlText w:val=""/>
      <w:lvlJc w:val="left"/>
      <w:pPr>
        <w:ind w:left="720" w:hanging="360"/>
      </w:pPr>
      <w:rPr>
        <w:rFonts w:ascii="Symbol" w:hAnsi="Symbol" w:hint="default"/>
        <w:color w:val="00A9CE"/>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632C85"/>
    <w:multiLevelType w:val="multilevel"/>
    <w:tmpl w:val="58B69474"/>
    <w:styleLink w:val="PleaList"/>
    <w:lvl w:ilvl="0">
      <w:start w:val="1"/>
      <w:numFmt w:val="none"/>
      <w:pStyle w:val="PleaHeading"/>
      <w:suff w:val="nothing"/>
      <w:lvlText w:val=""/>
      <w:lvlJc w:val="left"/>
      <w:pPr>
        <w:ind w:left="0" w:firstLine="0"/>
      </w:pPr>
      <w:rPr>
        <w:rFonts w:hint="default"/>
      </w:rPr>
    </w:lvl>
    <w:lvl w:ilvl="1">
      <w:start w:val="1"/>
      <w:numFmt w:val="decimal"/>
      <w:pStyle w:val="Plea"/>
      <w:lvlText w:val="%2."/>
      <w:lvlJc w:val="left"/>
      <w:pPr>
        <w:ind w:left="720" w:firstLine="2115"/>
      </w:pPr>
      <w:rPr>
        <w:rFonts w:hint="default"/>
      </w:rPr>
    </w:lvl>
    <w:lvl w:ilvl="2">
      <w:start w:val="1"/>
      <w:numFmt w:val="none"/>
      <w:lvlText w:val=""/>
      <w:lvlJc w:val="left"/>
      <w:pPr>
        <w:ind w:left="720" w:firstLine="2115"/>
      </w:pPr>
      <w:rPr>
        <w:rFonts w:hint="default"/>
      </w:rPr>
    </w:lvl>
    <w:lvl w:ilvl="3">
      <w:start w:val="1"/>
      <w:numFmt w:val="none"/>
      <w:lvlText w:val=""/>
      <w:lvlJc w:val="left"/>
      <w:pPr>
        <w:ind w:left="720" w:firstLine="2115"/>
      </w:pPr>
      <w:rPr>
        <w:rFonts w:hint="default"/>
      </w:rPr>
    </w:lvl>
    <w:lvl w:ilvl="4">
      <w:start w:val="1"/>
      <w:numFmt w:val="none"/>
      <w:lvlText w:val=""/>
      <w:lvlJc w:val="left"/>
      <w:pPr>
        <w:ind w:left="720" w:firstLine="2115"/>
      </w:pPr>
      <w:rPr>
        <w:rFonts w:hint="default"/>
      </w:rPr>
    </w:lvl>
    <w:lvl w:ilvl="5">
      <w:start w:val="1"/>
      <w:numFmt w:val="none"/>
      <w:lvlText w:val=""/>
      <w:lvlJc w:val="left"/>
      <w:pPr>
        <w:ind w:left="720" w:firstLine="2115"/>
      </w:pPr>
      <w:rPr>
        <w:rFonts w:hint="default"/>
      </w:rPr>
    </w:lvl>
    <w:lvl w:ilvl="6">
      <w:start w:val="1"/>
      <w:numFmt w:val="none"/>
      <w:lvlText w:val=""/>
      <w:lvlJc w:val="left"/>
      <w:pPr>
        <w:ind w:left="720" w:firstLine="2115"/>
      </w:pPr>
      <w:rPr>
        <w:rFonts w:hint="default"/>
      </w:rPr>
    </w:lvl>
    <w:lvl w:ilvl="7">
      <w:start w:val="1"/>
      <w:numFmt w:val="none"/>
      <w:lvlText w:val=""/>
      <w:lvlJc w:val="left"/>
      <w:pPr>
        <w:ind w:left="720" w:firstLine="2115"/>
      </w:pPr>
      <w:rPr>
        <w:rFonts w:hint="default"/>
      </w:rPr>
    </w:lvl>
    <w:lvl w:ilvl="8">
      <w:start w:val="1"/>
      <w:numFmt w:val="none"/>
      <w:lvlText w:val=""/>
      <w:lvlJc w:val="left"/>
      <w:pPr>
        <w:ind w:left="720" w:firstLine="2115"/>
      </w:pPr>
      <w:rPr>
        <w:rFonts w:hint="default"/>
      </w:rPr>
    </w:lvl>
  </w:abstractNum>
  <w:abstractNum w:abstractNumId="34" w15:restartNumberingAfterBreak="0">
    <w:nsid w:val="33811925"/>
    <w:multiLevelType w:val="hybridMultilevel"/>
    <w:tmpl w:val="8FF2B264"/>
    <w:lvl w:ilvl="0" w:tplc="2932D484">
      <w:start w:val="1"/>
      <w:numFmt w:val="bullet"/>
      <w:lvlText w:val=""/>
      <w:lvlJc w:val="left"/>
      <w:pPr>
        <w:ind w:left="720" w:hanging="360"/>
      </w:pPr>
      <w:rPr>
        <w:rFonts w:ascii="Symbol" w:hAnsi="Symbol" w:hint="default"/>
        <w:color w:val="00A9CE"/>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4334212"/>
    <w:multiLevelType w:val="hybridMultilevel"/>
    <w:tmpl w:val="20BC3990"/>
    <w:lvl w:ilvl="0" w:tplc="981266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7493921"/>
    <w:multiLevelType w:val="hybridMultilevel"/>
    <w:tmpl w:val="D58C161E"/>
    <w:lvl w:ilvl="0" w:tplc="B1AC975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CB70E2"/>
    <w:multiLevelType w:val="multilevel"/>
    <w:tmpl w:val="8DECFDDE"/>
    <w:styleLink w:val="Resolutionlist0"/>
    <w:lvl w:ilvl="0">
      <w:start w:val="1"/>
      <w:numFmt w:val="decimal"/>
      <w:lvlText w:val="%1."/>
      <w:lvlJc w:val="left"/>
      <w:pPr>
        <w:ind w:left="709" w:hanging="709"/>
      </w:pPr>
      <w:rPr>
        <w:rFonts w:hint="default"/>
      </w:rPr>
    </w:lvl>
    <w:lvl w:ilvl="1">
      <w:start w:val="1"/>
      <w:numFmt w:val="decimal"/>
      <w:lvlText w:val="%2.%1"/>
      <w:lvlJc w:val="left"/>
      <w:pPr>
        <w:ind w:left="1418" w:hanging="709"/>
      </w:pPr>
      <w:rPr>
        <w:rFonts w:hint="default"/>
      </w:rPr>
    </w:lvl>
    <w:lvl w:ilvl="2">
      <w:start w:val="1"/>
      <w:numFmt w:val="decimal"/>
      <w:lvlText w:val="%1.%2.%3."/>
      <w:lvlJc w:val="left"/>
      <w:pPr>
        <w:ind w:left="2126"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BC36F8C"/>
    <w:multiLevelType w:val="hybridMultilevel"/>
    <w:tmpl w:val="568CA2A2"/>
    <w:lvl w:ilvl="0" w:tplc="2932D484">
      <w:start w:val="1"/>
      <w:numFmt w:val="bullet"/>
      <w:lvlText w:val=""/>
      <w:lvlJc w:val="left"/>
      <w:pPr>
        <w:ind w:left="720" w:hanging="360"/>
      </w:pPr>
      <w:rPr>
        <w:rFonts w:ascii="Symbol" w:hAnsi="Symbol" w:hint="default"/>
        <w:color w:val="00A9CE"/>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B268B1"/>
    <w:multiLevelType w:val="hybridMultilevel"/>
    <w:tmpl w:val="1D7EEA44"/>
    <w:lvl w:ilvl="0" w:tplc="2932D484">
      <w:start w:val="1"/>
      <w:numFmt w:val="bullet"/>
      <w:lvlText w:val=""/>
      <w:lvlJc w:val="left"/>
      <w:pPr>
        <w:ind w:left="720" w:hanging="360"/>
      </w:pPr>
      <w:rPr>
        <w:rFonts w:ascii="Symbol" w:hAnsi="Symbol" w:hint="default"/>
        <w:color w:val="00A9CE"/>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EE408C"/>
    <w:multiLevelType w:val="hybridMultilevel"/>
    <w:tmpl w:val="DCDA2096"/>
    <w:lvl w:ilvl="0" w:tplc="2932D484">
      <w:start w:val="1"/>
      <w:numFmt w:val="bullet"/>
      <w:lvlText w:val=""/>
      <w:lvlJc w:val="left"/>
      <w:pPr>
        <w:ind w:left="720" w:hanging="360"/>
      </w:pPr>
      <w:rPr>
        <w:rFonts w:ascii="Symbol" w:hAnsi="Symbol" w:hint="default"/>
        <w:color w:val="00A9CE"/>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BA1B8E"/>
    <w:multiLevelType w:val="hybridMultilevel"/>
    <w:tmpl w:val="BAAC0A86"/>
    <w:lvl w:ilvl="0" w:tplc="424E3234">
      <w:start w:val="1"/>
      <w:numFmt w:val="bullet"/>
      <w:lvlText w:val=""/>
      <w:lvlJc w:val="left"/>
      <w:pPr>
        <w:tabs>
          <w:tab w:val="num" w:pos="510"/>
        </w:tabs>
        <w:ind w:left="510" w:hanging="510"/>
      </w:pPr>
      <w:rPr>
        <w:rFonts w:ascii="Symbol" w:hAnsi="Symbol" w:hint="default"/>
      </w:rPr>
    </w:lvl>
    <w:lvl w:ilvl="1" w:tplc="52862E38" w:tentative="1">
      <w:start w:val="1"/>
      <w:numFmt w:val="bullet"/>
      <w:lvlText w:val="o"/>
      <w:lvlJc w:val="left"/>
      <w:pPr>
        <w:tabs>
          <w:tab w:val="num" w:pos="1440"/>
        </w:tabs>
        <w:ind w:left="1440" w:hanging="360"/>
      </w:pPr>
      <w:rPr>
        <w:rFonts w:ascii="Courier New" w:hAnsi="Courier New" w:hint="default"/>
      </w:rPr>
    </w:lvl>
    <w:lvl w:ilvl="2" w:tplc="7722B1DC" w:tentative="1">
      <w:start w:val="1"/>
      <w:numFmt w:val="bullet"/>
      <w:pStyle w:val="StyleHeading3BoldAutoBefore0ptAfter6pt"/>
      <w:lvlText w:val=""/>
      <w:lvlJc w:val="left"/>
      <w:pPr>
        <w:tabs>
          <w:tab w:val="num" w:pos="2160"/>
        </w:tabs>
        <w:ind w:left="2160" w:hanging="360"/>
      </w:pPr>
      <w:rPr>
        <w:rFonts w:ascii="Wingdings" w:hAnsi="Wingdings" w:hint="default"/>
      </w:rPr>
    </w:lvl>
    <w:lvl w:ilvl="3" w:tplc="E0AA9E0E" w:tentative="1">
      <w:start w:val="1"/>
      <w:numFmt w:val="bullet"/>
      <w:lvlText w:val=""/>
      <w:lvlJc w:val="left"/>
      <w:pPr>
        <w:tabs>
          <w:tab w:val="num" w:pos="2880"/>
        </w:tabs>
        <w:ind w:left="2880" w:hanging="360"/>
      </w:pPr>
      <w:rPr>
        <w:rFonts w:ascii="Symbol" w:hAnsi="Symbol" w:hint="default"/>
      </w:rPr>
    </w:lvl>
    <w:lvl w:ilvl="4" w:tplc="EC08A4A6" w:tentative="1">
      <w:start w:val="1"/>
      <w:numFmt w:val="bullet"/>
      <w:lvlText w:val="o"/>
      <w:lvlJc w:val="left"/>
      <w:pPr>
        <w:tabs>
          <w:tab w:val="num" w:pos="3600"/>
        </w:tabs>
        <w:ind w:left="3600" w:hanging="360"/>
      </w:pPr>
      <w:rPr>
        <w:rFonts w:ascii="Courier New" w:hAnsi="Courier New" w:hint="default"/>
      </w:rPr>
    </w:lvl>
    <w:lvl w:ilvl="5" w:tplc="0AA2596E" w:tentative="1">
      <w:start w:val="1"/>
      <w:numFmt w:val="bullet"/>
      <w:lvlText w:val=""/>
      <w:lvlJc w:val="left"/>
      <w:pPr>
        <w:tabs>
          <w:tab w:val="num" w:pos="4320"/>
        </w:tabs>
        <w:ind w:left="4320" w:hanging="360"/>
      </w:pPr>
      <w:rPr>
        <w:rFonts w:ascii="Wingdings" w:hAnsi="Wingdings" w:hint="default"/>
      </w:rPr>
    </w:lvl>
    <w:lvl w:ilvl="6" w:tplc="3DC4DF76" w:tentative="1">
      <w:start w:val="1"/>
      <w:numFmt w:val="bullet"/>
      <w:lvlText w:val=""/>
      <w:lvlJc w:val="left"/>
      <w:pPr>
        <w:tabs>
          <w:tab w:val="num" w:pos="5040"/>
        </w:tabs>
        <w:ind w:left="5040" w:hanging="360"/>
      </w:pPr>
      <w:rPr>
        <w:rFonts w:ascii="Symbol" w:hAnsi="Symbol" w:hint="default"/>
      </w:rPr>
    </w:lvl>
    <w:lvl w:ilvl="7" w:tplc="6A36F0FE" w:tentative="1">
      <w:start w:val="1"/>
      <w:numFmt w:val="bullet"/>
      <w:lvlText w:val="o"/>
      <w:lvlJc w:val="left"/>
      <w:pPr>
        <w:tabs>
          <w:tab w:val="num" w:pos="5760"/>
        </w:tabs>
        <w:ind w:left="5760" w:hanging="360"/>
      </w:pPr>
      <w:rPr>
        <w:rFonts w:ascii="Courier New" w:hAnsi="Courier New" w:hint="default"/>
      </w:rPr>
    </w:lvl>
    <w:lvl w:ilvl="8" w:tplc="00344D9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7A7239D"/>
    <w:multiLevelType w:val="hybridMultilevel"/>
    <w:tmpl w:val="3A923F18"/>
    <w:lvl w:ilvl="0" w:tplc="D654F8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81803AD"/>
    <w:multiLevelType w:val="hybridMultilevel"/>
    <w:tmpl w:val="45927A32"/>
    <w:lvl w:ilvl="0" w:tplc="2932D484">
      <w:start w:val="1"/>
      <w:numFmt w:val="bullet"/>
      <w:lvlText w:val=""/>
      <w:lvlJc w:val="left"/>
      <w:pPr>
        <w:ind w:left="720" w:hanging="360"/>
      </w:pPr>
      <w:rPr>
        <w:rFonts w:ascii="Symbol" w:hAnsi="Symbol" w:hint="default"/>
        <w:color w:val="00A9CE"/>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84308B3"/>
    <w:multiLevelType w:val="hybridMultilevel"/>
    <w:tmpl w:val="D0969764"/>
    <w:lvl w:ilvl="0" w:tplc="2932D484">
      <w:start w:val="1"/>
      <w:numFmt w:val="bullet"/>
      <w:lvlText w:val=""/>
      <w:lvlJc w:val="left"/>
      <w:pPr>
        <w:ind w:left="720" w:hanging="360"/>
      </w:pPr>
      <w:rPr>
        <w:rFonts w:ascii="Symbol" w:hAnsi="Symbol" w:hint="default"/>
        <w:color w:val="00A9CE"/>
        <w:u w:color="FFFFFF" w:themeColor="background1"/>
      </w:rPr>
    </w:lvl>
    <w:lvl w:ilvl="1" w:tplc="F0F0AFCA">
      <w:start w:val="10"/>
      <w:numFmt w:val="bullet"/>
      <w:lvlText w:val="-"/>
      <w:lvlJc w:val="left"/>
      <w:pPr>
        <w:ind w:left="1800" w:hanging="720"/>
      </w:pPr>
      <w:rPr>
        <w:rFonts w:ascii="Arial" w:eastAsiaTheme="minorHAnsi" w:hAnsi="Arial" w:cs="Arial" w:hint="default"/>
      </w:rPr>
    </w:lvl>
    <w:lvl w:ilvl="2" w:tplc="2932D484">
      <w:start w:val="1"/>
      <w:numFmt w:val="bullet"/>
      <w:lvlText w:val=""/>
      <w:lvlJc w:val="left"/>
      <w:pPr>
        <w:ind w:left="2520" w:hanging="720"/>
      </w:pPr>
      <w:rPr>
        <w:rFonts w:ascii="Symbol" w:hAnsi="Symbol" w:hint="default"/>
        <w:color w:val="00A9CE"/>
        <w:u w:color="FFFFFF" w:themeColor="background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A8D4154"/>
    <w:multiLevelType w:val="hybridMultilevel"/>
    <w:tmpl w:val="BF8E4260"/>
    <w:lvl w:ilvl="0" w:tplc="C1381AC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DE3368C"/>
    <w:multiLevelType w:val="hybridMultilevel"/>
    <w:tmpl w:val="B2666166"/>
    <w:lvl w:ilvl="0" w:tplc="2932D484">
      <w:start w:val="1"/>
      <w:numFmt w:val="bullet"/>
      <w:lvlText w:val=""/>
      <w:lvlJc w:val="left"/>
      <w:pPr>
        <w:ind w:left="720" w:hanging="360"/>
      </w:pPr>
      <w:rPr>
        <w:rFonts w:ascii="Symbol" w:hAnsi="Symbol" w:hint="default"/>
        <w:color w:val="00A9CE"/>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B45FC0"/>
    <w:multiLevelType w:val="multilevel"/>
    <w:tmpl w:val="C7522056"/>
    <w:styleLink w:val="RecitalsList"/>
    <w:lvl w:ilvl="0">
      <w:start w:val="1"/>
      <w:numFmt w:val="upperLetter"/>
      <w:pStyle w:val="Recitals"/>
      <w:lvlText w:val="(%1)"/>
      <w:lvlJc w:val="left"/>
      <w:pPr>
        <w:ind w:left="709" w:hanging="709"/>
      </w:pPr>
      <w:rPr>
        <w:rFonts w:hint="default"/>
      </w:rPr>
    </w:lvl>
    <w:lvl w:ilvl="1">
      <w:start w:val="1"/>
      <w:numFmt w:val="none"/>
      <w:lvlText w:val=""/>
      <w:lvlJc w:val="left"/>
      <w:pPr>
        <w:ind w:left="709" w:hanging="709"/>
      </w:pPr>
      <w:rPr>
        <w:rFonts w:hint="default"/>
      </w:rPr>
    </w:lvl>
    <w:lvl w:ilvl="2">
      <w:start w:val="1"/>
      <w:numFmt w:val="none"/>
      <w:lvlText w:val=""/>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none"/>
      <w:lvlText w:val=""/>
      <w:lvlJc w:val="left"/>
      <w:pPr>
        <w:ind w:left="709" w:hanging="709"/>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48" w15:restartNumberingAfterBreak="0">
    <w:nsid w:val="53053DB5"/>
    <w:multiLevelType w:val="hybridMultilevel"/>
    <w:tmpl w:val="275C5F32"/>
    <w:lvl w:ilvl="0" w:tplc="2932D484">
      <w:start w:val="1"/>
      <w:numFmt w:val="bullet"/>
      <w:lvlText w:val=""/>
      <w:lvlJc w:val="left"/>
      <w:pPr>
        <w:ind w:left="720" w:hanging="360"/>
      </w:pPr>
      <w:rPr>
        <w:rFonts w:ascii="Symbol" w:hAnsi="Symbol" w:hint="default"/>
        <w:color w:val="00A9CE"/>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43D6A1B"/>
    <w:multiLevelType w:val="hybridMultilevel"/>
    <w:tmpl w:val="A6D2630A"/>
    <w:lvl w:ilvl="0" w:tplc="2932D484">
      <w:start w:val="1"/>
      <w:numFmt w:val="bullet"/>
      <w:lvlText w:val=""/>
      <w:lvlJc w:val="left"/>
      <w:pPr>
        <w:ind w:left="720" w:hanging="360"/>
      </w:pPr>
      <w:rPr>
        <w:rFonts w:ascii="Symbol" w:hAnsi="Symbol" w:hint="default"/>
        <w:color w:val="00A9CE"/>
        <w:u w:color="FFFFFF" w:themeColor="background1"/>
      </w:rPr>
    </w:lvl>
    <w:lvl w:ilvl="1" w:tplc="2932D484">
      <w:start w:val="1"/>
      <w:numFmt w:val="bullet"/>
      <w:lvlText w:val=""/>
      <w:lvlJc w:val="left"/>
      <w:pPr>
        <w:ind w:left="1440" w:hanging="360"/>
      </w:pPr>
      <w:rPr>
        <w:rFonts w:ascii="Symbol" w:hAnsi="Symbol" w:hint="default"/>
        <w:color w:val="00A9CE"/>
        <w:u w:color="FFFFFF" w:themeColor="background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46F64B1"/>
    <w:multiLevelType w:val="hybridMultilevel"/>
    <w:tmpl w:val="2948308C"/>
    <w:lvl w:ilvl="0" w:tplc="2932D484">
      <w:start w:val="1"/>
      <w:numFmt w:val="bullet"/>
      <w:lvlText w:val=""/>
      <w:lvlJc w:val="left"/>
      <w:pPr>
        <w:ind w:left="1080" w:hanging="720"/>
      </w:pPr>
      <w:rPr>
        <w:rFonts w:ascii="Symbol" w:hAnsi="Symbol" w:hint="default"/>
        <w:color w:val="00A9CE"/>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5E45D1E"/>
    <w:multiLevelType w:val="hybridMultilevel"/>
    <w:tmpl w:val="41E094BA"/>
    <w:lvl w:ilvl="0" w:tplc="2932D484">
      <w:start w:val="1"/>
      <w:numFmt w:val="bullet"/>
      <w:lvlText w:val=""/>
      <w:lvlJc w:val="left"/>
      <w:pPr>
        <w:ind w:left="763" w:hanging="360"/>
      </w:pPr>
      <w:rPr>
        <w:rFonts w:ascii="Symbol" w:hAnsi="Symbol" w:hint="default"/>
        <w:color w:val="00A9CE"/>
        <w:u w:color="FFFFFF" w:themeColor="background1"/>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2" w15:restartNumberingAfterBreak="0">
    <w:nsid w:val="56566395"/>
    <w:multiLevelType w:val="multilevel"/>
    <w:tmpl w:val="14463236"/>
    <w:styleLink w:val="111111"/>
    <w:lvl w:ilvl="0">
      <w:start w:val="1"/>
      <w:numFmt w:val="decimal"/>
      <w:lvlText w:val="%1."/>
      <w:lvlJc w:val="left"/>
      <w:pPr>
        <w:ind w:left="709" w:hanging="709"/>
      </w:pPr>
      <w:rPr>
        <w:rFonts w:hint="default"/>
      </w:rPr>
    </w:lvl>
    <w:lvl w:ilvl="1">
      <w:start w:val="1"/>
      <w:numFmt w:val="decimal"/>
      <w:lvlText w:val="%1.%2."/>
      <w:lvlJc w:val="left"/>
      <w:pPr>
        <w:ind w:left="1418" w:hanging="709"/>
      </w:pPr>
      <w:rPr>
        <w:rFonts w:hint="default"/>
      </w:rPr>
    </w:lvl>
    <w:lvl w:ilvl="2">
      <w:start w:val="1"/>
      <w:numFmt w:val="decimal"/>
      <w:lvlText w:val="%1.%2.%3."/>
      <w:lvlJc w:val="left"/>
      <w:pPr>
        <w:ind w:left="2126" w:hanging="70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85877C8"/>
    <w:multiLevelType w:val="hybridMultilevel"/>
    <w:tmpl w:val="1B98D656"/>
    <w:lvl w:ilvl="0" w:tplc="2932D484">
      <w:start w:val="1"/>
      <w:numFmt w:val="bullet"/>
      <w:lvlText w:val=""/>
      <w:lvlJc w:val="left"/>
      <w:pPr>
        <w:ind w:left="720" w:hanging="360"/>
      </w:pPr>
      <w:rPr>
        <w:rFonts w:ascii="Symbol" w:hAnsi="Symbol" w:hint="default"/>
        <w:color w:val="00A9CE"/>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2932D484">
      <w:start w:val="1"/>
      <w:numFmt w:val="bullet"/>
      <w:lvlText w:val=""/>
      <w:lvlJc w:val="left"/>
      <w:pPr>
        <w:ind w:left="2160" w:hanging="360"/>
      </w:pPr>
      <w:rPr>
        <w:rFonts w:ascii="Symbol" w:hAnsi="Symbol" w:hint="default"/>
        <w:color w:val="00A9CE"/>
        <w:u w:color="FFFFFF" w:themeColor="background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85A2C68"/>
    <w:multiLevelType w:val="hybridMultilevel"/>
    <w:tmpl w:val="ACE0BF3C"/>
    <w:lvl w:ilvl="0" w:tplc="B1AC975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B941571"/>
    <w:multiLevelType w:val="hybridMultilevel"/>
    <w:tmpl w:val="93C80CB4"/>
    <w:lvl w:ilvl="0" w:tplc="B1AC9756">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C667B9A"/>
    <w:multiLevelType w:val="hybridMultilevel"/>
    <w:tmpl w:val="0732460A"/>
    <w:lvl w:ilvl="0" w:tplc="2932D484">
      <w:start w:val="1"/>
      <w:numFmt w:val="bullet"/>
      <w:lvlText w:val=""/>
      <w:lvlJc w:val="left"/>
      <w:pPr>
        <w:ind w:left="720" w:hanging="360"/>
      </w:pPr>
      <w:rPr>
        <w:rFonts w:ascii="Symbol" w:hAnsi="Symbol" w:hint="default"/>
        <w:color w:val="00A9CE"/>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CA57908"/>
    <w:multiLevelType w:val="hybridMultilevel"/>
    <w:tmpl w:val="FD0A0C60"/>
    <w:lvl w:ilvl="0" w:tplc="2932D484">
      <w:start w:val="1"/>
      <w:numFmt w:val="bullet"/>
      <w:lvlText w:val=""/>
      <w:lvlJc w:val="left"/>
      <w:pPr>
        <w:ind w:left="720" w:hanging="360"/>
      </w:pPr>
      <w:rPr>
        <w:rFonts w:ascii="Symbol" w:hAnsi="Symbol" w:hint="default"/>
        <w:color w:val="00A9CE"/>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DA25D71"/>
    <w:multiLevelType w:val="hybridMultilevel"/>
    <w:tmpl w:val="B31EFA5E"/>
    <w:lvl w:ilvl="0" w:tplc="2932D484">
      <w:start w:val="1"/>
      <w:numFmt w:val="bullet"/>
      <w:lvlText w:val=""/>
      <w:lvlJc w:val="left"/>
      <w:pPr>
        <w:ind w:left="1080" w:hanging="720"/>
      </w:pPr>
      <w:rPr>
        <w:rFonts w:ascii="Symbol" w:hAnsi="Symbol" w:hint="default"/>
        <w:color w:val="00A9CE"/>
        <w:u w:color="FFFFFF" w:themeColor="background1"/>
      </w:rPr>
    </w:lvl>
    <w:lvl w:ilvl="1" w:tplc="B04CE6B0">
      <w:start w:val="1"/>
      <w:numFmt w:val="decimal"/>
      <w:lvlText w:val="%2."/>
      <w:lvlJc w:val="left"/>
      <w:pPr>
        <w:ind w:left="1800" w:hanging="720"/>
      </w:pPr>
      <w:rPr>
        <w:rFonts w:hint="default"/>
      </w:rPr>
    </w:lvl>
    <w:lvl w:ilvl="2" w:tplc="83F49D5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E576F3F"/>
    <w:multiLevelType w:val="hybridMultilevel"/>
    <w:tmpl w:val="80A22E92"/>
    <w:lvl w:ilvl="0" w:tplc="2932D484">
      <w:start w:val="1"/>
      <w:numFmt w:val="bullet"/>
      <w:lvlText w:val=""/>
      <w:lvlJc w:val="left"/>
      <w:pPr>
        <w:ind w:left="720" w:hanging="360"/>
      </w:pPr>
      <w:rPr>
        <w:rFonts w:ascii="Symbol" w:hAnsi="Symbol" w:hint="default"/>
        <w:color w:val="00A9CE"/>
        <w:u w:color="FFFFFF" w:themeColor="background1"/>
      </w:rPr>
    </w:lvl>
    <w:lvl w:ilvl="1" w:tplc="F0F0AFCA">
      <w:start w:val="10"/>
      <w:numFmt w:val="bullet"/>
      <w:lvlText w:val="-"/>
      <w:lvlJc w:val="left"/>
      <w:pPr>
        <w:ind w:left="1800" w:hanging="720"/>
      </w:pPr>
      <w:rPr>
        <w:rFonts w:ascii="Arial" w:eastAsiaTheme="minorHAnsi" w:hAnsi="Arial" w:cs="Arial" w:hint="default"/>
      </w:rPr>
    </w:lvl>
    <w:lvl w:ilvl="2" w:tplc="19B0E23C">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F43558E"/>
    <w:multiLevelType w:val="multilevel"/>
    <w:tmpl w:val="C9D0D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F4B0629"/>
    <w:multiLevelType w:val="hybridMultilevel"/>
    <w:tmpl w:val="1E0C0760"/>
    <w:lvl w:ilvl="0" w:tplc="2932D484">
      <w:start w:val="1"/>
      <w:numFmt w:val="bullet"/>
      <w:lvlText w:val=""/>
      <w:lvlJc w:val="left"/>
      <w:pPr>
        <w:ind w:left="720" w:hanging="360"/>
      </w:pPr>
      <w:rPr>
        <w:rFonts w:ascii="Symbol" w:hAnsi="Symbol" w:hint="default"/>
        <w:color w:val="00A9CE"/>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2215270"/>
    <w:multiLevelType w:val="singleLevel"/>
    <w:tmpl w:val="8B2A35C2"/>
    <w:lvl w:ilvl="0">
      <w:start w:val="1"/>
      <w:numFmt w:val="lowerRoman"/>
      <w:pStyle w:val="bod1g"/>
      <w:lvlText w:val="(%1)"/>
      <w:lvlJc w:val="left"/>
      <w:pPr>
        <w:tabs>
          <w:tab w:val="num" w:pos="2041"/>
        </w:tabs>
        <w:ind w:left="2041" w:hanging="680"/>
      </w:pPr>
      <w:rPr>
        <w:rFonts w:cs="Times New Roman" w:hint="default"/>
        <w:b w:val="0"/>
        <w:i w:val="0"/>
        <w:sz w:val="20"/>
        <w:szCs w:val="20"/>
      </w:rPr>
    </w:lvl>
  </w:abstractNum>
  <w:abstractNum w:abstractNumId="63" w15:restartNumberingAfterBreak="0">
    <w:nsid w:val="62FC260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635A43EC"/>
    <w:multiLevelType w:val="hybridMultilevel"/>
    <w:tmpl w:val="D942392C"/>
    <w:lvl w:ilvl="0" w:tplc="B1AC9756">
      <w:start w:val="1"/>
      <w:numFmt w:val="bullet"/>
      <w:lvlText w:val="–"/>
      <w:lvlJc w:val="left"/>
      <w:pPr>
        <w:tabs>
          <w:tab w:val="num" w:pos="1080"/>
        </w:tabs>
        <w:ind w:left="108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4E15A28"/>
    <w:multiLevelType w:val="hybridMultilevel"/>
    <w:tmpl w:val="E6CA6816"/>
    <w:lvl w:ilvl="0" w:tplc="2932D484">
      <w:start w:val="1"/>
      <w:numFmt w:val="bullet"/>
      <w:lvlText w:val=""/>
      <w:lvlJc w:val="left"/>
      <w:pPr>
        <w:ind w:left="720" w:hanging="360"/>
      </w:pPr>
      <w:rPr>
        <w:rFonts w:ascii="Symbol" w:hAnsi="Symbol" w:hint="default"/>
        <w:color w:val="00A9CE"/>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8CB045D"/>
    <w:multiLevelType w:val="hybridMultilevel"/>
    <w:tmpl w:val="3FA0476C"/>
    <w:lvl w:ilvl="0" w:tplc="2932D484">
      <w:start w:val="1"/>
      <w:numFmt w:val="bullet"/>
      <w:lvlText w:val=""/>
      <w:lvlJc w:val="left"/>
      <w:pPr>
        <w:ind w:left="720" w:hanging="360"/>
      </w:pPr>
      <w:rPr>
        <w:rFonts w:ascii="Symbol" w:hAnsi="Symbol" w:hint="default"/>
        <w:color w:val="00A9CE"/>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2212D33"/>
    <w:multiLevelType w:val="hybridMultilevel"/>
    <w:tmpl w:val="0A500E46"/>
    <w:lvl w:ilvl="0" w:tplc="2932D484">
      <w:start w:val="1"/>
      <w:numFmt w:val="bullet"/>
      <w:lvlText w:val=""/>
      <w:lvlJc w:val="left"/>
      <w:pPr>
        <w:ind w:left="720" w:hanging="360"/>
      </w:pPr>
      <w:rPr>
        <w:rFonts w:ascii="Symbol" w:hAnsi="Symbol" w:hint="default"/>
        <w:color w:val="00A9CE"/>
        <w:u w:color="FFFFFF" w:themeColor="background1"/>
      </w:rPr>
    </w:lvl>
    <w:lvl w:ilvl="1" w:tplc="2932D484">
      <w:start w:val="1"/>
      <w:numFmt w:val="bullet"/>
      <w:lvlText w:val=""/>
      <w:lvlJc w:val="left"/>
      <w:pPr>
        <w:ind w:left="1440" w:hanging="360"/>
      </w:pPr>
      <w:rPr>
        <w:rFonts w:ascii="Symbol" w:hAnsi="Symbol" w:hint="default"/>
        <w:color w:val="00A9CE"/>
        <w:u w:color="FFFFFF" w:themeColor="background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364011F"/>
    <w:multiLevelType w:val="hybridMultilevel"/>
    <w:tmpl w:val="7C88FA0C"/>
    <w:lvl w:ilvl="0" w:tplc="2932D484">
      <w:start w:val="1"/>
      <w:numFmt w:val="bullet"/>
      <w:lvlText w:val=""/>
      <w:lvlJc w:val="left"/>
      <w:pPr>
        <w:ind w:left="720" w:hanging="360"/>
      </w:pPr>
      <w:rPr>
        <w:rFonts w:ascii="Symbol" w:hAnsi="Symbol" w:hint="default"/>
        <w:color w:val="00A9CE"/>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F03E65"/>
    <w:multiLevelType w:val="hybridMultilevel"/>
    <w:tmpl w:val="E2F6B468"/>
    <w:lvl w:ilvl="0" w:tplc="2932D484">
      <w:start w:val="1"/>
      <w:numFmt w:val="bullet"/>
      <w:lvlText w:val=""/>
      <w:lvlJc w:val="left"/>
      <w:pPr>
        <w:ind w:left="720" w:hanging="360"/>
      </w:pPr>
      <w:rPr>
        <w:rFonts w:ascii="Symbol" w:hAnsi="Symbol" w:hint="default"/>
        <w:color w:val="00A9CE"/>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77176FA"/>
    <w:multiLevelType w:val="hybridMultilevel"/>
    <w:tmpl w:val="2E48D032"/>
    <w:lvl w:ilvl="0" w:tplc="2932D484">
      <w:start w:val="1"/>
      <w:numFmt w:val="bullet"/>
      <w:lvlText w:val=""/>
      <w:lvlJc w:val="left"/>
      <w:pPr>
        <w:ind w:left="720" w:hanging="360"/>
      </w:pPr>
      <w:rPr>
        <w:rFonts w:ascii="Symbol" w:hAnsi="Symbol" w:hint="default"/>
        <w:color w:val="00A9CE"/>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B3F03C1"/>
    <w:multiLevelType w:val="multilevel"/>
    <w:tmpl w:val="34E20E60"/>
    <w:styleLink w:val="Clauselist"/>
    <w:lvl w:ilvl="0">
      <w:start w:val="1"/>
      <w:numFmt w:val="decimal"/>
      <w:lvlText w:val="%1."/>
      <w:lvlJc w:val="left"/>
      <w:pPr>
        <w:ind w:left="709" w:hanging="709"/>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1.%2.%3."/>
      <w:lvlJc w:val="left"/>
      <w:pPr>
        <w:ind w:left="720" w:hanging="720"/>
      </w:pPr>
      <w:rPr>
        <w:rFonts w:hint="default"/>
      </w:rPr>
    </w:lvl>
    <w:lvl w:ilvl="3">
      <w:start w:val="1"/>
      <w:numFmt w:val="none"/>
      <w:lvlText w:val=""/>
      <w:lvlJc w:val="left"/>
      <w:pPr>
        <w:ind w:left="-31680" w:firstLine="0"/>
      </w:pPr>
      <w:rPr>
        <w:rFonts w:hint="default"/>
      </w:rPr>
    </w:lvl>
    <w:lvl w:ilvl="4">
      <w:start w:val="1"/>
      <w:numFmt w:val="none"/>
      <w:lvlText w:val=""/>
      <w:lvlJc w:val="left"/>
      <w:pPr>
        <w:ind w:left="-31680" w:firstLine="0"/>
      </w:pPr>
      <w:rPr>
        <w:rFonts w:hint="default"/>
      </w:rPr>
    </w:lvl>
    <w:lvl w:ilvl="5">
      <w:start w:val="1"/>
      <w:numFmt w:val="none"/>
      <w:lvlText w:val=""/>
      <w:lvlJc w:val="left"/>
      <w:pPr>
        <w:ind w:left="-31680" w:firstLine="0"/>
      </w:pPr>
      <w:rPr>
        <w:rFonts w:hint="default"/>
      </w:rPr>
    </w:lvl>
    <w:lvl w:ilvl="6">
      <w:start w:val="1"/>
      <w:numFmt w:val="none"/>
      <w:lvlText w:val=""/>
      <w:lvlJc w:val="left"/>
      <w:pPr>
        <w:ind w:left="-31680" w:firstLine="0"/>
      </w:pPr>
      <w:rPr>
        <w:rFonts w:hint="default"/>
      </w:rPr>
    </w:lvl>
    <w:lvl w:ilvl="7">
      <w:start w:val="1"/>
      <w:numFmt w:val="none"/>
      <w:lvlText w:val=""/>
      <w:lvlJc w:val="left"/>
      <w:pPr>
        <w:ind w:left="-31680" w:firstLine="0"/>
      </w:pPr>
      <w:rPr>
        <w:rFonts w:hint="default"/>
      </w:rPr>
    </w:lvl>
    <w:lvl w:ilvl="8">
      <w:start w:val="1"/>
      <w:numFmt w:val="none"/>
      <w:lvlText w:val=""/>
      <w:lvlJc w:val="left"/>
      <w:pPr>
        <w:ind w:left="-31680" w:firstLine="0"/>
      </w:pPr>
      <w:rPr>
        <w:rFonts w:hint="default"/>
      </w:rPr>
    </w:lvl>
  </w:abstractNum>
  <w:abstractNum w:abstractNumId="72" w15:restartNumberingAfterBreak="0">
    <w:nsid w:val="7DC00DE2"/>
    <w:multiLevelType w:val="hybridMultilevel"/>
    <w:tmpl w:val="A27CF8EA"/>
    <w:lvl w:ilvl="0" w:tplc="2932D484">
      <w:start w:val="1"/>
      <w:numFmt w:val="bullet"/>
      <w:lvlText w:val=""/>
      <w:lvlJc w:val="left"/>
      <w:pPr>
        <w:ind w:left="720" w:hanging="360"/>
      </w:pPr>
      <w:rPr>
        <w:rFonts w:ascii="Symbol" w:hAnsi="Symbol" w:hint="default"/>
        <w:color w:val="00A9CE"/>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2"/>
  </w:num>
  <w:num w:numId="2">
    <w:abstractNumId w:val="63"/>
  </w:num>
  <w:num w:numId="3">
    <w:abstractNumId w:val="9"/>
  </w:num>
  <w:num w:numId="4">
    <w:abstractNumId w:val="6"/>
  </w:num>
  <w:num w:numId="5">
    <w:abstractNumId w:val="71"/>
  </w:num>
  <w:num w:numId="6">
    <w:abstractNumId w:val="17"/>
    <w:lvlOverride w:ilvl="0">
      <w:lvl w:ilvl="0">
        <w:numFmt w:val="decimal"/>
        <w:pStyle w:val="Heading1"/>
        <w:lvlText w:val=""/>
        <w:lvlJc w:val="left"/>
      </w:lvl>
    </w:lvlOverride>
    <w:lvlOverride w:ilvl="1">
      <w:lvl w:ilvl="1">
        <w:start w:val="1"/>
        <w:numFmt w:val="decimal"/>
        <w:pStyle w:val="Heading2"/>
        <w:lvlText w:val="%1.%2"/>
        <w:lvlJc w:val="left"/>
        <w:pPr>
          <w:ind w:left="709" w:hanging="709"/>
        </w:pPr>
        <w:rPr>
          <w:rFonts w:hint="default"/>
          <w:i w:val="0"/>
        </w:rPr>
      </w:lvl>
    </w:lvlOverride>
  </w:num>
  <w:num w:numId="7">
    <w:abstractNumId w:val="23"/>
  </w:num>
  <w:num w:numId="8">
    <w:abstractNumId w:val="23"/>
  </w:num>
  <w:num w:numId="9">
    <w:abstractNumId w:val="33"/>
  </w:num>
  <w:num w:numId="10">
    <w:abstractNumId w:val="47"/>
  </w:num>
  <w:num w:numId="11">
    <w:abstractNumId w:val="47"/>
  </w:num>
  <w:num w:numId="12">
    <w:abstractNumId w:val="24"/>
  </w:num>
  <w:num w:numId="13">
    <w:abstractNumId w:val="37"/>
  </w:num>
  <w:num w:numId="14">
    <w:abstractNumId w:val="24"/>
  </w:num>
  <w:num w:numId="15">
    <w:abstractNumId w:val="59"/>
  </w:num>
  <w:num w:numId="16">
    <w:abstractNumId w:val="41"/>
  </w:num>
  <w:num w:numId="17">
    <w:abstractNumId w:val="62"/>
  </w:num>
  <w:num w:numId="18">
    <w:abstractNumId w:val="2"/>
  </w:num>
  <w:num w:numId="19">
    <w:abstractNumId w:val="64"/>
  </w:num>
  <w:num w:numId="20">
    <w:abstractNumId w:val="10"/>
  </w:num>
  <w:num w:numId="21">
    <w:abstractNumId w:val="22"/>
  </w:num>
  <w:num w:numId="22">
    <w:abstractNumId w:val="0"/>
  </w:num>
  <w:num w:numId="23">
    <w:abstractNumId w:val="4"/>
  </w:num>
  <w:num w:numId="24">
    <w:abstractNumId w:val="55"/>
  </w:num>
  <w:num w:numId="25">
    <w:abstractNumId w:val="54"/>
  </w:num>
  <w:num w:numId="26">
    <w:abstractNumId w:val="36"/>
  </w:num>
  <w:num w:numId="27">
    <w:abstractNumId w:val="45"/>
  </w:num>
  <w:num w:numId="28">
    <w:abstractNumId w:val="72"/>
  </w:num>
  <w:num w:numId="29">
    <w:abstractNumId w:val="3"/>
  </w:num>
  <w:num w:numId="30">
    <w:abstractNumId w:val="29"/>
  </w:num>
  <w:num w:numId="31">
    <w:abstractNumId w:val="48"/>
  </w:num>
  <w:num w:numId="32">
    <w:abstractNumId w:val="39"/>
  </w:num>
  <w:num w:numId="33">
    <w:abstractNumId w:val="15"/>
  </w:num>
  <w:num w:numId="34">
    <w:abstractNumId w:val="58"/>
  </w:num>
  <w:num w:numId="35">
    <w:abstractNumId w:val="50"/>
  </w:num>
  <w:num w:numId="36">
    <w:abstractNumId w:val="1"/>
  </w:num>
  <w:num w:numId="37">
    <w:abstractNumId w:val="49"/>
  </w:num>
  <w:num w:numId="38">
    <w:abstractNumId w:val="11"/>
  </w:num>
  <w:num w:numId="39">
    <w:abstractNumId w:val="61"/>
  </w:num>
  <w:num w:numId="40">
    <w:abstractNumId w:val="56"/>
  </w:num>
  <w:num w:numId="41">
    <w:abstractNumId w:val="40"/>
  </w:num>
  <w:num w:numId="42">
    <w:abstractNumId w:val="17"/>
  </w:num>
  <w:num w:numId="43">
    <w:abstractNumId w:val="43"/>
  </w:num>
  <w:num w:numId="44">
    <w:abstractNumId w:val="65"/>
  </w:num>
  <w:num w:numId="45">
    <w:abstractNumId w:val="5"/>
  </w:num>
  <w:num w:numId="46">
    <w:abstractNumId w:val="46"/>
  </w:num>
  <w:num w:numId="47">
    <w:abstractNumId w:val="26"/>
  </w:num>
  <w:num w:numId="48">
    <w:abstractNumId w:val="70"/>
  </w:num>
  <w:num w:numId="49">
    <w:abstractNumId w:val="42"/>
  </w:num>
  <w:num w:numId="50">
    <w:abstractNumId w:val="19"/>
  </w:num>
  <w:num w:numId="51">
    <w:abstractNumId w:val="18"/>
  </w:num>
  <w:num w:numId="52">
    <w:abstractNumId w:val="38"/>
  </w:num>
  <w:num w:numId="53">
    <w:abstractNumId w:val="21"/>
  </w:num>
  <w:num w:numId="54">
    <w:abstractNumId w:val="67"/>
  </w:num>
  <w:num w:numId="55">
    <w:abstractNumId w:val="30"/>
  </w:num>
  <w:num w:numId="56">
    <w:abstractNumId w:val="51"/>
  </w:num>
  <w:num w:numId="57">
    <w:abstractNumId w:val="20"/>
  </w:num>
  <w:num w:numId="58">
    <w:abstractNumId w:val="14"/>
  </w:num>
  <w:num w:numId="59">
    <w:abstractNumId w:val="7"/>
  </w:num>
  <w:num w:numId="60">
    <w:abstractNumId w:val="31"/>
  </w:num>
  <w:num w:numId="61">
    <w:abstractNumId w:val="8"/>
  </w:num>
  <w:num w:numId="62">
    <w:abstractNumId w:val="32"/>
  </w:num>
  <w:num w:numId="63">
    <w:abstractNumId w:val="69"/>
  </w:num>
  <w:num w:numId="64">
    <w:abstractNumId w:val="16"/>
  </w:num>
  <w:num w:numId="65">
    <w:abstractNumId w:val="53"/>
  </w:num>
  <w:num w:numId="66">
    <w:abstractNumId w:val="44"/>
  </w:num>
  <w:num w:numId="67">
    <w:abstractNumId w:val="57"/>
  </w:num>
  <w:num w:numId="68">
    <w:abstractNumId w:val="12"/>
  </w:num>
  <w:num w:numId="69">
    <w:abstractNumId w:val="13"/>
  </w:num>
  <w:num w:numId="70">
    <w:abstractNumId w:val="60"/>
  </w:num>
  <w:num w:numId="71">
    <w:abstractNumId w:val="27"/>
  </w:num>
  <w:num w:numId="72">
    <w:abstractNumId w:val="66"/>
  </w:num>
  <w:num w:numId="73">
    <w:abstractNumId w:val="35"/>
  </w:num>
  <w:num w:numId="74">
    <w:abstractNumId w:val="68"/>
  </w:num>
  <w:num w:numId="75">
    <w:abstractNumId w:val="28"/>
  </w:num>
  <w:num w:numId="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5"/>
  </w:num>
  <w:num w:numId="79">
    <w:abstractNumId w:val="3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7C2"/>
    <w:rsid w:val="00001D42"/>
    <w:rsid w:val="00002F56"/>
    <w:rsid w:val="00003396"/>
    <w:rsid w:val="000040D1"/>
    <w:rsid w:val="000045C6"/>
    <w:rsid w:val="00010968"/>
    <w:rsid w:val="0001330D"/>
    <w:rsid w:val="00015468"/>
    <w:rsid w:val="00020825"/>
    <w:rsid w:val="00022384"/>
    <w:rsid w:val="00022D82"/>
    <w:rsid w:val="00027280"/>
    <w:rsid w:val="00027915"/>
    <w:rsid w:val="000307A4"/>
    <w:rsid w:val="000318D8"/>
    <w:rsid w:val="00033F65"/>
    <w:rsid w:val="00034F20"/>
    <w:rsid w:val="000367CB"/>
    <w:rsid w:val="00041232"/>
    <w:rsid w:val="00041985"/>
    <w:rsid w:val="0004340A"/>
    <w:rsid w:val="00044165"/>
    <w:rsid w:val="000449CD"/>
    <w:rsid w:val="00044B37"/>
    <w:rsid w:val="00045081"/>
    <w:rsid w:val="00047B45"/>
    <w:rsid w:val="00050330"/>
    <w:rsid w:val="00056F54"/>
    <w:rsid w:val="00066D61"/>
    <w:rsid w:val="00066DC2"/>
    <w:rsid w:val="00067F7D"/>
    <w:rsid w:val="00071538"/>
    <w:rsid w:val="00071BEB"/>
    <w:rsid w:val="00071E7D"/>
    <w:rsid w:val="000751B6"/>
    <w:rsid w:val="00075B82"/>
    <w:rsid w:val="00077C61"/>
    <w:rsid w:val="000862E8"/>
    <w:rsid w:val="00086E01"/>
    <w:rsid w:val="00087121"/>
    <w:rsid w:val="00092284"/>
    <w:rsid w:val="000922E3"/>
    <w:rsid w:val="00093DC1"/>
    <w:rsid w:val="00095BA7"/>
    <w:rsid w:val="0009646D"/>
    <w:rsid w:val="00097FDE"/>
    <w:rsid w:val="000A2719"/>
    <w:rsid w:val="000A3D98"/>
    <w:rsid w:val="000A5539"/>
    <w:rsid w:val="000A5EFB"/>
    <w:rsid w:val="000B0021"/>
    <w:rsid w:val="000B362A"/>
    <w:rsid w:val="000B4A01"/>
    <w:rsid w:val="000B6661"/>
    <w:rsid w:val="000B6933"/>
    <w:rsid w:val="000C1136"/>
    <w:rsid w:val="000C3ACA"/>
    <w:rsid w:val="000C3C85"/>
    <w:rsid w:val="000C6A53"/>
    <w:rsid w:val="000C7C2F"/>
    <w:rsid w:val="000C7E3C"/>
    <w:rsid w:val="000C7EDE"/>
    <w:rsid w:val="000D1BEA"/>
    <w:rsid w:val="000D504E"/>
    <w:rsid w:val="000D542B"/>
    <w:rsid w:val="000E0153"/>
    <w:rsid w:val="000E1509"/>
    <w:rsid w:val="000E7ED7"/>
    <w:rsid w:val="000F420F"/>
    <w:rsid w:val="000F4E32"/>
    <w:rsid w:val="000F7526"/>
    <w:rsid w:val="001009DE"/>
    <w:rsid w:val="00102B29"/>
    <w:rsid w:val="001060E8"/>
    <w:rsid w:val="00106FDC"/>
    <w:rsid w:val="00107A72"/>
    <w:rsid w:val="00111546"/>
    <w:rsid w:val="001179F7"/>
    <w:rsid w:val="00121BCD"/>
    <w:rsid w:val="00122144"/>
    <w:rsid w:val="001221D7"/>
    <w:rsid w:val="001230DD"/>
    <w:rsid w:val="00123CD2"/>
    <w:rsid w:val="001260D9"/>
    <w:rsid w:val="001311AC"/>
    <w:rsid w:val="00140AA8"/>
    <w:rsid w:val="00141F1E"/>
    <w:rsid w:val="001429BA"/>
    <w:rsid w:val="0014307E"/>
    <w:rsid w:val="00143464"/>
    <w:rsid w:val="001456C4"/>
    <w:rsid w:val="001505F7"/>
    <w:rsid w:val="0015165E"/>
    <w:rsid w:val="00152DB6"/>
    <w:rsid w:val="00155CA0"/>
    <w:rsid w:val="00156D34"/>
    <w:rsid w:val="0016019D"/>
    <w:rsid w:val="00162562"/>
    <w:rsid w:val="0016647D"/>
    <w:rsid w:val="00167769"/>
    <w:rsid w:val="00167AF1"/>
    <w:rsid w:val="00175D47"/>
    <w:rsid w:val="00182B58"/>
    <w:rsid w:val="00182C63"/>
    <w:rsid w:val="00187B85"/>
    <w:rsid w:val="00192345"/>
    <w:rsid w:val="001932CC"/>
    <w:rsid w:val="00197143"/>
    <w:rsid w:val="001977AC"/>
    <w:rsid w:val="001A11F7"/>
    <w:rsid w:val="001A17C2"/>
    <w:rsid w:val="001A267E"/>
    <w:rsid w:val="001B05CE"/>
    <w:rsid w:val="001B12D4"/>
    <w:rsid w:val="001B15FB"/>
    <w:rsid w:val="001C0032"/>
    <w:rsid w:val="001C1172"/>
    <w:rsid w:val="001C3C04"/>
    <w:rsid w:val="001C6256"/>
    <w:rsid w:val="001C7186"/>
    <w:rsid w:val="001C7B60"/>
    <w:rsid w:val="001D155C"/>
    <w:rsid w:val="001D1F8E"/>
    <w:rsid w:val="001D3523"/>
    <w:rsid w:val="001D5D83"/>
    <w:rsid w:val="001D5FFA"/>
    <w:rsid w:val="001E0FB9"/>
    <w:rsid w:val="001E4222"/>
    <w:rsid w:val="001F16F0"/>
    <w:rsid w:val="0020164A"/>
    <w:rsid w:val="002043F1"/>
    <w:rsid w:val="00207129"/>
    <w:rsid w:val="00212AB3"/>
    <w:rsid w:val="00215C2F"/>
    <w:rsid w:val="0022145C"/>
    <w:rsid w:val="002216A9"/>
    <w:rsid w:val="00227E11"/>
    <w:rsid w:val="00231A1A"/>
    <w:rsid w:val="00232ED7"/>
    <w:rsid w:val="00233281"/>
    <w:rsid w:val="00233465"/>
    <w:rsid w:val="00234C2F"/>
    <w:rsid w:val="00235314"/>
    <w:rsid w:val="00235AF6"/>
    <w:rsid w:val="002500F4"/>
    <w:rsid w:val="00255A14"/>
    <w:rsid w:val="00255A4E"/>
    <w:rsid w:val="002625DB"/>
    <w:rsid w:val="002633F5"/>
    <w:rsid w:val="00266308"/>
    <w:rsid w:val="00266754"/>
    <w:rsid w:val="0027778D"/>
    <w:rsid w:val="00285EB2"/>
    <w:rsid w:val="00287957"/>
    <w:rsid w:val="00291AFE"/>
    <w:rsid w:val="00291CCA"/>
    <w:rsid w:val="0029435A"/>
    <w:rsid w:val="00294C51"/>
    <w:rsid w:val="00295FC8"/>
    <w:rsid w:val="002A28F3"/>
    <w:rsid w:val="002A469A"/>
    <w:rsid w:val="002A7C05"/>
    <w:rsid w:val="002B0375"/>
    <w:rsid w:val="002B0EAB"/>
    <w:rsid w:val="002B1D5D"/>
    <w:rsid w:val="002B2398"/>
    <w:rsid w:val="002B289B"/>
    <w:rsid w:val="002B5E7D"/>
    <w:rsid w:val="002B5F8F"/>
    <w:rsid w:val="002B6599"/>
    <w:rsid w:val="002C2F9A"/>
    <w:rsid w:val="002C3BD0"/>
    <w:rsid w:val="002C4434"/>
    <w:rsid w:val="002C5370"/>
    <w:rsid w:val="002C7FB6"/>
    <w:rsid w:val="002D3B41"/>
    <w:rsid w:val="002D3C2E"/>
    <w:rsid w:val="002D78C6"/>
    <w:rsid w:val="002E1847"/>
    <w:rsid w:val="002E268F"/>
    <w:rsid w:val="002F0BA6"/>
    <w:rsid w:val="002F7D2E"/>
    <w:rsid w:val="002F7FF4"/>
    <w:rsid w:val="00300642"/>
    <w:rsid w:val="00303433"/>
    <w:rsid w:val="0030548F"/>
    <w:rsid w:val="00305F28"/>
    <w:rsid w:val="00310DCA"/>
    <w:rsid w:val="00314091"/>
    <w:rsid w:val="00315BDB"/>
    <w:rsid w:val="00315E4F"/>
    <w:rsid w:val="003164F5"/>
    <w:rsid w:val="00316D08"/>
    <w:rsid w:val="003231DA"/>
    <w:rsid w:val="00323907"/>
    <w:rsid w:val="00327FE2"/>
    <w:rsid w:val="00331A9D"/>
    <w:rsid w:val="00331BF5"/>
    <w:rsid w:val="00337090"/>
    <w:rsid w:val="003370F6"/>
    <w:rsid w:val="00341807"/>
    <w:rsid w:val="0034208D"/>
    <w:rsid w:val="00343EB6"/>
    <w:rsid w:val="003453FF"/>
    <w:rsid w:val="003454E7"/>
    <w:rsid w:val="003507BE"/>
    <w:rsid w:val="00350EB8"/>
    <w:rsid w:val="00351267"/>
    <w:rsid w:val="00351EBB"/>
    <w:rsid w:val="00354551"/>
    <w:rsid w:val="0035626C"/>
    <w:rsid w:val="00357A16"/>
    <w:rsid w:val="00361DE8"/>
    <w:rsid w:val="003623FC"/>
    <w:rsid w:val="00367060"/>
    <w:rsid w:val="00367763"/>
    <w:rsid w:val="00371C4D"/>
    <w:rsid w:val="00374842"/>
    <w:rsid w:val="003758B5"/>
    <w:rsid w:val="0038246F"/>
    <w:rsid w:val="0038287C"/>
    <w:rsid w:val="00382E52"/>
    <w:rsid w:val="00384881"/>
    <w:rsid w:val="0038559C"/>
    <w:rsid w:val="00385632"/>
    <w:rsid w:val="00385BF7"/>
    <w:rsid w:val="00386324"/>
    <w:rsid w:val="00386556"/>
    <w:rsid w:val="003908CD"/>
    <w:rsid w:val="003954C2"/>
    <w:rsid w:val="00395528"/>
    <w:rsid w:val="00396C53"/>
    <w:rsid w:val="003A37D9"/>
    <w:rsid w:val="003A5ACD"/>
    <w:rsid w:val="003A7F4A"/>
    <w:rsid w:val="003B0261"/>
    <w:rsid w:val="003B4447"/>
    <w:rsid w:val="003B47A6"/>
    <w:rsid w:val="003B5F2A"/>
    <w:rsid w:val="003B7BE3"/>
    <w:rsid w:val="003C17AA"/>
    <w:rsid w:val="003C242A"/>
    <w:rsid w:val="003C6A08"/>
    <w:rsid w:val="003C7258"/>
    <w:rsid w:val="003C756D"/>
    <w:rsid w:val="003D1FCA"/>
    <w:rsid w:val="003D2266"/>
    <w:rsid w:val="003D6B61"/>
    <w:rsid w:val="003D6C22"/>
    <w:rsid w:val="003D7AD9"/>
    <w:rsid w:val="003E1279"/>
    <w:rsid w:val="003E2644"/>
    <w:rsid w:val="003E26B9"/>
    <w:rsid w:val="003E2CA4"/>
    <w:rsid w:val="003E3721"/>
    <w:rsid w:val="003E3BB9"/>
    <w:rsid w:val="003E43E8"/>
    <w:rsid w:val="003E50B5"/>
    <w:rsid w:val="003E6A29"/>
    <w:rsid w:val="003F57AA"/>
    <w:rsid w:val="003F6B3E"/>
    <w:rsid w:val="003F6F1C"/>
    <w:rsid w:val="00402768"/>
    <w:rsid w:val="00406FC6"/>
    <w:rsid w:val="00411678"/>
    <w:rsid w:val="004116B4"/>
    <w:rsid w:val="00411DD4"/>
    <w:rsid w:val="004138D4"/>
    <w:rsid w:val="0041444F"/>
    <w:rsid w:val="0041580D"/>
    <w:rsid w:val="00415D81"/>
    <w:rsid w:val="00421692"/>
    <w:rsid w:val="004238D6"/>
    <w:rsid w:val="00423CF1"/>
    <w:rsid w:val="00427167"/>
    <w:rsid w:val="00431AD1"/>
    <w:rsid w:val="00431C76"/>
    <w:rsid w:val="00433EDA"/>
    <w:rsid w:val="0043480D"/>
    <w:rsid w:val="004435BF"/>
    <w:rsid w:val="00445BB0"/>
    <w:rsid w:val="00445FC2"/>
    <w:rsid w:val="0044638C"/>
    <w:rsid w:val="00446648"/>
    <w:rsid w:val="004476AD"/>
    <w:rsid w:val="0045495F"/>
    <w:rsid w:val="00454EE3"/>
    <w:rsid w:val="00455375"/>
    <w:rsid w:val="00456E6B"/>
    <w:rsid w:val="00457FED"/>
    <w:rsid w:val="00466588"/>
    <w:rsid w:val="00471558"/>
    <w:rsid w:val="00471C33"/>
    <w:rsid w:val="00472FDE"/>
    <w:rsid w:val="00475992"/>
    <w:rsid w:val="00480AA7"/>
    <w:rsid w:val="004811D5"/>
    <w:rsid w:val="00486862"/>
    <w:rsid w:val="00487207"/>
    <w:rsid w:val="0049019C"/>
    <w:rsid w:val="004902C2"/>
    <w:rsid w:val="004903D9"/>
    <w:rsid w:val="0049231F"/>
    <w:rsid w:val="004962E2"/>
    <w:rsid w:val="004A1997"/>
    <w:rsid w:val="004A1EC0"/>
    <w:rsid w:val="004A35B5"/>
    <w:rsid w:val="004A3967"/>
    <w:rsid w:val="004A56B2"/>
    <w:rsid w:val="004A692C"/>
    <w:rsid w:val="004A6B86"/>
    <w:rsid w:val="004A721B"/>
    <w:rsid w:val="004B1BC2"/>
    <w:rsid w:val="004B25F2"/>
    <w:rsid w:val="004B4D6B"/>
    <w:rsid w:val="004B56DB"/>
    <w:rsid w:val="004C0367"/>
    <w:rsid w:val="004C064C"/>
    <w:rsid w:val="004C382A"/>
    <w:rsid w:val="004D1157"/>
    <w:rsid w:val="004D3877"/>
    <w:rsid w:val="004E48DB"/>
    <w:rsid w:val="004E4F61"/>
    <w:rsid w:val="004E7DAB"/>
    <w:rsid w:val="004F0F47"/>
    <w:rsid w:val="004F14CE"/>
    <w:rsid w:val="004F3E7C"/>
    <w:rsid w:val="004F426B"/>
    <w:rsid w:val="004F4A02"/>
    <w:rsid w:val="004F5507"/>
    <w:rsid w:val="004F7930"/>
    <w:rsid w:val="004F7ADB"/>
    <w:rsid w:val="005037D6"/>
    <w:rsid w:val="00503FBC"/>
    <w:rsid w:val="00506C48"/>
    <w:rsid w:val="0051015F"/>
    <w:rsid w:val="00512283"/>
    <w:rsid w:val="00512C7B"/>
    <w:rsid w:val="005166E5"/>
    <w:rsid w:val="00516869"/>
    <w:rsid w:val="00516D86"/>
    <w:rsid w:val="00522219"/>
    <w:rsid w:val="0052443B"/>
    <w:rsid w:val="00524E30"/>
    <w:rsid w:val="00525F62"/>
    <w:rsid w:val="005305F0"/>
    <w:rsid w:val="0053196F"/>
    <w:rsid w:val="005360B1"/>
    <w:rsid w:val="0053622E"/>
    <w:rsid w:val="00536A3F"/>
    <w:rsid w:val="005371B8"/>
    <w:rsid w:val="00546E5F"/>
    <w:rsid w:val="005475AF"/>
    <w:rsid w:val="00557B15"/>
    <w:rsid w:val="0056634E"/>
    <w:rsid w:val="005737F6"/>
    <w:rsid w:val="00574EFE"/>
    <w:rsid w:val="005752F8"/>
    <w:rsid w:val="00577150"/>
    <w:rsid w:val="00582BEF"/>
    <w:rsid w:val="005900B3"/>
    <w:rsid w:val="0059530D"/>
    <w:rsid w:val="00595741"/>
    <w:rsid w:val="00595A47"/>
    <w:rsid w:val="005A378D"/>
    <w:rsid w:val="005A53A4"/>
    <w:rsid w:val="005A7DA5"/>
    <w:rsid w:val="005B1B0D"/>
    <w:rsid w:val="005B45EA"/>
    <w:rsid w:val="005B49F3"/>
    <w:rsid w:val="005B500A"/>
    <w:rsid w:val="005B5D5C"/>
    <w:rsid w:val="005C0829"/>
    <w:rsid w:val="005C1849"/>
    <w:rsid w:val="005C2349"/>
    <w:rsid w:val="005C4FD0"/>
    <w:rsid w:val="005C5136"/>
    <w:rsid w:val="005C6E88"/>
    <w:rsid w:val="005C7197"/>
    <w:rsid w:val="005C7CAA"/>
    <w:rsid w:val="005C7F79"/>
    <w:rsid w:val="005D00BF"/>
    <w:rsid w:val="005D19A3"/>
    <w:rsid w:val="005D3C73"/>
    <w:rsid w:val="005D5B49"/>
    <w:rsid w:val="005D7622"/>
    <w:rsid w:val="005D7BB8"/>
    <w:rsid w:val="005E1C1A"/>
    <w:rsid w:val="005E28DF"/>
    <w:rsid w:val="005E3250"/>
    <w:rsid w:val="005E32CA"/>
    <w:rsid w:val="005E5088"/>
    <w:rsid w:val="005E5093"/>
    <w:rsid w:val="005E5632"/>
    <w:rsid w:val="005E6C70"/>
    <w:rsid w:val="005F15EC"/>
    <w:rsid w:val="005F3555"/>
    <w:rsid w:val="005F386F"/>
    <w:rsid w:val="005F50C2"/>
    <w:rsid w:val="005F6103"/>
    <w:rsid w:val="00600165"/>
    <w:rsid w:val="00600838"/>
    <w:rsid w:val="00600CC6"/>
    <w:rsid w:val="0060120C"/>
    <w:rsid w:val="0060151D"/>
    <w:rsid w:val="006134C5"/>
    <w:rsid w:val="00614EAB"/>
    <w:rsid w:val="00616CB6"/>
    <w:rsid w:val="00622DC5"/>
    <w:rsid w:val="00636511"/>
    <w:rsid w:val="006374D8"/>
    <w:rsid w:val="00641DEB"/>
    <w:rsid w:val="006504A2"/>
    <w:rsid w:val="006516AD"/>
    <w:rsid w:val="00652AE0"/>
    <w:rsid w:val="00656492"/>
    <w:rsid w:val="00663E81"/>
    <w:rsid w:val="00664440"/>
    <w:rsid w:val="00664FDF"/>
    <w:rsid w:val="0066545A"/>
    <w:rsid w:val="00665A16"/>
    <w:rsid w:val="00665FE7"/>
    <w:rsid w:val="006665E3"/>
    <w:rsid w:val="00666FB2"/>
    <w:rsid w:val="00675B6E"/>
    <w:rsid w:val="006778B8"/>
    <w:rsid w:val="00682D40"/>
    <w:rsid w:val="00683302"/>
    <w:rsid w:val="00691967"/>
    <w:rsid w:val="006919C0"/>
    <w:rsid w:val="00697F62"/>
    <w:rsid w:val="006A16E3"/>
    <w:rsid w:val="006A27F6"/>
    <w:rsid w:val="006A4B81"/>
    <w:rsid w:val="006B0BBF"/>
    <w:rsid w:val="006B0CD8"/>
    <w:rsid w:val="006B4681"/>
    <w:rsid w:val="006C1C18"/>
    <w:rsid w:val="006C7148"/>
    <w:rsid w:val="006C7334"/>
    <w:rsid w:val="006E2105"/>
    <w:rsid w:val="006E4666"/>
    <w:rsid w:val="006E4A3E"/>
    <w:rsid w:val="006E677A"/>
    <w:rsid w:val="006E6AC2"/>
    <w:rsid w:val="006E6EF9"/>
    <w:rsid w:val="006E799A"/>
    <w:rsid w:val="00706BDE"/>
    <w:rsid w:val="00707FE8"/>
    <w:rsid w:val="00713088"/>
    <w:rsid w:val="00713522"/>
    <w:rsid w:val="00713CDF"/>
    <w:rsid w:val="00714AE0"/>
    <w:rsid w:val="00714B8D"/>
    <w:rsid w:val="00720996"/>
    <w:rsid w:val="007214B1"/>
    <w:rsid w:val="007218B4"/>
    <w:rsid w:val="00725990"/>
    <w:rsid w:val="00725D04"/>
    <w:rsid w:val="00733173"/>
    <w:rsid w:val="007331BD"/>
    <w:rsid w:val="00733AFF"/>
    <w:rsid w:val="00735725"/>
    <w:rsid w:val="00735A25"/>
    <w:rsid w:val="00736E0C"/>
    <w:rsid w:val="00736EF7"/>
    <w:rsid w:val="0073737A"/>
    <w:rsid w:val="00743257"/>
    <w:rsid w:val="007466B3"/>
    <w:rsid w:val="00746B35"/>
    <w:rsid w:val="00746EA0"/>
    <w:rsid w:val="0075024B"/>
    <w:rsid w:val="0075272A"/>
    <w:rsid w:val="00752D33"/>
    <w:rsid w:val="007530FD"/>
    <w:rsid w:val="00770538"/>
    <w:rsid w:val="0077452C"/>
    <w:rsid w:val="007838E0"/>
    <w:rsid w:val="00783C6E"/>
    <w:rsid w:val="00784199"/>
    <w:rsid w:val="007842E6"/>
    <w:rsid w:val="00786579"/>
    <w:rsid w:val="0079135C"/>
    <w:rsid w:val="007936A1"/>
    <w:rsid w:val="007961B6"/>
    <w:rsid w:val="00796A95"/>
    <w:rsid w:val="00796D8F"/>
    <w:rsid w:val="00797C1C"/>
    <w:rsid w:val="007A3FB6"/>
    <w:rsid w:val="007A41E2"/>
    <w:rsid w:val="007A4D60"/>
    <w:rsid w:val="007A5448"/>
    <w:rsid w:val="007A7502"/>
    <w:rsid w:val="007A7E45"/>
    <w:rsid w:val="007B42DB"/>
    <w:rsid w:val="007B75B1"/>
    <w:rsid w:val="007C409A"/>
    <w:rsid w:val="007D0176"/>
    <w:rsid w:val="007D07A1"/>
    <w:rsid w:val="007D5522"/>
    <w:rsid w:val="007D5A4B"/>
    <w:rsid w:val="007E0B55"/>
    <w:rsid w:val="007E1BE4"/>
    <w:rsid w:val="007E23A7"/>
    <w:rsid w:val="007E589B"/>
    <w:rsid w:val="007E6345"/>
    <w:rsid w:val="007E6B24"/>
    <w:rsid w:val="007E6CAF"/>
    <w:rsid w:val="007E737B"/>
    <w:rsid w:val="007F0EF7"/>
    <w:rsid w:val="007F31E6"/>
    <w:rsid w:val="007F3C56"/>
    <w:rsid w:val="00801835"/>
    <w:rsid w:val="008028D8"/>
    <w:rsid w:val="00803A28"/>
    <w:rsid w:val="00803E63"/>
    <w:rsid w:val="0080420B"/>
    <w:rsid w:val="008065A1"/>
    <w:rsid w:val="00807881"/>
    <w:rsid w:val="008118A0"/>
    <w:rsid w:val="008134D3"/>
    <w:rsid w:val="0081740C"/>
    <w:rsid w:val="00820A9C"/>
    <w:rsid w:val="00820ABE"/>
    <w:rsid w:val="00821F6A"/>
    <w:rsid w:val="008254D8"/>
    <w:rsid w:val="0083191C"/>
    <w:rsid w:val="00835885"/>
    <w:rsid w:val="00837CA0"/>
    <w:rsid w:val="00841B49"/>
    <w:rsid w:val="0084514D"/>
    <w:rsid w:val="008465FD"/>
    <w:rsid w:val="008478A7"/>
    <w:rsid w:val="008501D8"/>
    <w:rsid w:val="00851D44"/>
    <w:rsid w:val="00852AE2"/>
    <w:rsid w:val="008560F8"/>
    <w:rsid w:val="00856FFA"/>
    <w:rsid w:val="008571A9"/>
    <w:rsid w:val="0086021A"/>
    <w:rsid w:val="00862CE6"/>
    <w:rsid w:val="00862FB9"/>
    <w:rsid w:val="0087023C"/>
    <w:rsid w:val="00871453"/>
    <w:rsid w:val="0087551C"/>
    <w:rsid w:val="008774BE"/>
    <w:rsid w:val="0088119C"/>
    <w:rsid w:val="00882440"/>
    <w:rsid w:val="00882458"/>
    <w:rsid w:val="008825BC"/>
    <w:rsid w:val="00884CAD"/>
    <w:rsid w:val="00884EC1"/>
    <w:rsid w:val="00885841"/>
    <w:rsid w:val="00885A9A"/>
    <w:rsid w:val="0088723D"/>
    <w:rsid w:val="00891B49"/>
    <w:rsid w:val="00892257"/>
    <w:rsid w:val="008A2748"/>
    <w:rsid w:val="008A7B1A"/>
    <w:rsid w:val="008B024E"/>
    <w:rsid w:val="008B05CB"/>
    <w:rsid w:val="008B42BA"/>
    <w:rsid w:val="008B4326"/>
    <w:rsid w:val="008B5F51"/>
    <w:rsid w:val="008C0661"/>
    <w:rsid w:val="008C2469"/>
    <w:rsid w:val="008C568D"/>
    <w:rsid w:val="008C6B62"/>
    <w:rsid w:val="008C7631"/>
    <w:rsid w:val="008C77BB"/>
    <w:rsid w:val="008D3686"/>
    <w:rsid w:val="008D4CFF"/>
    <w:rsid w:val="008D5586"/>
    <w:rsid w:val="008E1655"/>
    <w:rsid w:val="008E2CB3"/>
    <w:rsid w:val="008E3812"/>
    <w:rsid w:val="008E6846"/>
    <w:rsid w:val="008F0972"/>
    <w:rsid w:val="008F0FCA"/>
    <w:rsid w:val="008F412B"/>
    <w:rsid w:val="008F47E4"/>
    <w:rsid w:val="00901677"/>
    <w:rsid w:val="00902421"/>
    <w:rsid w:val="009036FA"/>
    <w:rsid w:val="00904E0D"/>
    <w:rsid w:val="00904E64"/>
    <w:rsid w:val="00905443"/>
    <w:rsid w:val="009056FE"/>
    <w:rsid w:val="00905EDE"/>
    <w:rsid w:val="00910DE2"/>
    <w:rsid w:val="00911EF5"/>
    <w:rsid w:val="009133B2"/>
    <w:rsid w:val="00914D8E"/>
    <w:rsid w:val="00917773"/>
    <w:rsid w:val="00923E4F"/>
    <w:rsid w:val="00926DB4"/>
    <w:rsid w:val="00927384"/>
    <w:rsid w:val="00930954"/>
    <w:rsid w:val="00931056"/>
    <w:rsid w:val="00932D9B"/>
    <w:rsid w:val="0094020B"/>
    <w:rsid w:val="009408AE"/>
    <w:rsid w:val="00946519"/>
    <w:rsid w:val="00951F2D"/>
    <w:rsid w:val="00952014"/>
    <w:rsid w:val="00954F76"/>
    <w:rsid w:val="00957DFE"/>
    <w:rsid w:val="00971E71"/>
    <w:rsid w:val="00973554"/>
    <w:rsid w:val="009736C4"/>
    <w:rsid w:val="009737B1"/>
    <w:rsid w:val="00974EB2"/>
    <w:rsid w:val="00976AB4"/>
    <w:rsid w:val="00976C88"/>
    <w:rsid w:val="00980559"/>
    <w:rsid w:val="00980619"/>
    <w:rsid w:val="00980BDC"/>
    <w:rsid w:val="00983840"/>
    <w:rsid w:val="00985027"/>
    <w:rsid w:val="009871FE"/>
    <w:rsid w:val="00987D34"/>
    <w:rsid w:val="0099233A"/>
    <w:rsid w:val="009A233C"/>
    <w:rsid w:val="009A2B34"/>
    <w:rsid w:val="009A76C0"/>
    <w:rsid w:val="009B1065"/>
    <w:rsid w:val="009B2868"/>
    <w:rsid w:val="009B28C8"/>
    <w:rsid w:val="009B3111"/>
    <w:rsid w:val="009C2347"/>
    <w:rsid w:val="009C2A91"/>
    <w:rsid w:val="009C395F"/>
    <w:rsid w:val="009C6888"/>
    <w:rsid w:val="009C6979"/>
    <w:rsid w:val="009D0832"/>
    <w:rsid w:val="009D0A8E"/>
    <w:rsid w:val="009D1635"/>
    <w:rsid w:val="009D4157"/>
    <w:rsid w:val="009D6DE7"/>
    <w:rsid w:val="009E1C9B"/>
    <w:rsid w:val="009E4105"/>
    <w:rsid w:val="009E660E"/>
    <w:rsid w:val="009F422E"/>
    <w:rsid w:val="009F664D"/>
    <w:rsid w:val="00A00B31"/>
    <w:rsid w:val="00A014B2"/>
    <w:rsid w:val="00A04D00"/>
    <w:rsid w:val="00A07226"/>
    <w:rsid w:val="00A137A4"/>
    <w:rsid w:val="00A13921"/>
    <w:rsid w:val="00A14281"/>
    <w:rsid w:val="00A16C57"/>
    <w:rsid w:val="00A20797"/>
    <w:rsid w:val="00A20CC0"/>
    <w:rsid w:val="00A20F06"/>
    <w:rsid w:val="00A20F4C"/>
    <w:rsid w:val="00A21BF0"/>
    <w:rsid w:val="00A21CAA"/>
    <w:rsid w:val="00A22FCA"/>
    <w:rsid w:val="00A25F02"/>
    <w:rsid w:val="00A25F16"/>
    <w:rsid w:val="00A2798A"/>
    <w:rsid w:val="00A3078C"/>
    <w:rsid w:val="00A30D04"/>
    <w:rsid w:val="00A34324"/>
    <w:rsid w:val="00A36E3B"/>
    <w:rsid w:val="00A41C1A"/>
    <w:rsid w:val="00A4477E"/>
    <w:rsid w:val="00A44F7D"/>
    <w:rsid w:val="00A51463"/>
    <w:rsid w:val="00A52540"/>
    <w:rsid w:val="00A529AA"/>
    <w:rsid w:val="00A540D9"/>
    <w:rsid w:val="00A565D0"/>
    <w:rsid w:val="00A572FB"/>
    <w:rsid w:val="00A5774C"/>
    <w:rsid w:val="00A6516D"/>
    <w:rsid w:val="00A70A52"/>
    <w:rsid w:val="00A71035"/>
    <w:rsid w:val="00A7162F"/>
    <w:rsid w:val="00A7422D"/>
    <w:rsid w:val="00A804AC"/>
    <w:rsid w:val="00A82398"/>
    <w:rsid w:val="00A83723"/>
    <w:rsid w:val="00A8404E"/>
    <w:rsid w:val="00A84353"/>
    <w:rsid w:val="00A91012"/>
    <w:rsid w:val="00A92BA6"/>
    <w:rsid w:val="00A94B1F"/>
    <w:rsid w:val="00A96233"/>
    <w:rsid w:val="00AA0FAA"/>
    <w:rsid w:val="00AA6AC3"/>
    <w:rsid w:val="00AA76D9"/>
    <w:rsid w:val="00AB167E"/>
    <w:rsid w:val="00AB426C"/>
    <w:rsid w:val="00AB433B"/>
    <w:rsid w:val="00AB475C"/>
    <w:rsid w:val="00AB60A8"/>
    <w:rsid w:val="00AB659A"/>
    <w:rsid w:val="00AC2454"/>
    <w:rsid w:val="00AC356D"/>
    <w:rsid w:val="00AC3730"/>
    <w:rsid w:val="00AC5CA1"/>
    <w:rsid w:val="00AC74EA"/>
    <w:rsid w:val="00AD0ACE"/>
    <w:rsid w:val="00AD2958"/>
    <w:rsid w:val="00AD3186"/>
    <w:rsid w:val="00AD35AC"/>
    <w:rsid w:val="00AD40CD"/>
    <w:rsid w:val="00AD60B2"/>
    <w:rsid w:val="00AD6A6A"/>
    <w:rsid w:val="00AD6D12"/>
    <w:rsid w:val="00AE1D3A"/>
    <w:rsid w:val="00AE2F64"/>
    <w:rsid w:val="00AE5A2A"/>
    <w:rsid w:val="00AE5E78"/>
    <w:rsid w:val="00AE6CE4"/>
    <w:rsid w:val="00AF0B05"/>
    <w:rsid w:val="00AF2B6F"/>
    <w:rsid w:val="00AF2BD7"/>
    <w:rsid w:val="00AF5BC0"/>
    <w:rsid w:val="00AF7503"/>
    <w:rsid w:val="00B027C5"/>
    <w:rsid w:val="00B03EB7"/>
    <w:rsid w:val="00B044BA"/>
    <w:rsid w:val="00B06965"/>
    <w:rsid w:val="00B07D7B"/>
    <w:rsid w:val="00B10FA0"/>
    <w:rsid w:val="00B12A95"/>
    <w:rsid w:val="00B133CA"/>
    <w:rsid w:val="00B14D39"/>
    <w:rsid w:val="00B14DB9"/>
    <w:rsid w:val="00B15677"/>
    <w:rsid w:val="00B1583D"/>
    <w:rsid w:val="00B2078D"/>
    <w:rsid w:val="00B23AC3"/>
    <w:rsid w:val="00B248D4"/>
    <w:rsid w:val="00B24A14"/>
    <w:rsid w:val="00B25A91"/>
    <w:rsid w:val="00B260A7"/>
    <w:rsid w:val="00B33A3F"/>
    <w:rsid w:val="00B33FC3"/>
    <w:rsid w:val="00B35F1C"/>
    <w:rsid w:val="00B409D2"/>
    <w:rsid w:val="00B40CA0"/>
    <w:rsid w:val="00B4216A"/>
    <w:rsid w:val="00B441DA"/>
    <w:rsid w:val="00B517D5"/>
    <w:rsid w:val="00B51B5A"/>
    <w:rsid w:val="00B52541"/>
    <w:rsid w:val="00B5266C"/>
    <w:rsid w:val="00B534FF"/>
    <w:rsid w:val="00B54E6C"/>
    <w:rsid w:val="00B639C6"/>
    <w:rsid w:val="00B66130"/>
    <w:rsid w:val="00B66380"/>
    <w:rsid w:val="00B66F75"/>
    <w:rsid w:val="00B67F12"/>
    <w:rsid w:val="00B73BE0"/>
    <w:rsid w:val="00B7677E"/>
    <w:rsid w:val="00B81F34"/>
    <w:rsid w:val="00B83F18"/>
    <w:rsid w:val="00B85DD8"/>
    <w:rsid w:val="00B87F75"/>
    <w:rsid w:val="00B924CD"/>
    <w:rsid w:val="00B92C68"/>
    <w:rsid w:val="00B92FAB"/>
    <w:rsid w:val="00B93D9F"/>
    <w:rsid w:val="00B968CF"/>
    <w:rsid w:val="00BA0907"/>
    <w:rsid w:val="00BA2096"/>
    <w:rsid w:val="00BA4946"/>
    <w:rsid w:val="00BA70A6"/>
    <w:rsid w:val="00BB3C92"/>
    <w:rsid w:val="00BB4193"/>
    <w:rsid w:val="00BB52CF"/>
    <w:rsid w:val="00BB62CC"/>
    <w:rsid w:val="00BB6F49"/>
    <w:rsid w:val="00BC5C02"/>
    <w:rsid w:val="00BC68CC"/>
    <w:rsid w:val="00BC6F0C"/>
    <w:rsid w:val="00BC7525"/>
    <w:rsid w:val="00BC75E7"/>
    <w:rsid w:val="00BD2069"/>
    <w:rsid w:val="00BD3092"/>
    <w:rsid w:val="00BD6301"/>
    <w:rsid w:val="00BD6F9B"/>
    <w:rsid w:val="00BE0EDC"/>
    <w:rsid w:val="00BE3597"/>
    <w:rsid w:val="00BE544A"/>
    <w:rsid w:val="00BF11A1"/>
    <w:rsid w:val="00BF2A7C"/>
    <w:rsid w:val="00BF3643"/>
    <w:rsid w:val="00BF6F06"/>
    <w:rsid w:val="00C01BC6"/>
    <w:rsid w:val="00C0285D"/>
    <w:rsid w:val="00C05937"/>
    <w:rsid w:val="00C07F14"/>
    <w:rsid w:val="00C21769"/>
    <w:rsid w:val="00C222D8"/>
    <w:rsid w:val="00C22708"/>
    <w:rsid w:val="00C22FC8"/>
    <w:rsid w:val="00C24093"/>
    <w:rsid w:val="00C27909"/>
    <w:rsid w:val="00C27D91"/>
    <w:rsid w:val="00C348E8"/>
    <w:rsid w:val="00C360BD"/>
    <w:rsid w:val="00C44DE8"/>
    <w:rsid w:val="00C4684A"/>
    <w:rsid w:val="00C50A08"/>
    <w:rsid w:val="00C514C3"/>
    <w:rsid w:val="00C5547A"/>
    <w:rsid w:val="00C5584C"/>
    <w:rsid w:val="00C55B53"/>
    <w:rsid w:val="00C6065E"/>
    <w:rsid w:val="00C66A84"/>
    <w:rsid w:val="00C7588A"/>
    <w:rsid w:val="00C80755"/>
    <w:rsid w:val="00C82E04"/>
    <w:rsid w:val="00C84E8F"/>
    <w:rsid w:val="00C8557B"/>
    <w:rsid w:val="00C972B9"/>
    <w:rsid w:val="00CA07FA"/>
    <w:rsid w:val="00CA2C99"/>
    <w:rsid w:val="00CA4761"/>
    <w:rsid w:val="00CA61A9"/>
    <w:rsid w:val="00CB1891"/>
    <w:rsid w:val="00CB3B68"/>
    <w:rsid w:val="00CB4AFA"/>
    <w:rsid w:val="00CB5CE5"/>
    <w:rsid w:val="00CC2AEA"/>
    <w:rsid w:val="00CC6F80"/>
    <w:rsid w:val="00CC7200"/>
    <w:rsid w:val="00CC7A6C"/>
    <w:rsid w:val="00CD374D"/>
    <w:rsid w:val="00CD4E4D"/>
    <w:rsid w:val="00CD6313"/>
    <w:rsid w:val="00CD6408"/>
    <w:rsid w:val="00CD71C3"/>
    <w:rsid w:val="00CE1139"/>
    <w:rsid w:val="00CE1AA7"/>
    <w:rsid w:val="00CE2DBE"/>
    <w:rsid w:val="00CE3B8B"/>
    <w:rsid w:val="00CF4069"/>
    <w:rsid w:val="00CF54B1"/>
    <w:rsid w:val="00CF5F1E"/>
    <w:rsid w:val="00CF707B"/>
    <w:rsid w:val="00D076D5"/>
    <w:rsid w:val="00D1002D"/>
    <w:rsid w:val="00D11BCC"/>
    <w:rsid w:val="00D13C71"/>
    <w:rsid w:val="00D15AEA"/>
    <w:rsid w:val="00D15B33"/>
    <w:rsid w:val="00D21A40"/>
    <w:rsid w:val="00D231FA"/>
    <w:rsid w:val="00D24A59"/>
    <w:rsid w:val="00D302E5"/>
    <w:rsid w:val="00D30BD0"/>
    <w:rsid w:val="00D31C68"/>
    <w:rsid w:val="00D34FEB"/>
    <w:rsid w:val="00D353D7"/>
    <w:rsid w:val="00D35F95"/>
    <w:rsid w:val="00D37462"/>
    <w:rsid w:val="00D40952"/>
    <w:rsid w:val="00D41DDC"/>
    <w:rsid w:val="00D42698"/>
    <w:rsid w:val="00D426C6"/>
    <w:rsid w:val="00D46287"/>
    <w:rsid w:val="00D472E6"/>
    <w:rsid w:val="00D5110F"/>
    <w:rsid w:val="00D519CD"/>
    <w:rsid w:val="00D548AF"/>
    <w:rsid w:val="00D5580C"/>
    <w:rsid w:val="00D55A34"/>
    <w:rsid w:val="00D56782"/>
    <w:rsid w:val="00D60944"/>
    <w:rsid w:val="00D612D3"/>
    <w:rsid w:val="00D620CA"/>
    <w:rsid w:val="00D6345E"/>
    <w:rsid w:val="00D64F89"/>
    <w:rsid w:val="00D6671D"/>
    <w:rsid w:val="00D72F9B"/>
    <w:rsid w:val="00D77252"/>
    <w:rsid w:val="00D80BF7"/>
    <w:rsid w:val="00D834BF"/>
    <w:rsid w:val="00D84E85"/>
    <w:rsid w:val="00D87329"/>
    <w:rsid w:val="00D87C57"/>
    <w:rsid w:val="00D902DD"/>
    <w:rsid w:val="00D90FDD"/>
    <w:rsid w:val="00D91AEF"/>
    <w:rsid w:val="00D924EF"/>
    <w:rsid w:val="00D92DFD"/>
    <w:rsid w:val="00D92FB5"/>
    <w:rsid w:val="00D9301D"/>
    <w:rsid w:val="00D93193"/>
    <w:rsid w:val="00D94A6E"/>
    <w:rsid w:val="00D97D30"/>
    <w:rsid w:val="00DA06E1"/>
    <w:rsid w:val="00DA4165"/>
    <w:rsid w:val="00DA65E6"/>
    <w:rsid w:val="00DA7E90"/>
    <w:rsid w:val="00DC1937"/>
    <w:rsid w:val="00DC1CCF"/>
    <w:rsid w:val="00DC2501"/>
    <w:rsid w:val="00DC75B2"/>
    <w:rsid w:val="00DD12DF"/>
    <w:rsid w:val="00DD3287"/>
    <w:rsid w:val="00DD3914"/>
    <w:rsid w:val="00DD51B0"/>
    <w:rsid w:val="00DD5EAB"/>
    <w:rsid w:val="00DD6123"/>
    <w:rsid w:val="00DD65EA"/>
    <w:rsid w:val="00DD6736"/>
    <w:rsid w:val="00DE55DC"/>
    <w:rsid w:val="00DE747B"/>
    <w:rsid w:val="00DF2C66"/>
    <w:rsid w:val="00E00DBF"/>
    <w:rsid w:val="00E02ACE"/>
    <w:rsid w:val="00E04165"/>
    <w:rsid w:val="00E06771"/>
    <w:rsid w:val="00E06B22"/>
    <w:rsid w:val="00E104F4"/>
    <w:rsid w:val="00E125FC"/>
    <w:rsid w:val="00E13A1B"/>
    <w:rsid w:val="00E158B6"/>
    <w:rsid w:val="00E1783B"/>
    <w:rsid w:val="00E17E0B"/>
    <w:rsid w:val="00E207BF"/>
    <w:rsid w:val="00E22875"/>
    <w:rsid w:val="00E30DA5"/>
    <w:rsid w:val="00E33FDF"/>
    <w:rsid w:val="00E34869"/>
    <w:rsid w:val="00E35E40"/>
    <w:rsid w:val="00E368B5"/>
    <w:rsid w:val="00E4048C"/>
    <w:rsid w:val="00E4119F"/>
    <w:rsid w:val="00E425AD"/>
    <w:rsid w:val="00E42679"/>
    <w:rsid w:val="00E436CA"/>
    <w:rsid w:val="00E46147"/>
    <w:rsid w:val="00E50B58"/>
    <w:rsid w:val="00E52471"/>
    <w:rsid w:val="00E5485B"/>
    <w:rsid w:val="00E54975"/>
    <w:rsid w:val="00E562C1"/>
    <w:rsid w:val="00E56B2E"/>
    <w:rsid w:val="00E57DFD"/>
    <w:rsid w:val="00E60CBA"/>
    <w:rsid w:val="00E6345C"/>
    <w:rsid w:val="00E636C6"/>
    <w:rsid w:val="00E659BF"/>
    <w:rsid w:val="00E6772A"/>
    <w:rsid w:val="00E67E29"/>
    <w:rsid w:val="00E72683"/>
    <w:rsid w:val="00E74AD5"/>
    <w:rsid w:val="00E82583"/>
    <w:rsid w:val="00E82D78"/>
    <w:rsid w:val="00E900B7"/>
    <w:rsid w:val="00E92016"/>
    <w:rsid w:val="00E951EF"/>
    <w:rsid w:val="00E97E63"/>
    <w:rsid w:val="00EA2CA8"/>
    <w:rsid w:val="00EA6EA0"/>
    <w:rsid w:val="00EB166D"/>
    <w:rsid w:val="00EB2D8E"/>
    <w:rsid w:val="00EB519F"/>
    <w:rsid w:val="00EB6A51"/>
    <w:rsid w:val="00EC3411"/>
    <w:rsid w:val="00EC49C3"/>
    <w:rsid w:val="00EC5419"/>
    <w:rsid w:val="00EC61E9"/>
    <w:rsid w:val="00EC64BF"/>
    <w:rsid w:val="00EC73E7"/>
    <w:rsid w:val="00ED0C4E"/>
    <w:rsid w:val="00ED0E9D"/>
    <w:rsid w:val="00ED30B8"/>
    <w:rsid w:val="00ED401F"/>
    <w:rsid w:val="00ED5995"/>
    <w:rsid w:val="00EE1897"/>
    <w:rsid w:val="00EE2C1E"/>
    <w:rsid w:val="00EE2C97"/>
    <w:rsid w:val="00EE51F8"/>
    <w:rsid w:val="00EE6283"/>
    <w:rsid w:val="00EE7094"/>
    <w:rsid w:val="00EE7839"/>
    <w:rsid w:val="00EE79A1"/>
    <w:rsid w:val="00EF29BF"/>
    <w:rsid w:val="00EF3E5B"/>
    <w:rsid w:val="00EF4EFD"/>
    <w:rsid w:val="00EF7741"/>
    <w:rsid w:val="00EF7F20"/>
    <w:rsid w:val="00F02322"/>
    <w:rsid w:val="00F0672E"/>
    <w:rsid w:val="00F0760E"/>
    <w:rsid w:val="00F12AAA"/>
    <w:rsid w:val="00F153EF"/>
    <w:rsid w:val="00F153F5"/>
    <w:rsid w:val="00F279E8"/>
    <w:rsid w:val="00F332F9"/>
    <w:rsid w:val="00F3430E"/>
    <w:rsid w:val="00F365B2"/>
    <w:rsid w:val="00F37580"/>
    <w:rsid w:val="00F42675"/>
    <w:rsid w:val="00F4298D"/>
    <w:rsid w:val="00F549CC"/>
    <w:rsid w:val="00F557CD"/>
    <w:rsid w:val="00F562D6"/>
    <w:rsid w:val="00F563B2"/>
    <w:rsid w:val="00F5687E"/>
    <w:rsid w:val="00F5701D"/>
    <w:rsid w:val="00F62718"/>
    <w:rsid w:val="00F63391"/>
    <w:rsid w:val="00F6350B"/>
    <w:rsid w:val="00F64588"/>
    <w:rsid w:val="00F662FB"/>
    <w:rsid w:val="00F71792"/>
    <w:rsid w:val="00F738B4"/>
    <w:rsid w:val="00F73C12"/>
    <w:rsid w:val="00F740A5"/>
    <w:rsid w:val="00F757F9"/>
    <w:rsid w:val="00F76EFF"/>
    <w:rsid w:val="00F80F31"/>
    <w:rsid w:val="00F849D0"/>
    <w:rsid w:val="00F84B64"/>
    <w:rsid w:val="00F85BB0"/>
    <w:rsid w:val="00F87F0D"/>
    <w:rsid w:val="00F91893"/>
    <w:rsid w:val="00F918AD"/>
    <w:rsid w:val="00F9275A"/>
    <w:rsid w:val="00F92F86"/>
    <w:rsid w:val="00F95C22"/>
    <w:rsid w:val="00F97122"/>
    <w:rsid w:val="00FA365B"/>
    <w:rsid w:val="00FA3CB2"/>
    <w:rsid w:val="00FB0A82"/>
    <w:rsid w:val="00FB1854"/>
    <w:rsid w:val="00FB33EB"/>
    <w:rsid w:val="00FB38CC"/>
    <w:rsid w:val="00FB6EBE"/>
    <w:rsid w:val="00FB7833"/>
    <w:rsid w:val="00FB791C"/>
    <w:rsid w:val="00FC4298"/>
    <w:rsid w:val="00FC66C7"/>
    <w:rsid w:val="00FD03C2"/>
    <w:rsid w:val="00FD22E9"/>
    <w:rsid w:val="00FD257F"/>
    <w:rsid w:val="00FD687A"/>
    <w:rsid w:val="00FE12C8"/>
    <w:rsid w:val="00FE29EB"/>
    <w:rsid w:val="00FE2B66"/>
    <w:rsid w:val="00FF22BB"/>
    <w:rsid w:val="00FF38CB"/>
    <w:rsid w:val="00FF4937"/>
    <w:rsid w:val="00FF54C7"/>
    <w:rsid w:val="00FF54CB"/>
    <w:rsid w:val="00FF57C8"/>
    <w:rsid w:val="00FF676F"/>
    <w:rsid w:val="00FF6F60"/>
    <w:rsid w:val="22FDA37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98841"/>
  <w15:docId w15:val="{E6CFCE00-8E39-4BC1-ACE9-258204E38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A17C2"/>
    <w:pPr>
      <w:spacing w:after="0" w:line="240" w:lineRule="auto"/>
    </w:pPr>
    <w:rPr>
      <w:rFonts w:asciiTheme="majorHAnsi" w:hAnsiTheme="majorHAnsi"/>
      <w:sz w:val="20"/>
      <w:szCs w:val="20"/>
    </w:rPr>
  </w:style>
  <w:style w:type="paragraph" w:styleId="Heading1">
    <w:name w:val="heading 1"/>
    <w:aliases w:val="h1 + 9 pt + 9 pt,h1"/>
    <w:basedOn w:val="Normal"/>
    <w:next w:val="Paragraph"/>
    <w:link w:val="Heading1Char"/>
    <w:qFormat/>
    <w:rsid w:val="000C7C2F"/>
    <w:pPr>
      <w:keepNext/>
      <w:keepLines/>
      <w:numPr>
        <w:numId w:val="6"/>
      </w:numPr>
      <w:spacing w:before="480" w:after="240"/>
      <w:outlineLvl w:val="0"/>
    </w:pPr>
    <w:rPr>
      <w:rFonts w:ascii="Arial" w:eastAsiaTheme="majorEastAsia" w:hAnsi="Arial" w:cstheme="majorBidi"/>
      <w:b/>
      <w:caps/>
      <w:color w:val="000000" w:themeColor="text1"/>
      <w:szCs w:val="32"/>
    </w:rPr>
  </w:style>
  <w:style w:type="paragraph" w:styleId="Heading2">
    <w:name w:val="heading 2"/>
    <w:aliases w:val="h2 + Before:  0 pt,After:  0 pt,Line spacing:  single + Before:  0 ..."/>
    <w:basedOn w:val="Normal"/>
    <w:next w:val="Paragraph"/>
    <w:link w:val="Heading2Char"/>
    <w:qFormat/>
    <w:rsid w:val="000C7C2F"/>
    <w:pPr>
      <w:keepNext/>
      <w:keepLines/>
      <w:numPr>
        <w:ilvl w:val="1"/>
        <w:numId w:val="6"/>
      </w:numPr>
      <w:spacing w:before="120" w:after="120"/>
      <w:outlineLvl w:val="1"/>
    </w:pPr>
    <w:rPr>
      <w:rFonts w:ascii="Arial" w:eastAsiaTheme="majorEastAsia" w:hAnsi="Arial" w:cstheme="majorBidi"/>
      <w:b/>
      <w:bCs/>
      <w:color w:val="000000" w:themeColor="text1"/>
      <w:szCs w:val="26"/>
    </w:rPr>
  </w:style>
  <w:style w:type="paragraph" w:styleId="Heading3">
    <w:name w:val="heading 3"/>
    <w:basedOn w:val="Normal"/>
    <w:next w:val="Paragraph"/>
    <w:link w:val="Heading3Char"/>
    <w:qFormat/>
    <w:rsid w:val="0077452C"/>
    <w:pPr>
      <w:keepNext/>
      <w:keepLines/>
      <w:numPr>
        <w:ilvl w:val="2"/>
        <w:numId w:val="6"/>
      </w:numPr>
      <w:spacing w:before="120" w:after="120"/>
      <w:outlineLvl w:val="2"/>
    </w:pPr>
    <w:rPr>
      <w:rFonts w:ascii="Arial" w:eastAsiaTheme="majorEastAsia" w:hAnsi="Arial" w:cstheme="majorBidi"/>
      <w:b/>
      <w:bCs/>
      <w:i/>
      <w:color w:val="000000" w:themeColor="text1"/>
    </w:rPr>
  </w:style>
  <w:style w:type="paragraph" w:styleId="Heading4">
    <w:name w:val="heading 4"/>
    <w:basedOn w:val="Normal"/>
    <w:next w:val="Normal"/>
    <w:link w:val="Heading4Char"/>
    <w:qFormat/>
    <w:rsid w:val="001A17C2"/>
    <w:pPr>
      <w:keepNext/>
      <w:keepLines/>
      <w:spacing w:before="200"/>
      <w:outlineLvl w:val="3"/>
    </w:pPr>
    <w:rPr>
      <w:rFonts w:eastAsiaTheme="majorEastAsia" w:cstheme="majorBidi"/>
      <w:bCs/>
      <w:iCs/>
      <w:color w:val="000000" w:themeColor="text1"/>
    </w:rPr>
  </w:style>
  <w:style w:type="paragraph" w:styleId="Heading5">
    <w:name w:val="heading 5"/>
    <w:basedOn w:val="Normal"/>
    <w:next w:val="Normal"/>
    <w:link w:val="Heading5Char"/>
    <w:qFormat/>
    <w:rsid w:val="001A17C2"/>
    <w:pPr>
      <w:keepNext/>
      <w:keepLines/>
      <w:spacing w:before="200"/>
      <w:outlineLvl w:val="4"/>
    </w:pPr>
    <w:rPr>
      <w:rFonts w:eastAsiaTheme="majorEastAsia" w:cstheme="majorBidi"/>
      <w:color w:val="1F3763" w:themeColor="accent1" w:themeShade="7F"/>
    </w:rPr>
  </w:style>
  <w:style w:type="paragraph" w:styleId="Heading6">
    <w:name w:val="heading 6"/>
    <w:basedOn w:val="Normal"/>
    <w:next w:val="Normal"/>
    <w:link w:val="Heading6Char"/>
    <w:qFormat/>
    <w:rsid w:val="001A17C2"/>
    <w:pPr>
      <w:keepNext/>
      <w:keepLines/>
      <w:spacing w:before="200"/>
      <w:outlineLvl w:val="5"/>
    </w:pPr>
    <w:rPr>
      <w:rFonts w:eastAsiaTheme="majorEastAsia" w:cstheme="majorBidi"/>
      <w:iCs/>
      <w:color w:val="1F3763" w:themeColor="accent1" w:themeShade="7F"/>
    </w:rPr>
  </w:style>
  <w:style w:type="paragraph" w:styleId="Heading7">
    <w:name w:val="heading 7"/>
    <w:basedOn w:val="Normal"/>
    <w:next w:val="Normal"/>
    <w:link w:val="Heading7Char"/>
    <w:qFormat/>
    <w:rsid w:val="001A17C2"/>
    <w:pPr>
      <w:keepNext/>
      <w:keepLines/>
      <w:spacing w:before="200"/>
      <w:outlineLvl w:val="6"/>
    </w:pPr>
    <w:rPr>
      <w:rFonts w:eastAsiaTheme="majorEastAsia" w:cstheme="majorBidi"/>
      <w:iCs/>
      <w:color w:val="404040" w:themeColor="text1" w:themeTint="BF"/>
    </w:rPr>
  </w:style>
  <w:style w:type="paragraph" w:styleId="Heading8">
    <w:name w:val="heading 8"/>
    <w:basedOn w:val="Normal"/>
    <w:next w:val="Normal"/>
    <w:link w:val="Heading8Char"/>
    <w:qFormat/>
    <w:rsid w:val="001A17C2"/>
    <w:pPr>
      <w:keepNext/>
      <w:keepLines/>
      <w:spacing w:before="200"/>
      <w:outlineLvl w:val="7"/>
    </w:pPr>
    <w:rPr>
      <w:rFonts w:eastAsiaTheme="majorEastAsia" w:cstheme="majorBidi"/>
      <w:color w:val="404040" w:themeColor="text1" w:themeTint="BF"/>
    </w:rPr>
  </w:style>
  <w:style w:type="paragraph" w:styleId="Heading9">
    <w:name w:val="heading 9"/>
    <w:basedOn w:val="Normal"/>
    <w:next w:val="Normal"/>
    <w:link w:val="Heading9Char"/>
    <w:qFormat/>
    <w:rsid w:val="001A17C2"/>
    <w:pPr>
      <w:keepNext/>
      <w:keepLines/>
      <w:spacing w:before="200"/>
      <w:outlineLvl w:val="8"/>
    </w:pPr>
    <w:rPr>
      <w:rFonts w:eastAsiaTheme="majorEastAsia"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1A17C2"/>
    <w:pPr>
      <w:numPr>
        <w:numId w:val="1"/>
      </w:numPr>
    </w:pPr>
  </w:style>
  <w:style w:type="numbering" w:styleId="1ai">
    <w:name w:val="Outline List 1"/>
    <w:basedOn w:val="NoList"/>
    <w:semiHidden/>
    <w:unhideWhenUsed/>
    <w:rsid w:val="001A17C2"/>
    <w:pPr>
      <w:numPr>
        <w:numId w:val="2"/>
      </w:numPr>
    </w:pPr>
  </w:style>
  <w:style w:type="paragraph" w:styleId="BalloonText">
    <w:name w:val="Balloon Text"/>
    <w:basedOn w:val="Normal"/>
    <w:link w:val="BalloonTextChar"/>
    <w:uiPriority w:val="99"/>
    <w:semiHidden/>
    <w:rsid w:val="001A17C2"/>
    <w:rPr>
      <w:rFonts w:ascii="Tahoma" w:hAnsi="Tahoma" w:cs="Tahoma"/>
      <w:sz w:val="16"/>
      <w:szCs w:val="16"/>
    </w:rPr>
  </w:style>
  <w:style w:type="character" w:customStyle="1" w:styleId="BalloonTextChar">
    <w:name w:val="Balloon Text Char"/>
    <w:basedOn w:val="DefaultParagraphFont"/>
    <w:link w:val="BalloonText"/>
    <w:uiPriority w:val="99"/>
    <w:semiHidden/>
    <w:rsid w:val="001A17C2"/>
    <w:rPr>
      <w:rFonts w:ascii="Tahoma" w:hAnsi="Tahoma" w:cs="Tahoma"/>
      <w:sz w:val="16"/>
      <w:szCs w:val="16"/>
    </w:rPr>
  </w:style>
  <w:style w:type="numbering" w:customStyle="1" w:styleId="BulletedList">
    <w:name w:val="Bulleted List"/>
    <w:basedOn w:val="NoList"/>
    <w:uiPriority w:val="99"/>
    <w:rsid w:val="001A17C2"/>
    <w:pPr>
      <w:numPr>
        <w:numId w:val="3"/>
      </w:numPr>
    </w:pPr>
  </w:style>
  <w:style w:type="paragraph" w:customStyle="1" w:styleId="Paragraph">
    <w:name w:val="Paragraph"/>
    <w:basedOn w:val="Normal"/>
    <w:qFormat/>
    <w:rsid w:val="000C7C2F"/>
    <w:pPr>
      <w:spacing w:before="120" w:after="120"/>
      <w:jc w:val="both"/>
    </w:pPr>
    <w:rPr>
      <w:rFonts w:ascii="Arial" w:hAnsi="Arial"/>
    </w:rPr>
  </w:style>
  <w:style w:type="paragraph" w:customStyle="1" w:styleId="Bulletedlist1">
    <w:name w:val="Bulleted list 1"/>
    <w:basedOn w:val="Paragraph"/>
    <w:uiPriority w:val="10"/>
    <w:semiHidden/>
    <w:qFormat/>
    <w:rsid w:val="001A17C2"/>
    <w:pPr>
      <w:numPr>
        <w:numId w:val="4"/>
      </w:numPr>
    </w:pPr>
  </w:style>
  <w:style w:type="paragraph" w:customStyle="1" w:styleId="Bulletedlist2">
    <w:name w:val="Bulleted list 2"/>
    <w:basedOn w:val="Paragraph"/>
    <w:uiPriority w:val="10"/>
    <w:semiHidden/>
    <w:qFormat/>
    <w:rsid w:val="001A17C2"/>
    <w:pPr>
      <w:numPr>
        <w:ilvl w:val="1"/>
        <w:numId w:val="4"/>
      </w:numPr>
    </w:pPr>
  </w:style>
  <w:style w:type="paragraph" w:customStyle="1" w:styleId="Clause1">
    <w:name w:val="Clause 1"/>
    <w:basedOn w:val="Normal"/>
    <w:uiPriority w:val="3"/>
    <w:qFormat/>
    <w:rsid w:val="001A17C2"/>
    <w:pPr>
      <w:numPr>
        <w:ilvl w:val="3"/>
        <w:numId w:val="6"/>
      </w:numPr>
      <w:spacing w:before="240" w:after="240"/>
      <w:jc w:val="both"/>
    </w:pPr>
  </w:style>
  <w:style w:type="paragraph" w:customStyle="1" w:styleId="Clause2">
    <w:name w:val="Clause 2"/>
    <w:basedOn w:val="Clause1"/>
    <w:uiPriority w:val="6"/>
    <w:qFormat/>
    <w:rsid w:val="001A17C2"/>
    <w:pPr>
      <w:numPr>
        <w:ilvl w:val="4"/>
      </w:numPr>
    </w:pPr>
  </w:style>
  <w:style w:type="paragraph" w:customStyle="1" w:styleId="Clause1A">
    <w:name w:val="Clause 1A"/>
    <w:basedOn w:val="Clause2"/>
    <w:uiPriority w:val="10"/>
    <w:qFormat/>
    <w:rsid w:val="001A17C2"/>
    <w:pPr>
      <w:numPr>
        <w:ilvl w:val="7"/>
      </w:numPr>
    </w:pPr>
  </w:style>
  <w:style w:type="paragraph" w:customStyle="1" w:styleId="Clause1B">
    <w:name w:val="Clause 1B"/>
    <w:basedOn w:val="Clause2"/>
    <w:uiPriority w:val="10"/>
    <w:qFormat/>
    <w:rsid w:val="001A17C2"/>
    <w:pPr>
      <w:numPr>
        <w:ilvl w:val="8"/>
      </w:numPr>
    </w:pPr>
  </w:style>
  <w:style w:type="paragraph" w:customStyle="1" w:styleId="Clause2A">
    <w:name w:val="Clause 2A"/>
    <w:basedOn w:val="Clause2"/>
    <w:uiPriority w:val="10"/>
    <w:qFormat/>
    <w:rsid w:val="001A17C2"/>
    <w:pPr>
      <w:numPr>
        <w:ilvl w:val="6"/>
      </w:numPr>
    </w:pPr>
  </w:style>
  <w:style w:type="paragraph" w:customStyle="1" w:styleId="Clause3">
    <w:name w:val="Clause 3"/>
    <w:basedOn w:val="Clause2"/>
    <w:uiPriority w:val="6"/>
    <w:qFormat/>
    <w:rsid w:val="001A17C2"/>
    <w:pPr>
      <w:numPr>
        <w:ilvl w:val="5"/>
      </w:numPr>
    </w:pPr>
  </w:style>
  <w:style w:type="numbering" w:customStyle="1" w:styleId="Clauselist">
    <w:name w:val="Clause list"/>
    <w:basedOn w:val="NoList"/>
    <w:uiPriority w:val="99"/>
    <w:rsid w:val="001A17C2"/>
    <w:pPr>
      <w:numPr>
        <w:numId w:val="5"/>
      </w:numPr>
    </w:pPr>
  </w:style>
  <w:style w:type="character" w:styleId="CommentReference">
    <w:name w:val="annotation reference"/>
    <w:basedOn w:val="DefaultParagraphFont"/>
    <w:unhideWhenUsed/>
    <w:rsid w:val="001A17C2"/>
    <w:rPr>
      <w:sz w:val="16"/>
      <w:szCs w:val="16"/>
    </w:rPr>
  </w:style>
  <w:style w:type="paragraph" w:styleId="CommentText">
    <w:name w:val="annotation text"/>
    <w:basedOn w:val="Normal"/>
    <w:link w:val="CommentTextChar"/>
    <w:unhideWhenUsed/>
    <w:rsid w:val="001A17C2"/>
  </w:style>
  <w:style w:type="character" w:customStyle="1" w:styleId="CommentTextChar">
    <w:name w:val="Comment Text Char"/>
    <w:basedOn w:val="DefaultParagraphFont"/>
    <w:link w:val="CommentText"/>
    <w:rsid w:val="001A17C2"/>
    <w:rPr>
      <w:rFonts w:asciiTheme="majorHAnsi" w:hAnsiTheme="majorHAnsi"/>
      <w:sz w:val="20"/>
      <w:szCs w:val="20"/>
    </w:rPr>
  </w:style>
  <w:style w:type="paragraph" w:styleId="CommentSubject">
    <w:name w:val="annotation subject"/>
    <w:basedOn w:val="CommentText"/>
    <w:next w:val="CommentText"/>
    <w:link w:val="CommentSubjectChar"/>
    <w:semiHidden/>
    <w:unhideWhenUsed/>
    <w:rsid w:val="001A17C2"/>
    <w:rPr>
      <w:b/>
      <w:bCs/>
    </w:rPr>
  </w:style>
  <w:style w:type="character" w:customStyle="1" w:styleId="CommentSubjectChar">
    <w:name w:val="Comment Subject Char"/>
    <w:basedOn w:val="CommentTextChar"/>
    <w:link w:val="CommentSubject"/>
    <w:semiHidden/>
    <w:rsid w:val="001A17C2"/>
    <w:rPr>
      <w:rFonts w:asciiTheme="majorHAnsi" w:hAnsiTheme="majorHAnsi"/>
      <w:b/>
      <w:bCs/>
      <w:sz w:val="20"/>
      <w:szCs w:val="20"/>
    </w:rPr>
  </w:style>
  <w:style w:type="paragraph" w:customStyle="1" w:styleId="Plea">
    <w:name w:val="Plea"/>
    <w:basedOn w:val="Paragraph"/>
    <w:uiPriority w:val="10"/>
    <w:semiHidden/>
    <w:qFormat/>
    <w:rsid w:val="001A17C2"/>
    <w:pPr>
      <w:numPr>
        <w:ilvl w:val="1"/>
        <w:numId w:val="9"/>
      </w:numPr>
      <w:spacing w:before="0"/>
    </w:pPr>
  </w:style>
  <w:style w:type="paragraph" w:customStyle="1" w:styleId="Enclosure">
    <w:name w:val="Enclosure"/>
    <w:basedOn w:val="Plea"/>
    <w:uiPriority w:val="10"/>
    <w:semiHidden/>
    <w:qFormat/>
    <w:rsid w:val="001A17C2"/>
    <w:pPr>
      <w:spacing w:after="0"/>
    </w:pPr>
  </w:style>
  <w:style w:type="paragraph" w:styleId="Footer">
    <w:name w:val="footer"/>
    <w:basedOn w:val="Normal"/>
    <w:link w:val="FooterChar"/>
    <w:uiPriority w:val="99"/>
    <w:unhideWhenUsed/>
    <w:rsid w:val="001A17C2"/>
    <w:pPr>
      <w:tabs>
        <w:tab w:val="center" w:pos="4513"/>
        <w:tab w:val="right" w:pos="9026"/>
      </w:tabs>
    </w:pPr>
  </w:style>
  <w:style w:type="character" w:customStyle="1" w:styleId="FooterChar">
    <w:name w:val="Footer Char"/>
    <w:basedOn w:val="DefaultParagraphFont"/>
    <w:link w:val="Footer"/>
    <w:uiPriority w:val="99"/>
    <w:rsid w:val="001A17C2"/>
    <w:rPr>
      <w:rFonts w:asciiTheme="majorHAnsi" w:hAnsiTheme="majorHAnsi"/>
      <w:sz w:val="20"/>
      <w:szCs w:val="20"/>
    </w:rPr>
  </w:style>
  <w:style w:type="character" w:styleId="FootnoteReference">
    <w:name w:val="footnote reference"/>
    <w:basedOn w:val="DefaultParagraphFont"/>
    <w:rsid w:val="001A17C2"/>
    <w:rPr>
      <w:vertAlign w:val="superscript"/>
    </w:rPr>
  </w:style>
  <w:style w:type="paragraph" w:styleId="FootnoteText">
    <w:name w:val="footnote text"/>
    <w:basedOn w:val="Normal"/>
    <w:link w:val="FootnoteTextChar"/>
    <w:uiPriority w:val="99"/>
    <w:qFormat/>
    <w:rsid w:val="001A17C2"/>
    <w:rPr>
      <w:sz w:val="18"/>
    </w:rPr>
  </w:style>
  <w:style w:type="character" w:customStyle="1" w:styleId="FootnoteTextChar">
    <w:name w:val="Footnote Text Char"/>
    <w:basedOn w:val="DefaultParagraphFont"/>
    <w:link w:val="FootnoteText"/>
    <w:uiPriority w:val="99"/>
    <w:rsid w:val="001A17C2"/>
    <w:rPr>
      <w:rFonts w:asciiTheme="majorHAnsi" w:hAnsiTheme="majorHAnsi"/>
      <w:sz w:val="18"/>
      <w:szCs w:val="20"/>
    </w:rPr>
  </w:style>
  <w:style w:type="paragraph" w:styleId="Header">
    <w:name w:val="header"/>
    <w:basedOn w:val="Normal"/>
    <w:link w:val="HeaderChar"/>
    <w:uiPriority w:val="99"/>
    <w:unhideWhenUsed/>
    <w:rsid w:val="001A17C2"/>
    <w:pPr>
      <w:tabs>
        <w:tab w:val="center" w:pos="4153"/>
        <w:tab w:val="right" w:pos="8306"/>
      </w:tabs>
      <w:jc w:val="right"/>
    </w:pPr>
    <w:rPr>
      <w:i/>
      <w:iCs/>
      <w:sz w:val="18"/>
    </w:rPr>
  </w:style>
  <w:style w:type="character" w:customStyle="1" w:styleId="HeaderChar">
    <w:name w:val="Header Char"/>
    <w:basedOn w:val="DefaultParagraphFont"/>
    <w:link w:val="Header"/>
    <w:uiPriority w:val="99"/>
    <w:rsid w:val="001A17C2"/>
    <w:rPr>
      <w:rFonts w:asciiTheme="majorHAnsi" w:hAnsiTheme="majorHAnsi"/>
      <w:i/>
      <w:iCs/>
      <w:sz w:val="18"/>
      <w:szCs w:val="20"/>
    </w:rPr>
  </w:style>
  <w:style w:type="character" w:customStyle="1" w:styleId="Heading1Char">
    <w:name w:val="Heading 1 Char"/>
    <w:aliases w:val="h1 + 9 pt + 9 pt Char1,h1 Char"/>
    <w:basedOn w:val="DefaultParagraphFont"/>
    <w:link w:val="Heading1"/>
    <w:rsid w:val="000C7C2F"/>
    <w:rPr>
      <w:rFonts w:ascii="Arial" w:eastAsiaTheme="majorEastAsia" w:hAnsi="Arial" w:cstheme="majorBidi"/>
      <w:b/>
      <w:caps/>
      <w:color w:val="000000" w:themeColor="text1"/>
      <w:sz w:val="20"/>
      <w:szCs w:val="32"/>
    </w:rPr>
  </w:style>
  <w:style w:type="character" w:customStyle="1" w:styleId="Heading2Char">
    <w:name w:val="Heading 2 Char"/>
    <w:aliases w:val="h2 + Before:  0 pt Char2,After:  0 pt Char2,Line spacing:  single + Before:  0 ... Char1"/>
    <w:basedOn w:val="DefaultParagraphFont"/>
    <w:link w:val="Heading2"/>
    <w:rsid w:val="000C7C2F"/>
    <w:rPr>
      <w:rFonts w:ascii="Arial" w:eastAsiaTheme="majorEastAsia" w:hAnsi="Arial" w:cstheme="majorBidi"/>
      <w:b/>
      <w:bCs/>
      <w:color w:val="000000" w:themeColor="text1"/>
      <w:sz w:val="20"/>
      <w:szCs w:val="26"/>
    </w:rPr>
  </w:style>
  <w:style w:type="character" w:customStyle="1" w:styleId="Heading3Char">
    <w:name w:val="Heading 3 Char"/>
    <w:basedOn w:val="DefaultParagraphFont"/>
    <w:link w:val="Heading3"/>
    <w:rsid w:val="0077452C"/>
    <w:rPr>
      <w:rFonts w:ascii="Arial" w:eastAsiaTheme="majorEastAsia" w:hAnsi="Arial" w:cstheme="majorBidi"/>
      <w:b/>
      <w:bCs/>
      <w:i/>
      <w:color w:val="000000" w:themeColor="text1"/>
      <w:sz w:val="20"/>
      <w:szCs w:val="20"/>
    </w:rPr>
  </w:style>
  <w:style w:type="character" w:customStyle="1" w:styleId="Heading4Char">
    <w:name w:val="Heading 4 Char"/>
    <w:basedOn w:val="DefaultParagraphFont"/>
    <w:link w:val="Heading4"/>
    <w:rsid w:val="001A17C2"/>
    <w:rPr>
      <w:rFonts w:asciiTheme="majorHAnsi" w:eastAsiaTheme="majorEastAsia" w:hAnsiTheme="majorHAnsi" w:cstheme="majorBidi"/>
      <w:bCs/>
      <w:iCs/>
      <w:color w:val="000000" w:themeColor="text1"/>
      <w:sz w:val="20"/>
      <w:szCs w:val="20"/>
    </w:rPr>
  </w:style>
  <w:style w:type="character" w:customStyle="1" w:styleId="Heading5Char">
    <w:name w:val="Heading 5 Char"/>
    <w:basedOn w:val="DefaultParagraphFont"/>
    <w:link w:val="Heading5"/>
    <w:rsid w:val="001A17C2"/>
    <w:rPr>
      <w:rFonts w:asciiTheme="majorHAnsi" w:eastAsiaTheme="majorEastAsia" w:hAnsiTheme="majorHAnsi" w:cstheme="majorBidi"/>
      <w:color w:val="1F3763" w:themeColor="accent1" w:themeShade="7F"/>
      <w:sz w:val="20"/>
      <w:szCs w:val="20"/>
    </w:rPr>
  </w:style>
  <w:style w:type="character" w:customStyle="1" w:styleId="Heading6Char">
    <w:name w:val="Heading 6 Char"/>
    <w:basedOn w:val="DefaultParagraphFont"/>
    <w:link w:val="Heading6"/>
    <w:rsid w:val="001A17C2"/>
    <w:rPr>
      <w:rFonts w:asciiTheme="majorHAnsi" w:eastAsiaTheme="majorEastAsia" w:hAnsiTheme="majorHAnsi" w:cstheme="majorBidi"/>
      <w:iCs/>
      <w:color w:val="1F3763" w:themeColor="accent1" w:themeShade="7F"/>
      <w:sz w:val="20"/>
      <w:szCs w:val="20"/>
    </w:rPr>
  </w:style>
  <w:style w:type="character" w:customStyle="1" w:styleId="Heading7Char">
    <w:name w:val="Heading 7 Char"/>
    <w:basedOn w:val="DefaultParagraphFont"/>
    <w:link w:val="Heading7"/>
    <w:rsid w:val="001A17C2"/>
    <w:rPr>
      <w:rFonts w:asciiTheme="majorHAnsi" w:eastAsiaTheme="majorEastAsia" w:hAnsiTheme="majorHAnsi" w:cstheme="majorBidi"/>
      <w:iCs/>
      <w:color w:val="404040" w:themeColor="text1" w:themeTint="BF"/>
      <w:sz w:val="20"/>
      <w:szCs w:val="20"/>
    </w:rPr>
  </w:style>
  <w:style w:type="character" w:customStyle="1" w:styleId="Heading8Char">
    <w:name w:val="Heading 8 Char"/>
    <w:basedOn w:val="DefaultParagraphFont"/>
    <w:link w:val="Heading8"/>
    <w:rsid w:val="001A17C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1A17C2"/>
    <w:rPr>
      <w:rFonts w:asciiTheme="majorHAnsi" w:eastAsiaTheme="majorEastAsia" w:hAnsiTheme="majorHAnsi" w:cstheme="majorBidi"/>
      <w:iCs/>
      <w:color w:val="404040" w:themeColor="text1" w:themeTint="BF"/>
      <w:sz w:val="20"/>
      <w:szCs w:val="20"/>
    </w:rPr>
  </w:style>
  <w:style w:type="character" w:styleId="Hyperlink">
    <w:name w:val="Hyperlink"/>
    <w:basedOn w:val="DefaultParagraphFont"/>
    <w:uiPriority w:val="99"/>
    <w:rsid w:val="001A17C2"/>
    <w:rPr>
      <w:color w:val="0563C1" w:themeColor="hyperlink"/>
      <w:u w:val="single"/>
    </w:rPr>
  </w:style>
  <w:style w:type="numbering" w:customStyle="1" w:styleId="NumberedHeadings">
    <w:name w:val="Numbered Headings"/>
    <w:basedOn w:val="111111"/>
    <w:uiPriority w:val="99"/>
    <w:rsid w:val="001A17C2"/>
    <w:pPr>
      <w:numPr>
        <w:numId w:val="42"/>
      </w:numPr>
    </w:pPr>
  </w:style>
  <w:style w:type="numbering" w:customStyle="1" w:styleId="NumberedList">
    <w:name w:val="Numbered List"/>
    <w:basedOn w:val="NoList"/>
    <w:uiPriority w:val="99"/>
    <w:rsid w:val="001A17C2"/>
    <w:pPr>
      <w:numPr>
        <w:numId w:val="7"/>
      </w:numPr>
    </w:pPr>
  </w:style>
  <w:style w:type="paragraph" w:customStyle="1" w:styleId="Numberedlist1">
    <w:name w:val="Numbered list 1"/>
    <w:basedOn w:val="Paragraph"/>
    <w:uiPriority w:val="7"/>
    <w:qFormat/>
    <w:rsid w:val="001A17C2"/>
    <w:pPr>
      <w:numPr>
        <w:numId w:val="8"/>
      </w:numPr>
    </w:pPr>
  </w:style>
  <w:style w:type="paragraph" w:customStyle="1" w:styleId="Numberedlist2">
    <w:name w:val="Numbered list 2"/>
    <w:basedOn w:val="Paragraph"/>
    <w:uiPriority w:val="4"/>
    <w:qFormat/>
    <w:rsid w:val="001A17C2"/>
    <w:pPr>
      <w:numPr>
        <w:ilvl w:val="1"/>
        <w:numId w:val="8"/>
      </w:numPr>
    </w:pPr>
  </w:style>
  <w:style w:type="paragraph" w:customStyle="1" w:styleId="Numberedlist3">
    <w:name w:val="Numbered list 3"/>
    <w:basedOn w:val="Paragraph"/>
    <w:uiPriority w:val="4"/>
    <w:qFormat/>
    <w:rsid w:val="001A17C2"/>
    <w:pPr>
      <w:numPr>
        <w:ilvl w:val="2"/>
        <w:numId w:val="8"/>
      </w:numPr>
    </w:pPr>
  </w:style>
  <w:style w:type="character" w:styleId="PageNumber">
    <w:name w:val="page number"/>
    <w:basedOn w:val="DefaultParagraphFont"/>
    <w:unhideWhenUsed/>
    <w:rsid w:val="001A17C2"/>
  </w:style>
  <w:style w:type="paragraph" w:customStyle="1" w:styleId="PleaHeading">
    <w:name w:val="Plea Heading"/>
    <w:basedOn w:val="Paragraph"/>
    <w:next w:val="Plea"/>
    <w:uiPriority w:val="10"/>
    <w:semiHidden/>
    <w:qFormat/>
    <w:rsid w:val="001A17C2"/>
    <w:pPr>
      <w:numPr>
        <w:numId w:val="9"/>
      </w:numPr>
      <w:spacing w:after="0"/>
    </w:pPr>
  </w:style>
  <w:style w:type="numbering" w:customStyle="1" w:styleId="PleaList">
    <w:name w:val="Plea List"/>
    <w:uiPriority w:val="99"/>
    <w:rsid w:val="001A17C2"/>
    <w:pPr>
      <w:numPr>
        <w:numId w:val="9"/>
      </w:numPr>
    </w:pPr>
  </w:style>
  <w:style w:type="paragraph" w:customStyle="1" w:styleId="Recitals">
    <w:name w:val="Recitals"/>
    <w:basedOn w:val="Paragraph"/>
    <w:uiPriority w:val="8"/>
    <w:qFormat/>
    <w:rsid w:val="001A17C2"/>
    <w:pPr>
      <w:numPr>
        <w:numId w:val="11"/>
      </w:numPr>
    </w:pPr>
  </w:style>
  <w:style w:type="numbering" w:customStyle="1" w:styleId="RecitalsList">
    <w:name w:val="Recitals List"/>
    <w:uiPriority w:val="99"/>
    <w:rsid w:val="001A17C2"/>
    <w:pPr>
      <w:numPr>
        <w:numId w:val="10"/>
      </w:numPr>
    </w:pPr>
  </w:style>
  <w:style w:type="paragraph" w:customStyle="1" w:styleId="Resolution">
    <w:name w:val="Resolution"/>
    <w:basedOn w:val="Paragraph"/>
    <w:uiPriority w:val="10"/>
    <w:qFormat/>
    <w:rsid w:val="001A17C2"/>
    <w:pPr>
      <w:numPr>
        <w:numId w:val="14"/>
      </w:numPr>
    </w:pPr>
  </w:style>
  <w:style w:type="numbering" w:customStyle="1" w:styleId="Resolutionlist0">
    <w:name w:val="Resolution list"/>
    <w:basedOn w:val="Clauselist"/>
    <w:uiPriority w:val="99"/>
    <w:rsid w:val="001A17C2"/>
    <w:pPr>
      <w:numPr>
        <w:numId w:val="13"/>
      </w:numPr>
    </w:pPr>
  </w:style>
  <w:style w:type="numbering" w:customStyle="1" w:styleId="ResolutionList">
    <w:name w:val="Resolution List"/>
    <w:uiPriority w:val="99"/>
    <w:rsid w:val="001A17C2"/>
    <w:pPr>
      <w:numPr>
        <w:numId w:val="12"/>
      </w:numPr>
    </w:pPr>
  </w:style>
  <w:style w:type="paragraph" w:styleId="Subtitle">
    <w:name w:val="Subtitle"/>
    <w:basedOn w:val="Normal"/>
    <w:next w:val="Paragraph"/>
    <w:link w:val="SubtitleChar"/>
    <w:uiPriority w:val="11"/>
    <w:qFormat/>
    <w:rsid w:val="001A17C2"/>
    <w:pPr>
      <w:numPr>
        <w:ilvl w:val="1"/>
      </w:numPr>
      <w:spacing w:before="240" w:after="240"/>
      <w:contextualSpacing/>
      <w:jc w:val="center"/>
    </w:pPr>
    <w:rPr>
      <w:rFonts w:asciiTheme="minorHAnsi" w:eastAsiaTheme="minorEastAsia" w:hAnsiTheme="minorHAnsi" w:cstheme="majorBidi"/>
      <w:b/>
      <w:caps/>
      <w:color w:val="5A5A5A" w:themeColor="text1" w:themeTint="A5"/>
      <w:spacing w:val="15"/>
      <w:kern w:val="28"/>
      <w:szCs w:val="22"/>
    </w:rPr>
  </w:style>
  <w:style w:type="character" w:customStyle="1" w:styleId="SubtitleChar">
    <w:name w:val="Subtitle Char"/>
    <w:basedOn w:val="DefaultParagraphFont"/>
    <w:link w:val="Subtitle"/>
    <w:uiPriority w:val="11"/>
    <w:rsid w:val="001A17C2"/>
    <w:rPr>
      <w:rFonts w:eastAsiaTheme="minorEastAsia" w:cstheme="majorBidi"/>
      <w:b/>
      <w:caps/>
      <w:color w:val="5A5A5A" w:themeColor="text1" w:themeTint="A5"/>
      <w:spacing w:val="15"/>
      <w:kern w:val="28"/>
      <w:sz w:val="20"/>
    </w:rPr>
  </w:style>
  <w:style w:type="table" w:styleId="TableGrid">
    <w:name w:val="Table Grid"/>
    <w:basedOn w:val="TableNormal"/>
    <w:uiPriority w:val="59"/>
    <w:rsid w:val="001A17C2"/>
    <w:pPr>
      <w:spacing w:after="0" w:line="240" w:lineRule="auto"/>
    </w:pPr>
    <w:rPr>
      <w:rFonts w:asciiTheme="majorHAnsi" w:hAnsiTheme="majorHAnsi"/>
      <w:sz w:val="20"/>
      <w:szCs w:val="20"/>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GSclause">
    <w:name w:val="TGS clause"/>
    <w:basedOn w:val="NoList"/>
    <w:uiPriority w:val="99"/>
    <w:rsid w:val="001A17C2"/>
  </w:style>
  <w:style w:type="paragraph" w:styleId="Title">
    <w:name w:val="Title"/>
    <w:basedOn w:val="Normal"/>
    <w:next w:val="Paragraph"/>
    <w:link w:val="TitleChar"/>
    <w:uiPriority w:val="9"/>
    <w:qFormat/>
    <w:rsid w:val="001A17C2"/>
    <w:pPr>
      <w:spacing w:before="360" w:after="360"/>
      <w:contextualSpacing/>
      <w:jc w:val="center"/>
    </w:pPr>
    <w:rPr>
      <w:rFonts w:ascii="Arial" w:eastAsiaTheme="majorEastAsia" w:hAnsi="Arial" w:cstheme="majorBidi"/>
      <w:b/>
      <w:caps/>
      <w:szCs w:val="52"/>
    </w:rPr>
  </w:style>
  <w:style w:type="character" w:customStyle="1" w:styleId="TitleChar">
    <w:name w:val="Title Char"/>
    <w:basedOn w:val="DefaultParagraphFont"/>
    <w:link w:val="Title"/>
    <w:uiPriority w:val="9"/>
    <w:rsid w:val="001A17C2"/>
    <w:rPr>
      <w:rFonts w:ascii="Arial" w:eastAsiaTheme="majorEastAsia" w:hAnsi="Arial" w:cstheme="majorBidi"/>
      <w:b/>
      <w:caps/>
      <w:sz w:val="20"/>
      <w:szCs w:val="52"/>
    </w:rPr>
  </w:style>
  <w:style w:type="paragraph" w:styleId="TOC1">
    <w:name w:val="toc 1"/>
    <w:basedOn w:val="Normal"/>
    <w:next w:val="Normal"/>
    <w:autoRedefine/>
    <w:uiPriority w:val="39"/>
    <w:rsid w:val="001A17C2"/>
    <w:pPr>
      <w:spacing w:after="100"/>
    </w:pPr>
  </w:style>
  <w:style w:type="paragraph" w:styleId="TOC2">
    <w:name w:val="toc 2"/>
    <w:basedOn w:val="Normal"/>
    <w:next w:val="Normal"/>
    <w:autoRedefine/>
    <w:uiPriority w:val="39"/>
    <w:rsid w:val="002B1D5D"/>
    <w:pPr>
      <w:tabs>
        <w:tab w:val="left" w:pos="880"/>
        <w:tab w:val="right" w:leader="dot" w:pos="9016"/>
      </w:tabs>
      <w:ind w:left="200"/>
    </w:pPr>
  </w:style>
  <w:style w:type="paragraph" w:styleId="TOC3">
    <w:name w:val="toc 3"/>
    <w:basedOn w:val="Normal"/>
    <w:next w:val="Normal"/>
    <w:autoRedefine/>
    <w:uiPriority w:val="39"/>
    <w:rsid w:val="001A17C2"/>
    <w:pPr>
      <w:spacing w:after="100"/>
      <w:ind w:left="400"/>
    </w:pPr>
  </w:style>
  <w:style w:type="paragraph" w:styleId="TOC4">
    <w:name w:val="toc 4"/>
    <w:basedOn w:val="Normal"/>
    <w:next w:val="Normal"/>
    <w:autoRedefine/>
    <w:uiPriority w:val="39"/>
    <w:rsid w:val="001A17C2"/>
    <w:pPr>
      <w:spacing w:after="100" w:line="276" w:lineRule="auto"/>
      <w:ind w:left="660"/>
    </w:pPr>
    <w:rPr>
      <w:rFonts w:asciiTheme="minorHAnsi" w:eastAsiaTheme="minorEastAsia" w:hAnsiTheme="minorHAnsi"/>
      <w:sz w:val="22"/>
      <w:lang w:eastAsia="en-GB" w:bidi="ug-CN"/>
    </w:rPr>
  </w:style>
  <w:style w:type="paragraph" w:styleId="TOC5">
    <w:name w:val="toc 5"/>
    <w:basedOn w:val="Normal"/>
    <w:next w:val="Normal"/>
    <w:autoRedefine/>
    <w:uiPriority w:val="39"/>
    <w:rsid w:val="001A17C2"/>
    <w:pPr>
      <w:spacing w:after="100" w:line="276" w:lineRule="auto"/>
      <w:ind w:left="880"/>
    </w:pPr>
    <w:rPr>
      <w:rFonts w:asciiTheme="minorHAnsi" w:eastAsiaTheme="minorEastAsia" w:hAnsiTheme="minorHAnsi"/>
      <w:sz w:val="22"/>
      <w:lang w:eastAsia="en-GB" w:bidi="ug-CN"/>
    </w:rPr>
  </w:style>
  <w:style w:type="paragraph" w:styleId="TOC6">
    <w:name w:val="toc 6"/>
    <w:basedOn w:val="Normal"/>
    <w:next w:val="Normal"/>
    <w:autoRedefine/>
    <w:uiPriority w:val="39"/>
    <w:rsid w:val="001A17C2"/>
    <w:pPr>
      <w:spacing w:after="100" w:line="276" w:lineRule="auto"/>
      <w:ind w:left="1100"/>
    </w:pPr>
    <w:rPr>
      <w:rFonts w:asciiTheme="minorHAnsi" w:eastAsiaTheme="minorEastAsia" w:hAnsiTheme="minorHAnsi"/>
      <w:sz w:val="22"/>
      <w:lang w:eastAsia="en-GB" w:bidi="ug-CN"/>
    </w:rPr>
  </w:style>
  <w:style w:type="paragraph" w:styleId="TOC7">
    <w:name w:val="toc 7"/>
    <w:basedOn w:val="Normal"/>
    <w:next w:val="Normal"/>
    <w:autoRedefine/>
    <w:uiPriority w:val="39"/>
    <w:rsid w:val="001A17C2"/>
    <w:pPr>
      <w:spacing w:after="100" w:line="276" w:lineRule="auto"/>
      <w:ind w:left="1320"/>
    </w:pPr>
    <w:rPr>
      <w:rFonts w:asciiTheme="minorHAnsi" w:eastAsiaTheme="minorEastAsia" w:hAnsiTheme="minorHAnsi"/>
      <w:sz w:val="22"/>
      <w:lang w:eastAsia="en-GB" w:bidi="ug-CN"/>
    </w:rPr>
  </w:style>
  <w:style w:type="paragraph" w:styleId="TOC8">
    <w:name w:val="toc 8"/>
    <w:basedOn w:val="Normal"/>
    <w:next w:val="Normal"/>
    <w:autoRedefine/>
    <w:uiPriority w:val="39"/>
    <w:rsid w:val="001A17C2"/>
    <w:pPr>
      <w:spacing w:after="100" w:line="276" w:lineRule="auto"/>
      <w:ind w:left="1540"/>
    </w:pPr>
    <w:rPr>
      <w:rFonts w:asciiTheme="minorHAnsi" w:eastAsiaTheme="minorEastAsia" w:hAnsiTheme="minorHAnsi"/>
      <w:sz w:val="22"/>
      <w:lang w:eastAsia="en-GB" w:bidi="ug-CN"/>
    </w:rPr>
  </w:style>
  <w:style w:type="paragraph" w:styleId="TOC9">
    <w:name w:val="toc 9"/>
    <w:basedOn w:val="Normal"/>
    <w:next w:val="Normal"/>
    <w:autoRedefine/>
    <w:uiPriority w:val="39"/>
    <w:rsid w:val="001A17C2"/>
    <w:pPr>
      <w:spacing w:after="100" w:line="276" w:lineRule="auto"/>
      <w:ind w:left="1760"/>
    </w:pPr>
    <w:rPr>
      <w:rFonts w:asciiTheme="minorHAnsi" w:eastAsiaTheme="minorEastAsia" w:hAnsiTheme="minorHAnsi"/>
      <w:sz w:val="22"/>
      <w:lang w:eastAsia="en-GB" w:bidi="ug-CN"/>
    </w:rPr>
  </w:style>
  <w:style w:type="paragraph" w:styleId="TOCHeading">
    <w:name w:val="TOC Heading"/>
    <w:basedOn w:val="Heading1"/>
    <w:next w:val="Normal"/>
    <w:uiPriority w:val="39"/>
    <w:qFormat/>
    <w:rsid w:val="001A17C2"/>
    <w:pPr>
      <w:numPr>
        <w:numId w:val="0"/>
      </w:numPr>
      <w:spacing w:after="0" w:line="276" w:lineRule="auto"/>
      <w:outlineLvl w:val="9"/>
    </w:pPr>
    <w:rPr>
      <w:bCs/>
      <w:caps w:val="0"/>
      <w:color w:val="auto"/>
      <w:szCs w:val="28"/>
      <w:lang w:val="en-US" w:eastAsia="ja-JP"/>
    </w:rPr>
  </w:style>
  <w:style w:type="paragraph" w:styleId="NoSpacing">
    <w:name w:val="No Spacing"/>
    <w:link w:val="NoSpacingChar"/>
    <w:uiPriority w:val="1"/>
    <w:qFormat/>
    <w:rsid w:val="001A17C2"/>
    <w:pPr>
      <w:spacing w:after="0" w:line="240" w:lineRule="auto"/>
    </w:pPr>
    <w:rPr>
      <w:rFonts w:ascii="Arial" w:hAnsi="Arial"/>
      <w:sz w:val="20"/>
      <w:szCs w:val="20"/>
    </w:rPr>
  </w:style>
  <w:style w:type="character" w:customStyle="1" w:styleId="UnresolvedMention1">
    <w:name w:val="Unresolved Mention1"/>
    <w:basedOn w:val="DefaultParagraphFont"/>
    <w:uiPriority w:val="99"/>
    <w:semiHidden/>
    <w:unhideWhenUsed/>
    <w:rsid w:val="001505F7"/>
    <w:rPr>
      <w:color w:val="808080"/>
      <w:shd w:val="clear" w:color="auto" w:fill="E6E6E6"/>
    </w:rPr>
  </w:style>
  <w:style w:type="character" w:customStyle="1" w:styleId="Heading1Char1">
    <w:name w:val="Heading 1 Char1"/>
    <w:aliases w:val="h1 + 9 pt + 9 pt Char,h1 Char1"/>
    <w:uiPriority w:val="9"/>
    <w:rsid w:val="00DC1CCF"/>
    <w:rPr>
      <w:rFonts w:ascii="Arial" w:hAnsi="Arial" w:cs="Arial"/>
      <w:b/>
      <w:bCs/>
      <w:sz w:val="22"/>
      <w:szCs w:val="24"/>
      <w:lang w:val="en-GB" w:eastAsia="en-US"/>
    </w:rPr>
  </w:style>
  <w:style w:type="character" w:customStyle="1" w:styleId="Heading2Char1">
    <w:name w:val="Heading 2 Char1"/>
    <w:aliases w:val="h2 + Before:  0 pt Char1,After:  0 pt Char1,Line spacing:  single + Before:  0 ... Char"/>
    <w:rsid w:val="00DC1CCF"/>
    <w:rPr>
      <w:rFonts w:ascii="Arial" w:hAnsi="Arial"/>
      <w:b/>
      <w:bCs/>
      <w:iCs/>
      <w:sz w:val="18"/>
      <w:szCs w:val="28"/>
      <w:lang w:val="en-GB" w:eastAsia="en-US"/>
    </w:rPr>
  </w:style>
  <w:style w:type="character" w:customStyle="1" w:styleId="Heading3Char1">
    <w:name w:val="Heading 3 Char1"/>
    <w:rsid w:val="00DC1CCF"/>
    <w:rPr>
      <w:rFonts w:ascii="Arial" w:hAnsi="Arial"/>
      <w:b/>
      <w:bCs/>
      <w:sz w:val="18"/>
      <w:szCs w:val="26"/>
      <w:lang w:val="en-GB" w:eastAsia="en-US"/>
    </w:rPr>
  </w:style>
  <w:style w:type="character" w:customStyle="1" w:styleId="Heading8Char2">
    <w:name w:val="Heading 8 Char2"/>
    <w:rsid w:val="00DC1CCF"/>
    <w:rPr>
      <w:rFonts w:ascii="Verdana" w:hAnsi="Verdana"/>
      <w:i/>
      <w:iCs/>
      <w:sz w:val="24"/>
      <w:szCs w:val="24"/>
      <w:lang w:val="lt-LT"/>
    </w:rPr>
  </w:style>
  <w:style w:type="paragraph" w:customStyle="1" w:styleId="CharChar11">
    <w:name w:val="Char Char11"/>
    <w:basedOn w:val="Normal"/>
    <w:uiPriority w:val="99"/>
    <w:rsid w:val="00DC1CCF"/>
    <w:pPr>
      <w:spacing w:after="120" w:line="360" w:lineRule="auto"/>
    </w:pPr>
    <w:rPr>
      <w:rFonts w:ascii="Verdana" w:eastAsia="Batang" w:hAnsi="Verdana" w:cs="Times New Roman"/>
      <w:szCs w:val="24"/>
      <w:lang w:val="pl-PL" w:eastAsia="pl-PL"/>
    </w:rPr>
  </w:style>
  <w:style w:type="character" w:customStyle="1" w:styleId="HeaderChar1">
    <w:name w:val="Header Char1"/>
    <w:uiPriority w:val="99"/>
    <w:semiHidden/>
    <w:rsid w:val="00DC1CCF"/>
    <w:rPr>
      <w:sz w:val="24"/>
      <w:szCs w:val="24"/>
      <w:lang w:val="en-GB"/>
    </w:rPr>
  </w:style>
  <w:style w:type="paragraph" w:styleId="NormalWeb">
    <w:name w:val="Normal (Web)"/>
    <w:basedOn w:val="Normal"/>
    <w:uiPriority w:val="99"/>
    <w:unhideWhenUsed/>
    <w:rsid w:val="00DC1CCF"/>
    <w:pPr>
      <w:spacing w:before="107" w:after="107"/>
      <w:ind w:left="484" w:right="376"/>
    </w:pPr>
    <w:rPr>
      <w:rFonts w:ascii="Arial" w:eastAsia="Times New Roman" w:hAnsi="Arial" w:cs="Times New Roman"/>
      <w:sz w:val="19"/>
      <w:szCs w:val="19"/>
      <w:lang w:val="en-US"/>
    </w:rPr>
  </w:style>
  <w:style w:type="character" w:styleId="Strong">
    <w:name w:val="Strong"/>
    <w:qFormat/>
    <w:rsid w:val="00DC1CCF"/>
    <w:rPr>
      <w:b/>
      <w:bCs/>
    </w:rPr>
  </w:style>
  <w:style w:type="paragraph" w:customStyle="1" w:styleId="IPOheading2">
    <w:name w:val="IPO_heading_2"/>
    <w:basedOn w:val="Heading2"/>
    <w:autoRedefine/>
    <w:rsid w:val="00DC1CCF"/>
    <w:pPr>
      <w:keepLines w:val="0"/>
      <w:numPr>
        <w:ilvl w:val="0"/>
        <w:numId w:val="0"/>
      </w:numPr>
      <w:autoSpaceDE w:val="0"/>
      <w:autoSpaceDN w:val="0"/>
      <w:adjustRightInd w:val="0"/>
      <w:spacing w:before="240" w:after="60"/>
      <w:jc w:val="center"/>
    </w:pPr>
    <w:rPr>
      <w:rFonts w:eastAsia="Times New Roman" w:cs="Arial"/>
      <w:b w:val="0"/>
      <w:bCs w:val="0"/>
      <w:iCs/>
      <w:color w:val="008080"/>
      <w:sz w:val="28"/>
      <w:szCs w:val="28"/>
      <w:lang w:eastAsia="lt-LT"/>
    </w:rPr>
  </w:style>
  <w:style w:type="paragraph" w:styleId="Revision">
    <w:name w:val="Revision"/>
    <w:hidden/>
    <w:uiPriority w:val="99"/>
    <w:semiHidden/>
    <w:rsid w:val="00DC1CCF"/>
    <w:pPr>
      <w:spacing w:after="0" w:line="240" w:lineRule="auto"/>
    </w:pPr>
    <w:rPr>
      <w:rFonts w:ascii="Times New Roman" w:eastAsia="Times New Roman" w:hAnsi="Times New Roman" w:cs="Times New Roman"/>
      <w:sz w:val="24"/>
      <w:szCs w:val="24"/>
    </w:rPr>
  </w:style>
  <w:style w:type="paragraph" w:customStyle="1" w:styleId="bod1g">
    <w:name w:val="bod 1 g"/>
    <w:basedOn w:val="Normal"/>
    <w:rsid w:val="00DC1CCF"/>
    <w:pPr>
      <w:numPr>
        <w:numId w:val="17"/>
      </w:numPr>
      <w:overflowPunct w:val="0"/>
      <w:autoSpaceDE w:val="0"/>
      <w:autoSpaceDN w:val="0"/>
      <w:adjustRightInd w:val="0"/>
      <w:spacing w:after="140" w:line="290" w:lineRule="auto"/>
      <w:jc w:val="both"/>
      <w:textAlignment w:val="baseline"/>
    </w:pPr>
    <w:rPr>
      <w:rFonts w:ascii="Century Gothic" w:eastAsia="Batang" w:hAnsi="Century Gothic" w:cs="Times New Roman"/>
      <w:kern w:val="20"/>
      <w:sz w:val="18"/>
    </w:rPr>
  </w:style>
  <w:style w:type="character" w:customStyle="1" w:styleId="vcbrt1">
    <w:name w:val="vcb_rt1"/>
    <w:rsid w:val="00DC1CCF"/>
    <w:rPr>
      <w:rFonts w:ascii="Arial" w:hAnsi="Arial"/>
      <w:color w:val="008000"/>
      <w:sz w:val="20"/>
      <w:u w:val="none"/>
    </w:rPr>
  </w:style>
  <w:style w:type="paragraph" w:customStyle="1" w:styleId="bod1">
    <w:name w:val="bod 1"/>
    <w:basedOn w:val="Normal"/>
    <w:rsid w:val="00DC1CCF"/>
    <w:pPr>
      <w:overflowPunct w:val="0"/>
      <w:autoSpaceDE w:val="0"/>
      <w:autoSpaceDN w:val="0"/>
      <w:adjustRightInd w:val="0"/>
      <w:spacing w:after="140" w:line="290" w:lineRule="auto"/>
      <w:jc w:val="both"/>
      <w:textAlignment w:val="baseline"/>
    </w:pPr>
    <w:rPr>
      <w:rFonts w:ascii="Century Gothic" w:eastAsia="Batang" w:hAnsi="Century Gothic" w:cs="Times New Roman"/>
      <w:kern w:val="20"/>
      <w:sz w:val="18"/>
    </w:rPr>
  </w:style>
  <w:style w:type="paragraph" w:customStyle="1" w:styleId="bod1h">
    <w:name w:val="bod 1 h"/>
    <w:basedOn w:val="bod1"/>
    <w:rsid w:val="00DC1CCF"/>
    <w:rPr>
      <w:rFonts w:eastAsia="Times New Roman"/>
      <w:b/>
      <w:i/>
    </w:rPr>
  </w:style>
  <w:style w:type="paragraph" w:customStyle="1" w:styleId="Default">
    <w:name w:val="Default"/>
    <w:rsid w:val="00DC1CCF"/>
    <w:pPr>
      <w:widowControl w:val="0"/>
      <w:autoSpaceDE w:val="0"/>
      <w:autoSpaceDN w:val="0"/>
      <w:adjustRightInd w:val="0"/>
      <w:spacing w:after="0" w:line="240" w:lineRule="auto"/>
    </w:pPr>
    <w:rPr>
      <w:rFonts w:ascii="Times" w:eastAsia="Times New Roman" w:hAnsi="Times" w:cs="Times"/>
      <w:color w:val="000000"/>
      <w:sz w:val="24"/>
      <w:szCs w:val="24"/>
      <w:lang w:val="en-US"/>
    </w:rPr>
  </w:style>
  <w:style w:type="character" w:customStyle="1" w:styleId="FontStyle20">
    <w:name w:val="Font Style20"/>
    <w:rsid w:val="00DC1CCF"/>
    <w:rPr>
      <w:rFonts w:ascii="Times New Roman" w:hAnsi="Times New Roman" w:cs="Times New Roman"/>
      <w:sz w:val="22"/>
      <w:szCs w:val="22"/>
    </w:rPr>
  </w:style>
  <w:style w:type="character" w:customStyle="1" w:styleId="FontStyle18">
    <w:name w:val="Font Style18"/>
    <w:rsid w:val="00DC1CCF"/>
    <w:rPr>
      <w:rFonts w:ascii="Times New Roman" w:hAnsi="Times New Roman" w:cs="Times New Roman"/>
      <w:sz w:val="22"/>
      <w:szCs w:val="22"/>
    </w:rPr>
  </w:style>
  <w:style w:type="paragraph" w:customStyle="1" w:styleId="Style6">
    <w:name w:val="Style6"/>
    <w:basedOn w:val="Normal"/>
    <w:rsid w:val="00DC1CCF"/>
    <w:pPr>
      <w:widowControl w:val="0"/>
      <w:autoSpaceDE w:val="0"/>
      <w:autoSpaceDN w:val="0"/>
      <w:adjustRightInd w:val="0"/>
      <w:spacing w:line="275" w:lineRule="exact"/>
      <w:jc w:val="both"/>
    </w:pPr>
    <w:rPr>
      <w:rFonts w:ascii="Arial" w:eastAsia="Times New Roman" w:hAnsi="Arial" w:cs="Times New Roman"/>
      <w:sz w:val="18"/>
      <w:szCs w:val="24"/>
      <w:lang w:val="lt-LT" w:eastAsia="lt-LT"/>
    </w:rPr>
  </w:style>
  <w:style w:type="paragraph" w:styleId="BodyText2">
    <w:name w:val="Body Text 2"/>
    <w:basedOn w:val="Normal"/>
    <w:link w:val="BodyText2Char"/>
    <w:rsid w:val="00DC1CCF"/>
    <w:pPr>
      <w:spacing w:after="120" w:line="480" w:lineRule="auto"/>
    </w:pPr>
    <w:rPr>
      <w:rFonts w:ascii="Times" w:eastAsia="Times New Roman" w:hAnsi="Times" w:cs="Times New Roman"/>
      <w:sz w:val="24"/>
    </w:rPr>
  </w:style>
  <w:style w:type="character" w:customStyle="1" w:styleId="BodyText2Char">
    <w:name w:val="Body Text 2 Char"/>
    <w:basedOn w:val="DefaultParagraphFont"/>
    <w:link w:val="BodyText2"/>
    <w:rsid w:val="00DC1CCF"/>
    <w:rPr>
      <w:rFonts w:ascii="Times" w:eastAsia="Times New Roman" w:hAnsi="Times" w:cs="Times New Roman"/>
      <w:sz w:val="24"/>
      <w:szCs w:val="20"/>
    </w:rPr>
  </w:style>
  <w:style w:type="paragraph" w:customStyle="1" w:styleId="IPObodytext">
    <w:name w:val="IPO_body_text"/>
    <w:basedOn w:val="Normal"/>
    <w:link w:val="IPObodytextChar"/>
    <w:rsid w:val="00DC1CCF"/>
    <w:pPr>
      <w:autoSpaceDE w:val="0"/>
      <w:autoSpaceDN w:val="0"/>
      <w:adjustRightInd w:val="0"/>
      <w:spacing w:line="264" w:lineRule="auto"/>
      <w:jc w:val="both"/>
    </w:pPr>
    <w:rPr>
      <w:rFonts w:ascii="Arial" w:eastAsia="Times New Roman" w:hAnsi="Arial" w:cs="Times New Roman"/>
      <w:color w:val="231F20"/>
      <w:sz w:val="17"/>
      <w:szCs w:val="17"/>
      <w:lang w:eastAsia="lt-LT"/>
    </w:rPr>
  </w:style>
  <w:style w:type="character" w:customStyle="1" w:styleId="IPObodytextChar">
    <w:name w:val="IPO_body_text Char"/>
    <w:link w:val="IPObodytext"/>
    <w:rsid w:val="00DC1CCF"/>
    <w:rPr>
      <w:rFonts w:ascii="Arial" w:eastAsia="Times New Roman" w:hAnsi="Arial" w:cs="Times New Roman"/>
      <w:color w:val="231F20"/>
      <w:sz w:val="17"/>
      <w:szCs w:val="17"/>
      <w:lang w:eastAsia="lt-LT"/>
    </w:rPr>
  </w:style>
  <w:style w:type="paragraph" w:styleId="ListParagraph">
    <w:name w:val="List Paragraph"/>
    <w:basedOn w:val="Normal"/>
    <w:uiPriority w:val="34"/>
    <w:qFormat/>
    <w:rsid w:val="00DC1CCF"/>
    <w:pPr>
      <w:spacing w:after="200" w:line="276" w:lineRule="auto"/>
      <w:ind w:left="720"/>
      <w:contextualSpacing/>
    </w:pPr>
    <w:rPr>
      <w:rFonts w:ascii="Calibri" w:eastAsia="Calibri" w:hAnsi="Calibri" w:cs="Times New Roman"/>
      <w:sz w:val="22"/>
      <w:szCs w:val="22"/>
      <w:lang w:val="lt-LT"/>
    </w:rPr>
  </w:style>
  <w:style w:type="paragraph" w:customStyle="1" w:styleId="Style12">
    <w:name w:val="Style12"/>
    <w:basedOn w:val="Normal"/>
    <w:rsid w:val="00DC1CCF"/>
    <w:pPr>
      <w:widowControl w:val="0"/>
      <w:autoSpaceDE w:val="0"/>
      <w:autoSpaceDN w:val="0"/>
      <w:adjustRightInd w:val="0"/>
      <w:spacing w:line="275" w:lineRule="exact"/>
      <w:jc w:val="both"/>
    </w:pPr>
    <w:rPr>
      <w:rFonts w:ascii="Arial" w:eastAsia="Times New Roman" w:hAnsi="Arial" w:cs="Times New Roman"/>
      <w:sz w:val="18"/>
      <w:szCs w:val="24"/>
      <w:lang w:val="lt-LT" w:eastAsia="lt-LT"/>
    </w:rPr>
  </w:style>
  <w:style w:type="paragraph" w:styleId="Caption">
    <w:name w:val="caption"/>
    <w:basedOn w:val="Normal"/>
    <w:next w:val="Normal"/>
    <w:qFormat/>
    <w:rsid w:val="00DC1CCF"/>
    <w:rPr>
      <w:rFonts w:ascii="Arial" w:eastAsia="Times New Roman" w:hAnsi="Arial" w:cs="Times New Roman"/>
      <w:b/>
      <w:bCs/>
    </w:rPr>
  </w:style>
  <w:style w:type="paragraph" w:customStyle="1" w:styleId="Body1">
    <w:name w:val="Body 1"/>
    <w:basedOn w:val="Normal"/>
    <w:rsid w:val="00DC1CCF"/>
    <w:pPr>
      <w:numPr>
        <w:numId w:val="18"/>
      </w:numPr>
      <w:spacing w:after="140" w:line="290" w:lineRule="auto"/>
      <w:jc w:val="both"/>
    </w:pPr>
    <w:rPr>
      <w:rFonts w:ascii="Arial" w:eastAsia="Times New Roman" w:hAnsi="Arial" w:cs="Times New Roman"/>
      <w:kern w:val="20"/>
    </w:rPr>
  </w:style>
  <w:style w:type="paragraph" w:customStyle="1" w:styleId="StyleHeading3BoldAutoBefore0ptAfter6pt">
    <w:name w:val="Style Heading 3 + Bold Auto Before:  0 pt After:  6 pt"/>
    <w:basedOn w:val="Heading3"/>
    <w:rsid w:val="00DC1CCF"/>
    <w:pPr>
      <w:keepLines w:val="0"/>
      <w:numPr>
        <w:numId w:val="16"/>
      </w:numPr>
      <w:tabs>
        <w:tab w:val="num" w:pos="720"/>
      </w:tabs>
      <w:spacing w:before="0" w:after="0"/>
      <w:ind w:left="720" w:hanging="720"/>
      <w:jc w:val="both"/>
    </w:pPr>
    <w:rPr>
      <w:rFonts w:ascii="Times New Roman" w:eastAsia="Times New Roman" w:hAnsi="Times New Roman" w:cs="Times New Roman"/>
      <w:b w:val="0"/>
      <w:color w:val="auto"/>
      <w:lang w:val="lt-LT"/>
    </w:rPr>
  </w:style>
  <w:style w:type="character" w:customStyle="1" w:styleId="datametai">
    <w:name w:val="datametai"/>
    <w:basedOn w:val="DefaultParagraphFont"/>
    <w:rsid w:val="00DC1CCF"/>
  </w:style>
  <w:style w:type="character" w:customStyle="1" w:styleId="FontStyle19">
    <w:name w:val="Font Style19"/>
    <w:rsid w:val="00DC1CCF"/>
    <w:rPr>
      <w:rFonts w:ascii="Times New Roman" w:hAnsi="Times New Roman" w:cs="Times New Roman"/>
      <w:b/>
      <w:bCs/>
      <w:sz w:val="22"/>
      <w:szCs w:val="22"/>
    </w:rPr>
  </w:style>
  <w:style w:type="paragraph" w:customStyle="1" w:styleId="Achievement">
    <w:name w:val="Achievement"/>
    <w:basedOn w:val="BodyText"/>
    <w:rsid w:val="00DC1CCF"/>
    <w:pPr>
      <w:spacing w:after="60" w:line="220" w:lineRule="atLeast"/>
      <w:ind w:left="240" w:hanging="240"/>
      <w:jc w:val="both"/>
    </w:pPr>
    <w:rPr>
      <w:rFonts w:ascii="Arial" w:eastAsia="Times New Roman" w:hAnsi="Arial"/>
      <w:spacing w:val="-5"/>
      <w:sz w:val="20"/>
      <w:szCs w:val="20"/>
      <w:lang w:val="en-US" w:eastAsia="pl-PL"/>
    </w:rPr>
  </w:style>
  <w:style w:type="paragraph" w:styleId="BodyText">
    <w:name w:val="Body Text"/>
    <w:aliases w:val="bt"/>
    <w:basedOn w:val="Normal"/>
    <w:link w:val="BodyTextChar1"/>
    <w:uiPriority w:val="99"/>
    <w:unhideWhenUsed/>
    <w:rsid w:val="00DC1CCF"/>
    <w:pPr>
      <w:spacing w:after="120" w:line="276" w:lineRule="auto"/>
    </w:pPr>
    <w:rPr>
      <w:rFonts w:ascii="Calibri" w:eastAsia="Calibri" w:hAnsi="Calibri" w:cs="Times New Roman"/>
      <w:sz w:val="22"/>
      <w:szCs w:val="22"/>
      <w:lang w:val="lt-LT"/>
    </w:rPr>
  </w:style>
  <w:style w:type="character" w:customStyle="1" w:styleId="BodyTextChar">
    <w:name w:val="Body Text Char"/>
    <w:aliases w:val="bt Char"/>
    <w:basedOn w:val="DefaultParagraphFont"/>
    <w:rsid w:val="00DC1CCF"/>
    <w:rPr>
      <w:rFonts w:asciiTheme="majorHAnsi" w:hAnsiTheme="majorHAnsi"/>
      <w:sz w:val="20"/>
      <w:szCs w:val="20"/>
    </w:rPr>
  </w:style>
  <w:style w:type="character" w:customStyle="1" w:styleId="BodyTextChar1">
    <w:name w:val="Body Text Char1"/>
    <w:aliases w:val="bt Char1"/>
    <w:link w:val="BodyText"/>
    <w:uiPriority w:val="99"/>
    <w:rsid w:val="00DC1CCF"/>
    <w:rPr>
      <w:rFonts w:ascii="Calibri" w:eastAsia="Calibri" w:hAnsi="Calibri" w:cs="Times New Roman"/>
      <w:lang w:val="lt-LT"/>
    </w:rPr>
  </w:style>
  <w:style w:type="character" w:customStyle="1" w:styleId="longtext">
    <w:name w:val="long_text"/>
    <w:basedOn w:val="DefaultParagraphFont"/>
    <w:rsid w:val="00DC1CCF"/>
  </w:style>
  <w:style w:type="paragraph" w:customStyle="1" w:styleId="BMHEADING2">
    <w:name w:val="B&amp;M HEADING 2"/>
    <w:basedOn w:val="Normal"/>
    <w:next w:val="BodyText"/>
    <w:link w:val="BMHEADING2Char"/>
    <w:rsid w:val="00DC1CCF"/>
    <w:pPr>
      <w:keepNext/>
      <w:spacing w:before="120" w:after="120"/>
      <w:jc w:val="both"/>
      <w:outlineLvl w:val="1"/>
    </w:pPr>
    <w:rPr>
      <w:rFonts w:ascii="Times New Roman" w:eastAsia="Batang" w:hAnsi="Times New Roman" w:cs="Times New Roman"/>
      <w:b/>
    </w:rPr>
  </w:style>
  <w:style w:type="character" w:customStyle="1" w:styleId="BMHEADING2Char">
    <w:name w:val="B&amp;M HEADING 2 Char"/>
    <w:link w:val="BMHEADING2"/>
    <w:locked/>
    <w:rsid w:val="00DC1CCF"/>
    <w:rPr>
      <w:rFonts w:ascii="Times New Roman" w:eastAsia="Batang" w:hAnsi="Times New Roman" w:cs="Times New Roman"/>
      <w:b/>
      <w:sz w:val="20"/>
      <w:szCs w:val="20"/>
    </w:rPr>
  </w:style>
  <w:style w:type="paragraph" w:customStyle="1" w:styleId="IPObodytext9pt">
    <w:name w:val="IPO_body_text + 9 pt"/>
    <w:aliases w:val="Auto,Line spacing:  single"/>
    <w:basedOn w:val="Heading1"/>
    <w:rsid w:val="00DC1CCF"/>
    <w:pPr>
      <w:keepLines w:val="0"/>
      <w:numPr>
        <w:numId w:val="0"/>
      </w:numPr>
      <w:spacing w:before="0" w:after="0"/>
    </w:pPr>
    <w:rPr>
      <w:rFonts w:eastAsia="Times New Roman" w:cs="Arial"/>
      <w:bCs/>
      <w:caps w:val="0"/>
      <w:color w:val="auto"/>
      <w:sz w:val="18"/>
      <w:szCs w:val="18"/>
    </w:rPr>
  </w:style>
  <w:style w:type="character" w:customStyle="1" w:styleId="Heading8Char1">
    <w:name w:val="Heading 8 Char1"/>
    <w:locked/>
    <w:rsid w:val="00DC1CCF"/>
    <w:rPr>
      <w:b/>
      <w:lang w:val="en-GB" w:eastAsia="en-US" w:bidi="ar-SA"/>
    </w:rPr>
  </w:style>
  <w:style w:type="paragraph" w:styleId="BodyText3">
    <w:name w:val="Body Text 3"/>
    <w:basedOn w:val="Normal"/>
    <w:link w:val="BodyText3Char"/>
    <w:rsid w:val="00DC1CCF"/>
    <w:pPr>
      <w:tabs>
        <w:tab w:val="left" w:pos="2127"/>
        <w:tab w:val="left" w:pos="2552"/>
        <w:tab w:val="left" w:pos="2835"/>
        <w:tab w:val="decimal" w:pos="7513"/>
        <w:tab w:val="decimal" w:pos="8364"/>
        <w:tab w:val="decimal" w:pos="9214"/>
        <w:tab w:val="decimal" w:pos="10206"/>
      </w:tabs>
      <w:spacing w:line="240" w:lineRule="exact"/>
      <w:jc w:val="both"/>
    </w:pPr>
    <w:rPr>
      <w:rFonts w:ascii="Times New Roman" w:eastAsia="Times New Roman" w:hAnsi="Times New Roman" w:cs="Times New Roman"/>
      <w:color w:val="000000"/>
      <w:sz w:val="18"/>
    </w:rPr>
  </w:style>
  <w:style w:type="character" w:customStyle="1" w:styleId="BodyText3Char">
    <w:name w:val="Body Text 3 Char"/>
    <w:basedOn w:val="DefaultParagraphFont"/>
    <w:link w:val="BodyText3"/>
    <w:rsid w:val="00DC1CCF"/>
    <w:rPr>
      <w:rFonts w:ascii="Times New Roman" w:eastAsia="Times New Roman" w:hAnsi="Times New Roman" w:cs="Times New Roman"/>
      <w:color w:val="000000"/>
      <w:sz w:val="18"/>
      <w:szCs w:val="20"/>
    </w:rPr>
  </w:style>
  <w:style w:type="paragraph" w:customStyle="1" w:styleId="Disclaimer">
    <w:name w:val="Disclaimer"/>
    <w:basedOn w:val="Normal"/>
    <w:rsid w:val="00DC1CCF"/>
    <w:pPr>
      <w:spacing w:line="200" w:lineRule="exact"/>
    </w:pPr>
    <w:rPr>
      <w:rFonts w:ascii="Times New Roman" w:eastAsia="Times New Roman" w:hAnsi="Times New Roman" w:cs="Times New Roman"/>
      <w:sz w:val="16"/>
    </w:rPr>
  </w:style>
  <w:style w:type="paragraph" w:styleId="BodyTextIndent3">
    <w:name w:val="Body Text Indent 3"/>
    <w:basedOn w:val="Normal"/>
    <w:link w:val="BodyTextIndent3Char"/>
    <w:rsid w:val="00DC1CCF"/>
    <w:pPr>
      <w:tabs>
        <w:tab w:val="left" w:pos="1134"/>
        <w:tab w:val="left" w:pos="1276"/>
        <w:tab w:val="center" w:pos="3402"/>
        <w:tab w:val="center" w:pos="4536"/>
        <w:tab w:val="center" w:pos="5670"/>
        <w:tab w:val="center" w:pos="6804"/>
        <w:tab w:val="right" w:pos="7655"/>
      </w:tabs>
      <w:spacing w:line="240" w:lineRule="exact"/>
      <w:ind w:left="-13"/>
      <w:jc w:val="both"/>
    </w:pPr>
    <w:rPr>
      <w:rFonts w:ascii="Times New Roman" w:eastAsia="Times New Roman" w:hAnsi="Times New Roman" w:cs="Times New Roman"/>
      <w:sz w:val="18"/>
    </w:rPr>
  </w:style>
  <w:style w:type="character" w:customStyle="1" w:styleId="BodyTextIndent3Char">
    <w:name w:val="Body Text Indent 3 Char"/>
    <w:basedOn w:val="DefaultParagraphFont"/>
    <w:link w:val="BodyTextIndent3"/>
    <w:rsid w:val="00DC1CCF"/>
    <w:rPr>
      <w:rFonts w:ascii="Times New Roman" w:eastAsia="Times New Roman" w:hAnsi="Times New Roman" w:cs="Times New Roman"/>
      <w:sz w:val="18"/>
      <w:szCs w:val="20"/>
    </w:rPr>
  </w:style>
  <w:style w:type="paragraph" w:customStyle="1" w:styleId="Style1">
    <w:name w:val="Style 1"/>
    <w:basedOn w:val="Normal"/>
    <w:rsid w:val="00DC1CCF"/>
    <w:pPr>
      <w:widowControl w:val="0"/>
      <w:autoSpaceDE w:val="0"/>
      <w:autoSpaceDN w:val="0"/>
      <w:adjustRightInd w:val="0"/>
    </w:pPr>
    <w:rPr>
      <w:rFonts w:ascii="Times New Roman" w:eastAsia="Times New Roman" w:hAnsi="Times New Roman" w:cs="Times New Roman"/>
      <w:szCs w:val="24"/>
      <w:lang w:val="en-US"/>
    </w:rPr>
  </w:style>
  <w:style w:type="paragraph" w:customStyle="1" w:styleId="RRthousands">
    <w:name w:val="RR thousands"/>
    <w:basedOn w:val="Normal"/>
    <w:link w:val="RRthousandsChar"/>
    <w:rsid w:val="00DC1CCF"/>
    <w:pPr>
      <w:ind w:left="86" w:hanging="86"/>
    </w:pPr>
    <w:rPr>
      <w:rFonts w:ascii="Arial" w:eastAsia="Times New Roman" w:hAnsi="Arial" w:cs="Arial"/>
      <w:i/>
      <w:sz w:val="16"/>
    </w:rPr>
  </w:style>
  <w:style w:type="character" w:customStyle="1" w:styleId="RRthousandsChar">
    <w:name w:val="RR thousands Char"/>
    <w:link w:val="RRthousands"/>
    <w:locked/>
    <w:rsid w:val="00DC1CCF"/>
    <w:rPr>
      <w:rFonts w:ascii="Arial" w:eastAsia="Times New Roman" w:hAnsi="Arial" w:cs="Arial"/>
      <w:i/>
      <w:sz w:val="16"/>
      <w:szCs w:val="20"/>
    </w:rPr>
  </w:style>
  <w:style w:type="paragraph" w:customStyle="1" w:styleId="ABC-paragrahinNotes">
    <w:name w:val="ABC - paragrah in Notes"/>
    <w:link w:val="ABC-paragrahinNotesChar"/>
    <w:rsid w:val="00DC1CCF"/>
    <w:pPr>
      <w:spacing w:after="240" w:line="240" w:lineRule="auto"/>
      <w:jc w:val="both"/>
    </w:pPr>
    <w:rPr>
      <w:rFonts w:ascii="Arial" w:eastAsia="Times New Roman" w:hAnsi="Arial" w:cs="Times New Roman"/>
      <w:sz w:val="18"/>
      <w:szCs w:val="20"/>
    </w:rPr>
  </w:style>
  <w:style w:type="character" w:customStyle="1" w:styleId="ABC-paragrahinNotesChar">
    <w:name w:val="ABC - paragrah in Notes Char"/>
    <w:link w:val="ABC-paragrahinNotes"/>
    <w:locked/>
    <w:rsid w:val="00DC1CCF"/>
    <w:rPr>
      <w:rFonts w:ascii="Arial" w:eastAsia="Times New Roman" w:hAnsi="Arial" w:cs="Times New Roman"/>
      <w:sz w:val="18"/>
      <w:szCs w:val="20"/>
    </w:rPr>
  </w:style>
  <w:style w:type="paragraph" w:customStyle="1" w:styleId="NormalWeb2">
    <w:name w:val="Normal (Web)2"/>
    <w:basedOn w:val="Normal"/>
    <w:link w:val="NormalWeb2Char"/>
    <w:rsid w:val="00DC1CCF"/>
    <w:pPr>
      <w:spacing w:before="75" w:after="75"/>
    </w:pPr>
    <w:rPr>
      <w:rFonts w:ascii="Arial" w:eastAsia="Times New Roman" w:hAnsi="Arial" w:cs="Times New Roman"/>
      <w:sz w:val="24"/>
      <w:szCs w:val="24"/>
      <w:lang w:val="lt-LT" w:eastAsia="lt-LT"/>
    </w:rPr>
  </w:style>
  <w:style w:type="character" w:customStyle="1" w:styleId="NormalWeb2Char">
    <w:name w:val="Normal (Web)2 Char"/>
    <w:link w:val="NormalWeb2"/>
    <w:locked/>
    <w:rsid w:val="00DC1CCF"/>
    <w:rPr>
      <w:rFonts w:ascii="Arial" w:eastAsia="Times New Roman" w:hAnsi="Arial" w:cs="Times New Roman"/>
      <w:sz w:val="24"/>
      <w:szCs w:val="24"/>
      <w:lang w:val="lt-LT" w:eastAsia="lt-LT"/>
    </w:rPr>
  </w:style>
  <w:style w:type="paragraph" w:customStyle="1" w:styleId="Norma">
    <w:name w:val="Norma"/>
    <w:basedOn w:val="Normal"/>
    <w:rsid w:val="00DC1CCF"/>
    <w:pPr>
      <w:jc w:val="both"/>
    </w:pPr>
    <w:rPr>
      <w:rFonts w:ascii="Times New Roman" w:eastAsia="Times New Roman" w:hAnsi="Times New Roman" w:cs="Times New Roman"/>
      <w:lang w:val="en-US"/>
    </w:rPr>
  </w:style>
  <w:style w:type="paragraph" w:customStyle="1" w:styleId="a-head-4">
    <w:name w:val="a-head-4"/>
    <w:basedOn w:val="Normal"/>
    <w:rsid w:val="00DC1CCF"/>
    <w:pPr>
      <w:widowControl w:val="0"/>
      <w:tabs>
        <w:tab w:val="left" w:pos="1188"/>
      </w:tabs>
      <w:autoSpaceDE w:val="0"/>
      <w:autoSpaceDN w:val="0"/>
      <w:spacing w:line="240" w:lineRule="atLeast"/>
    </w:pPr>
    <w:rPr>
      <w:rFonts w:ascii="Arial" w:eastAsia="Times New Roman" w:hAnsi="Arial" w:cs="Arial"/>
      <w:i/>
      <w:sz w:val="16"/>
      <w:szCs w:val="16"/>
      <w:lang w:val="en-US"/>
    </w:rPr>
  </w:style>
  <w:style w:type="character" w:styleId="Emphasis">
    <w:name w:val="Emphasis"/>
    <w:uiPriority w:val="20"/>
    <w:qFormat/>
    <w:rsid w:val="00DC1CCF"/>
    <w:rPr>
      <w:rFonts w:ascii="Times New Roman" w:hAnsi="Times New Roman" w:cs="Times New Roman"/>
      <w:b/>
      <w:bCs/>
      <w:color w:val="002776"/>
      <w:sz w:val="22"/>
      <w:szCs w:val="22"/>
    </w:rPr>
  </w:style>
  <w:style w:type="paragraph" w:styleId="MacroText">
    <w:name w:val="macro"/>
    <w:link w:val="MacroTextChar"/>
    <w:semiHidden/>
    <w:rsid w:val="00DC1CC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rial" w:eastAsia="Times New Roman" w:hAnsi="Arial" w:cs="Times New Roman"/>
      <w:sz w:val="20"/>
      <w:szCs w:val="20"/>
    </w:rPr>
  </w:style>
  <w:style w:type="character" w:customStyle="1" w:styleId="MacroTextChar">
    <w:name w:val="Macro Text Char"/>
    <w:basedOn w:val="DefaultParagraphFont"/>
    <w:link w:val="MacroText"/>
    <w:semiHidden/>
    <w:rsid w:val="00DC1CCF"/>
    <w:rPr>
      <w:rFonts w:ascii="Arial" w:eastAsia="Times New Roman" w:hAnsi="Arial" w:cs="Times New Roman"/>
      <w:sz w:val="20"/>
      <w:szCs w:val="20"/>
    </w:rPr>
  </w:style>
  <w:style w:type="character" w:customStyle="1" w:styleId="mw-headline">
    <w:name w:val="mw-headline"/>
    <w:rsid w:val="00DC1CCF"/>
    <w:rPr>
      <w:rFonts w:cs="Times New Roman"/>
    </w:rPr>
  </w:style>
  <w:style w:type="character" w:customStyle="1" w:styleId="i1searchhl1">
    <w:name w:val="i1_searchhl1"/>
    <w:rsid w:val="00DC1CCF"/>
    <w:rPr>
      <w:rFonts w:cs="Times New Roman"/>
      <w:shd w:val="clear" w:color="auto" w:fill="FFFF00"/>
    </w:rPr>
  </w:style>
  <w:style w:type="character" w:styleId="FollowedHyperlink">
    <w:name w:val="FollowedHyperlink"/>
    <w:rsid w:val="00DC1CCF"/>
    <w:rPr>
      <w:color w:val="800080"/>
      <w:u w:val="single"/>
    </w:rPr>
  </w:style>
  <w:style w:type="character" w:customStyle="1" w:styleId="DeltaViewInsertion">
    <w:name w:val="DeltaView Insertion"/>
    <w:rsid w:val="00DC1CCF"/>
    <w:rPr>
      <w:color w:val="0000FF"/>
      <w:u w:val="double"/>
    </w:rPr>
  </w:style>
  <w:style w:type="character" w:customStyle="1" w:styleId="DeltaViewDeletion">
    <w:name w:val="DeltaView Deletion"/>
    <w:rsid w:val="00DC1CCF"/>
    <w:rPr>
      <w:strike/>
      <w:color w:val="FF0000"/>
    </w:rPr>
  </w:style>
  <w:style w:type="character" w:customStyle="1" w:styleId="DeltaViewMoveDestination">
    <w:name w:val="DeltaView Move Destination"/>
    <w:rsid w:val="00DC1CCF"/>
    <w:rPr>
      <w:color w:val="00C000"/>
      <w:u w:val="double"/>
    </w:rPr>
  </w:style>
  <w:style w:type="character" w:customStyle="1" w:styleId="CharChar17">
    <w:name w:val="Char Char17"/>
    <w:rsid w:val="00DC1CCF"/>
    <w:rPr>
      <w:rFonts w:ascii="Arial" w:hAnsi="Arial"/>
      <w:b/>
      <w:bCs/>
      <w:sz w:val="18"/>
      <w:szCs w:val="28"/>
      <w:lang w:val="en-GB" w:eastAsia="en-US"/>
    </w:rPr>
  </w:style>
  <w:style w:type="paragraph" w:styleId="PlainText">
    <w:name w:val="Plain Text"/>
    <w:basedOn w:val="Normal"/>
    <w:link w:val="PlainTextChar"/>
    <w:rsid w:val="00DC1CCF"/>
    <w:rPr>
      <w:rFonts w:ascii="Courier New" w:eastAsia="Times New Roman" w:hAnsi="Courier New" w:cs="Courier New"/>
      <w:lang w:val="lt-LT" w:eastAsia="lt-LT"/>
    </w:rPr>
  </w:style>
  <w:style w:type="character" w:customStyle="1" w:styleId="PlainTextChar">
    <w:name w:val="Plain Text Char"/>
    <w:basedOn w:val="DefaultParagraphFont"/>
    <w:link w:val="PlainText"/>
    <w:rsid w:val="00DC1CCF"/>
    <w:rPr>
      <w:rFonts w:ascii="Courier New" w:eastAsia="Times New Roman" w:hAnsi="Courier New" w:cs="Courier New"/>
      <w:sz w:val="20"/>
      <w:szCs w:val="20"/>
      <w:lang w:val="lt-LT" w:eastAsia="lt-LT"/>
    </w:rPr>
  </w:style>
  <w:style w:type="character" w:customStyle="1" w:styleId="h2Before0ptChar">
    <w:name w:val="h2 + Before:  0 pt Char"/>
    <w:aliases w:val="After:  0 pt Char,Line spacing:  single + Before:  0 ... Char Char"/>
    <w:rsid w:val="00DC1CCF"/>
    <w:rPr>
      <w:rFonts w:ascii="Arial" w:hAnsi="Arial"/>
      <w:b/>
      <w:bCs/>
      <w:iCs/>
      <w:sz w:val="18"/>
      <w:szCs w:val="28"/>
      <w:lang w:val="en-GB" w:eastAsia="en-US"/>
    </w:rPr>
  </w:style>
  <w:style w:type="character" w:customStyle="1" w:styleId="CharChar19">
    <w:name w:val="Char Char19"/>
    <w:rsid w:val="00DC1CCF"/>
    <w:rPr>
      <w:rFonts w:ascii="Arial" w:hAnsi="Arial"/>
      <w:b/>
      <w:bCs/>
      <w:sz w:val="18"/>
      <w:szCs w:val="26"/>
      <w:lang w:val="en-GB" w:eastAsia="en-US"/>
    </w:rPr>
  </w:style>
  <w:style w:type="character" w:customStyle="1" w:styleId="CharChar18">
    <w:name w:val="Char Char18"/>
    <w:rsid w:val="00DC1CCF"/>
    <w:rPr>
      <w:rFonts w:ascii="Arial" w:hAnsi="Arial"/>
      <w:b/>
      <w:bCs/>
      <w:sz w:val="18"/>
      <w:szCs w:val="28"/>
      <w:lang w:val="en-GB" w:eastAsia="en-US"/>
    </w:rPr>
  </w:style>
  <w:style w:type="character" w:customStyle="1" w:styleId="CharChar16">
    <w:name w:val="Char Char16"/>
    <w:rsid w:val="00DC1CCF"/>
    <w:rPr>
      <w:rFonts w:ascii="Arial" w:hAnsi="Arial"/>
      <w:b/>
      <w:bCs/>
      <w:iCs/>
      <w:sz w:val="18"/>
      <w:szCs w:val="26"/>
      <w:lang w:eastAsia="en-US"/>
    </w:rPr>
  </w:style>
  <w:style w:type="character" w:customStyle="1" w:styleId="CharChar15">
    <w:name w:val="Char Char15"/>
    <w:rsid w:val="00DC1CCF"/>
    <w:rPr>
      <w:rFonts w:ascii="Verdana" w:hAnsi="Verdana"/>
      <w:b/>
      <w:bCs/>
      <w:sz w:val="22"/>
      <w:szCs w:val="22"/>
      <w:lang w:val="lt-LT"/>
    </w:rPr>
  </w:style>
  <w:style w:type="paragraph" w:customStyle="1" w:styleId="Caption9pt">
    <w:name w:val="Caption + 9 pt"/>
    <w:basedOn w:val="Normal"/>
    <w:rsid w:val="00DC1CCF"/>
    <w:pPr>
      <w:jc w:val="both"/>
    </w:pPr>
    <w:rPr>
      <w:rFonts w:ascii="Arial" w:eastAsia="Times New Roman" w:hAnsi="Arial" w:cs="Times New Roman"/>
      <w:sz w:val="18"/>
      <w:szCs w:val="18"/>
    </w:rPr>
  </w:style>
  <w:style w:type="paragraph" w:customStyle="1" w:styleId="Heading3Left0cm">
    <w:name w:val="Heading 3 + Left:  0 cm"/>
    <w:aliases w:val="Before:  6 pt + Bold + Bold + Bold + Bold + Bold + Bo..."/>
    <w:basedOn w:val="Normal"/>
    <w:link w:val="Heading3Left0cmBefore6ptBoldBoldBoldBoldBoldBoCharChar1"/>
    <w:rsid w:val="00DC1CCF"/>
    <w:rPr>
      <w:rFonts w:ascii="Arial" w:eastAsia="Times New Roman" w:hAnsi="Arial" w:cs="Times New Roman"/>
      <w:sz w:val="18"/>
      <w:szCs w:val="24"/>
      <w:lang w:val="lt-LT"/>
    </w:rPr>
  </w:style>
  <w:style w:type="character" w:customStyle="1" w:styleId="Heading3Left0cmBefore6ptBoldBoldBoldBoldBoldBoCharChar1">
    <w:name w:val="Heading 3 + Left:  0 cm.Before:  6 pt + Bold + Bold + Bold + Bold + Bold + Bo... Char Char1"/>
    <w:link w:val="Heading3Left0cm"/>
    <w:rsid w:val="00DC1CCF"/>
    <w:rPr>
      <w:rFonts w:ascii="Arial" w:eastAsia="Times New Roman" w:hAnsi="Arial" w:cs="Times New Roman"/>
      <w:sz w:val="18"/>
      <w:szCs w:val="24"/>
      <w:lang w:val="lt-LT"/>
    </w:rPr>
  </w:style>
  <w:style w:type="character" w:customStyle="1" w:styleId="apple-style-span">
    <w:name w:val="apple-style-span"/>
    <w:rsid w:val="00DC1CCF"/>
    <w:rPr>
      <w:rFonts w:cs="Times New Roman"/>
    </w:rPr>
  </w:style>
  <w:style w:type="paragraph" w:customStyle="1" w:styleId="CharChar25">
    <w:name w:val="Char Char25"/>
    <w:basedOn w:val="Normal"/>
    <w:uiPriority w:val="99"/>
    <w:rsid w:val="00DC1CCF"/>
    <w:pPr>
      <w:spacing w:after="120" w:line="360" w:lineRule="auto"/>
    </w:pPr>
    <w:rPr>
      <w:rFonts w:ascii="Verdana" w:eastAsia="Batang" w:hAnsi="Verdana" w:cs="Times New Roman"/>
      <w:szCs w:val="24"/>
      <w:lang w:val="pl-PL" w:eastAsia="pl-PL"/>
    </w:rPr>
  </w:style>
  <w:style w:type="paragraph" w:customStyle="1" w:styleId="CharChar5">
    <w:name w:val="Char Char5"/>
    <w:basedOn w:val="Normal"/>
    <w:rsid w:val="00DC1CCF"/>
    <w:pPr>
      <w:spacing w:after="120" w:line="360" w:lineRule="auto"/>
    </w:pPr>
    <w:rPr>
      <w:rFonts w:ascii="Verdana" w:eastAsia="Batang" w:hAnsi="Verdana" w:cs="Times New Roman"/>
      <w:szCs w:val="24"/>
      <w:lang w:val="pl-PL" w:eastAsia="pl-PL"/>
    </w:rPr>
  </w:style>
  <w:style w:type="character" w:customStyle="1" w:styleId="FontStyle169">
    <w:name w:val="Font Style169"/>
    <w:uiPriority w:val="99"/>
    <w:rsid w:val="00DC1CCF"/>
    <w:rPr>
      <w:rFonts w:ascii="Times New Roman" w:hAnsi="Times New Roman" w:cs="Times New Roman"/>
      <w:sz w:val="20"/>
      <w:szCs w:val="20"/>
    </w:rPr>
  </w:style>
  <w:style w:type="paragraph" w:customStyle="1" w:styleId="Style87">
    <w:name w:val="Style87"/>
    <w:basedOn w:val="Normal"/>
    <w:rsid w:val="00DC1CCF"/>
    <w:pPr>
      <w:widowControl w:val="0"/>
      <w:autoSpaceDE w:val="0"/>
      <w:autoSpaceDN w:val="0"/>
      <w:adjustRightInd w:val="0"/>
      <w:spacing w:line="511" w:lineRule="exact"/>
    </w:pPr>
    <w:rPr>
      <w:rFonts w:ascii="Times New Roman" w:eastAsia="Times New Roman" w:hAnsi="Times New Roman" w:cs="Times New Roman"/>
      <w:sz w:val="24"/>
      <w:szCs w:val="24"/>
      <w:lang w:val="lt-LT" w:eastAsia="lt-LT"/>
    </w:rPr>
  </w:style>
  <w:style w:type="paragraph" w:customStyle="1" w:styleId="BMBodyText">
    <w:name w:val="B&amp;M Body Text"/>
    <w:basedOn w:val="Normal"/>
    <w:link w:val="BMBodyTextChar"/>
    <w:rsid w:val="00DC1CCF"/>
    <w:pPr>
      <w:tabs>
        <w:tab w:val="right" w:pos="9570"/>
      </w:tabs>
      <w:spacing w:before="120" w:after="120"/>
      <w:jc w:val="both"/>
    </w:pPr>
    <w:rPr>
      <w:rFonts w:ascii="Times New Roman" w:eastAsia="Times New Roman" w:hAnsi="Times New Roman" w:cs="Times New Roman"/>
      <w:bCs/>
      <w:noProof/>
      <w:szCs w:val="24"/>
      <w:lang w:val="en-US"/>
    </w:rPr>
  </w:style>
  <w:style w:type="character" w:customStyle="1" w:styleId="BMBodyTextChar">
    <w:name w:val="B&amp;M Body Text Char"/>
    <w:link w:val="BMBodyText"/>
    <w:rsid w:val="00DC1CCF"/>
    <w:rPr>
      <w:rFonts w:ascii="Times New Roman" w:eastAsia="Times New Roman" w:hAnsi="Times New Roman" w:cs="Times New Roman"/>
      <w:bCs/>
      <w:noProof/>
      <w:sz w:val="20"/>
      <w:szCs w:val="24"/>
      <w:lang w:val="en-US"/>
    </w:rPr>
  </w:style>
  <w:style w:type="paragraph" w:customStyle="1" w:styleId="BMBullet">
    <w:name w:val="B&amp;M Bullet"/>
    <w:basedOn w:val="BMBodyText"/>
    <w:link w:val="BMBulletCharChar"/>
    <w:rsid w:val="00DC1CCF"/>
    <w:pPr>
      <w:numPr>
        <w:numId w:val="20"/>
      </w:numPr>
    </w:pPr>
    <w:rPr>
      <w:szCs w:val="20"/>
    </w:rPr>
  </w:style>
  <w:style w:type="character" w:customStyle="1" w:styleId="BMBulletCharChar">
    <w:name w:val="B&amp;M Bullet Char Char"/>
    <w:link w:val="BMBullet"/>
    <w:rsid w:val="00DC1CCF"/>
    <w:rPr>
      <w:rFonts w:ascii="Times New Roman" w:eastAsia="Times New Roman" w:hAnsi="Times New Roman" w:cs="Times New Roman"/>
      <w:bCs/>
      <w:noProof/>
      <w:sz w:val="20"/>
      <w:szCs w:val="20"/>
      <w:lang w:val="en-US"/>
    </w:rPr>
  </w:style>
  <w:style w:type="character" w:customStyle="1" w:styleId="CommentTextChar1">
    <w:name w:val="Comment Text Char1"/>
    <w:rsid w:val="00DC1CCF"/>
    <w:rPr>
      <w:rFonts w:eastAsia="Batang"/>
      <w:lang w:val="pl-PL" w:eastAsia="ko-KR" w:bidi="ar-SA"/>
    </w:rPr>
  </w:style>
  <w:style w:type="paragraph" w:customStyle="1" w:styleId="BMHEADING3">
    <w:name w:val="B&amp;M HEADING 3"/>
    <w:basedOn w:val="Normal"/>
    <w:link w:val="BMHEADING3Char"/>
    <w:rsid w:val="00DC1CCF"/>
    <w:pPr>
      <w:keepNext/>
      <w:autoSpaceDE w:val="0"/>
      <w:autoSpaceDN w:val="0"/>
      <w:adjustRightInd w:val="0"/>
      <w:spacing w:before="120" w:after="120"/>
      <w:jc w:val="both"/>
    </w:pPr>
    <w:rPr>
      <w:rFonts w:ascii="Times New Roman Bold" w:eastAsia="Times New Roman" w:hAnsi="Times New Roman Bold" w:cs="Times New Roman"/>
      <w:b/>
      <w:bCs/>
      <w:i/>
      <w:lang w:val="en-US" w:eastAsia="pl-PL"/>
    </w:rPr>
  </w:style>
  <w:style w:type="character" w:customStyle="1" w:styleId="BMHEADING3Char">
    <w:name w:val="B&amp;M HEADING 3 Char"/>
    <w:link w:val="BMHEADING3"/>
    <w:rsid w:val="00DC1CCF"/>
    <w:rPr>
      <w:rFonts w:ascii="Times New Roman Bold" w:eastAsia="Times New Roman" w:hAnsi="Times New Roman Bold" w:cs="Times New Roman"/>
      <w:b/>
      <w:bCs/>
      <w:i/>
      <w:sz w:val="20"/>
      <w:szCs w:val="20"/>
      <w:lang w:val="en-US" w:eastAsia="pl-PL"/>
    </w:rPr>
  </w:style>
  <w:style w:type="paragraph" w:customStyle="1" w:styleId="lenteliupavadinimams">
    <w:name w:val="lenteliu_pavadinimams"/>
    <w:basedOn w:val="Normal"/>
    <w:link w:val="lenteliupavadinimamsChar"/>
    <w:rsid w:val="00DC1CCF"/>
    <w:pPr>
      <w:autoSpaceDE w:val="0"/>
      <w:autoSpaceDN w:val="0"/>
      <w:adjustRightInd w:val="0"/>
      <w:spacing w:after="120" w:line="276" w:lineRule="auto"/>
      <w:jc w:val="both"/>
    </w:pPr>
    <w:rPr>
      <w:rFonts w:ascii="Calibri" w:eastAsia="Times New Roman" w:hAnsi="Calibri" w:cs="Times New Roman"/>
      <w:b/>
      <w:color w:val="003366"/>
      <w:lang w:val="en-US"/>
    </w:rPr>
  </w:style>
  <w:style w:type="character" w:customStyle="1" w:styleId="lenteliupavadinimamsChar">
    <w:name w:val="lenteliu_pavadinimams Char"/>
    <w:link w:val="lenteliupavadinimams"/>
    <w:locked/>
    <w:rsid w:val="00DC1CCF"/>
    <w:rPr>
      <w:rFonts w:ascii="Calibri" w:eastAsia="Times New Roman" w:hAnsi="Calibri" w:cs="Times New Roman"/>
      <w:b/>
      <w:color w:val="003366"/>
      <w:sz w:val="20"/>
      <w:szCs w:val="20"/>
      <w:lang w:val="en-US"/>
    </w:rPr>
  </w:style>
  <w:style w:type="paragraph" w:customStyle="1" w:styleId="CharChar111">
    <w:name w:val="Char Char111"/>
    <w:basedOn w:val="Normal"/>
    <w:uiPriority w:val="99"/>
    <w:rsid w:val="00DC1CCF"/>
    <w:pPr>
      <w:spacing w:after="120" w:line="360" w:lineRule="auto"/>
    </w:pPr>
    <w:rPr>
      <w:rFonts w:ascii="Verdana" w:eastAsia="Batang" w:hAnsi="Verdana" w:cs="Times New Roman"/>
      <w:szCs w:val="24"/>
      <w:lang w:val="pl-PL" w:eastAsia="pl-PL"/>
    </w:rPr>
  </w:style>
  <w:style w:type="character" w:customStyle="1" w:styleId="Before6ptBoldBoldBoldBoldBoldBoCharChar">
    <w:name w:val="Before:  6 pt + Bold + Bold + Bold + Bold + Bold + Bo... Char Char"/>
    <w:aliases w:val="Heading 3 + Left:  0 cm2"/>
    <w:basedOn w:val="DefaultParagraphFont"/>
    <w:uiPriority w:val="99"/>
    <w:locked/>
    <w:rsid w:val="00DC1CCF"/>
    <w:rPr>
      <w:rFonts w:ascii="Arial" w:hAnsi="Arial" w:cs="Arial" w:hint="default"/>
      <w:sz w:val="18"/>
      <w:szCs w:val="24"/>
      <w:lang w:val="lt-LT"/>
    </w:rPr>
  </w:style>
  <w:style w:type="paragraph" w:customStyle="1" w:styleId="Heading3Left0cm1">
    <w:name w:val="Heading 3 + Left:  0 cm1"/>
    <w:aliases w:val="Before:  6 pt + Bold + Bold + Bold + Bold + Bold + Bo...1"/>
    <w:basedOn w:val="Normal"/>
    <w:rsid w:val="00DC1CCF"/>
    <w:rPr>
      <w:rFonts w:ascii="Arial" w:eastAsia="Times New Roman" w:hAnsi="Arial" w:cs="Times New Roman"/>
      <w:sz w:val="18"/>
      <w:szCs w:val="24"/>
      <w:lang w:val="lt-LT"/>
    </w:rPr>
  </w:style>
  <w:style w:type="paragraph" w:customStyle="1" w:styleId="prospectusbody">
    <w:name w:val="prospectus body"/>
    <w:basedOn w:val="Normal"/>
    <w:link w:val="prospectusbodyChar"/>
    <w:rsid w:val="00DC1CCF"/>
    <w:pPr>
      <w:spacing w:before="120" w:after="120"/>
      <w:jc w:val="both"/>
    </w:pPr>
    <w:rPr>
      <w:rFonts w:ascii="Arial" w:eastAsia="Arial Unicode MS" w:hAnsi="Arial" w:cs="Arial"/>
      <w:sz w:val="18"/>
      <w:szCs w:val="24"/>
      <w:lang w:val="en-US" w:eastAsia="ko-KR"/>
    </w:rPr>
  </w:style>
  <w:style w:type="character" w:customStyle="1" w:styleId="prospectusbodyChar">
    <w:name w:val="prospectus body Char"/>
    <w:link w:val="prospectusbody"/>
    <w:rsid w:val="00DC1CCF"/>
    <w:rPr>
      <w:rFonts w:ascii="Arial" w:eastAsia="Arial Unicode MS" w:hAnsi="Arial" w:cs="Arial"/>
      <w:sz w:val="18"/>
      <w:szCs w:val="24"/>
      <w:lang w:val="en-US" w:eastAsia="ko-KR"/>
    </w:rPr>
  </w:style>
  <w:style w:type="character" w:customStyle="1" w:styleId="Heading3Left0cmBefore6ptBoldBoldBoldBoldBoldBoCharChar">
    <w:name w:val="Heading 3 + Left:  0 cm.Before:  6 pt + Bold + Bold + Bold + Bold + Bold + Bo... Char Char"/>
    <w:rsid w:val="00DC1CCF"/>
    <w:rPr>
      <w:rFonts w:ascii="Arial" w:hAnsi="Arial"/>
      <w:sz w:val="18"/>
      <w:szCs w:val="24"/>
      <w:lang w:eastAsia="en-US"/>
    </w:rPr>
  </w:style>
  <w:style w:type="character" w:customStyle="1" w:styleId="NoSpacingChar">
    <w:name w:val="No Spacing Char"/>
    <w:link w:val="NoSpacing"/>
    <w:uiPriority w:val="1"/>
    <w:rsid w:val="00DC1CCF"/>
    <w:rPr>
      <w:rFonts w:ascii="Arial" w:hAnsi="Arial"/>
      <w:sz w:val="20"/>
      <w:szCs w:val="20"/>
    </w:rPr>
  </w:style>
  <w:style w:type="character" w:customStyle="1" w:styleId="publication-date">
    <w:name w:val="publication-date"/>
    <w:basedOn w:val="DefaultParagraphFont"/>
    <w:rsid w:val="00DC1CCF"/>
  </w:style>
  <w:style w:type="character" w:customStyle="1" w:styleId="st">
    <w:name w:val="st"/>
    <w:basedOn w:val="DefaultParagraphFont"/>
    <w:rsid w:val="00DC1CCF"/>
  </w:style>
  <w:style w:type="paragraph" w:customStyle="1" w:styleId="NormalArial">
    <w:name w:val="Normal + Arial"/>
    <w:aliases w:val="10 pt,Justified,First line:  1,25 cm,After:  6 pt,Normal + Times New Roman,12 pt,Line spacing:  1.5 lines,Normal + Blue"/>
    <w:basedOn w:val="Normal"/>
    <w:rsid w:val="00DC1CCF"/>
    <w:pPr>
      <w:spacing w:after="120"/>
      <w:ind w:firstLine="709"/>
      <w:jc w:val="both"/>
    </w:pPr>
    <w:rPr>
      <w:rFonts w:ascii="Arial" w:eastAsia="Times New Roman" w:hAnsi="Arial" w:cs="Arial"/>
      <w:lang w:val="lt-LT" w:eastAsia="lt-LT"/>
    </w:rPr>
  </w:style>
  <w:style w:type="character" w:customStyle="1" w:styleId="baec5a81-e4d6-4674-97f3-e9220f0136c1">
    <w:name w:val="baec5a81-e4d6-4674-97f3-e9220f0136c1"/>
    <w:basedOn w:val="DefaultParagraphFont"/>
    <w:rsid w:val="00DC1CCF"/>
  </w:style>
  <w:style w:type="paragraph" w:customStyle="1" w:styleId="xl24">
    <w:name w:val="xl24"/>
    <w:basedOn w:val="Normal"/>
    <w:rsid w:val="00DC1CCF"/>
    <w:pPr>
      <w:spacing w:before="100" w:beforeAutospacing="1" w:after="100" w:afterAutospacing="1"/>
    </w:pPr>
    <w:rPr>
      <w:rFonts w:ascii="CenturyCondensed" w:eastAsia="Arial Unicode MS" w:hAnsi="CenturyCondensed" w:cs="Arial Unicode MS"/>
      <w:color w:val="000000"/>
      <w:sz w:val="24"/>
      <w:szCs w:val="24"/>
      <w:lang w:val="en-US"/>
    </w:rPr>
  </w:style>
  <w:style w:type="paragraph" w:customStyle="1" w:styleId="xl25">
    <w:name w:val="xl25"/>
    <w:basedOn w:val="Normal"/>
    <w:rsid w:val="00DC1CCF"/>
    <w:pPr>
      <w:spacing w:before="100" w:beforeAutospacing="1" w:after="100" w:afterAutospacing="1"/>
      <w:jc w:val="right"/>
    </w:pPr>
    <w:rPr>
      <w:rFonts w:ascii="Arial" w:eastAsia="Arial Unicode MS" w:hAnsi="Arial" w:cs="Arial"/>
      <w:b/>
      <w:bCs/>
      <w:sz w:val="24"/>
      <w:szCs w:val="24"/>
      <w:lang w:val="en-US"/>
    </w:rPr>
  </w:style>
  <w:style w:type="paragraph" w:customStyle="1" w:styleId="ReportHeading1">
    <w:name w:val="ReportHeading1"/>
    <w:basedOn w:val="Normal"/>
    <w:rsid w:val="00DC1CCF"/>
    <w:pPr>
      <w:framePr w:w="6521" w:h="1055" w:hSpace="142" w:wrap="around" w:vAnchor="page" w:hAnchor="page" w:x="1441" w:y="4452"/>
      <w:spacing w:line="300" w:lineRule="atLeast"/>
    </w:pPr>
    <w:rPr>
      <w:rFonts w:ascii="Arial" w:eastAsia="Times New Roman" w:hAnsi="Arial" w:cs="Times New Roman"/>
      <w:b/>
      <w:sz w:val="24"/>
      <w:lang w:val="lt-LT"/>
    </w:rPr>
  </w:style>
  <w:style w:type="paragraph" w:customStyle="1" w:styleId="AANumbering">
    <w:name w:val="AA Numbering"/>
    <w:basedOn w:val="Normal"/>
    <w:rsid w:val="00DC1CCF"/>
    <w:pPr>
      <w:numPr>
        <w:numId w:val="21"/>
      </w:numPr>
      <w:spacing w:line="240" w:lineRule="atLeast"/>
    </w:pPr>
    <w:rPr>
      <w:rFonts w:ascii="Arial" w:eastAsia="Times New Roman" w:hAnsi="Arial" w:cs="Times New Roman"/>
      <w:sz w:val="18"/>
      <w:lang w:val="en-US"/>
    </w:rPr>
  </w:style>
  <w:style w:type="paragraph" w:styleId="BodyTextIndent">
    <w:name w:val="Body Text Indent"/>
    <w:basedOn w:val="Normal"/>
    <w:link w:val="BodyTextIndentChar"/>
    <w:rsid w:val="00DC1CCF"/>
    <w:pPr>
      <w:ind w:left="360"/>
    </w:pPr>
    <w:rPr>
      <w:rFonts w:ascii="Times New Roman" w:eastAsia="Times New Roman" w:hAnsi="Times New Roman" w:cs="Times New Roman"/>
      <w:sz w:val="22"/>
      <w:szCs w:val="24"/>
    </w:rPr>
  </w:style>
  <w:style w:type="character" w:customStyle="1" w:styleId="BodyTextIndentChar">
    <w:name w:val="Body Text Indent Char"/>
    <w:basedOn w:val="DefaultParagraphFont"/>
    <w:link w:val="BodyTextIndent"/>
    <w:rsid w:val="00DC1CCF"/>
    <w:rPr>
      <w:rFonts w:ascii="Times New Roman" w:eastAsia="Times New Roman" w:hAnsi="Times New Roman" w:cs="Times New Roman"/>
      <w:szCs w:val="24"/>
    </w:rPr>
  </w:style>
  <w:style w:type="paragraph" w:styleId="BodyTextIndent2">
    <w:name w:val="Body Text Indent 2"/>
    <w:basedOn w:val="Normal"/>
    <w:link w:val="BodyTextIndent2Char"/>
    <w:rsid w:val="00DC1CCF"/>
    <w:pPr>
      <w:ind w:left="900"/>
    </w:pPr>
    <w:rPr>
      <w:rFonts w:ascii="Times New Roman" w:eastAsia="Times New Roman" w:hAnsi="Times New Roman" w:cs="Times New Roman"/>
      <w:sz w:val="22"/>
      <w:szCs w:val="24"/>
    </w:rPr>
  </w:style>
  <w:style w:type="character" w:customStyle="1" w:styleId="BodyTextIndent2Char">
    <w:name w:val="Body Text Indent 2 Char"/>
    <w:basedOn w:val="DefaultParagraphFont"/>
    <w:link w:val="BodyTextIndent2"/>
    <w:rsid w:val="00DC1CCF"/>
    <w:rPr>
      <w:rFonts w:ascii="Times New Roman" w:eastAsia="Times New Roman" w:hAnsi="Times New Roman" w:cs="Times New Roman"/>
      <w:szCs w:val="24"/>
    </w:rPr>
  </w:style>
  <w:style w:type="paragraph" w:customStyle="1" w:styleId="ABLOCKPARA">
    <w:name w:val="A BLOCK PARA"/>
    <w:basedOn w:val="Normal"/>
    <w:rsid w:val="00DC1CCF"/>
    <w:rPr>
      <w:rFonts w:ascii="Book Antiqua" w:eastAsia="Times New Roman" w:hAnsi="Book Antiqua" w:cs="Times New Roman"/>
      <w:sz w:val="22"/>
    </w:rPr>
  </w:style>
  <w:style w:type="paragraph" w:styleId="BlockText">
    <w:name w:val="Block Text"/>
    <w:basedOn w:val="Normal"/>
    <w:rsid w:val="00DC1CCF"/>
    <w:pPr>
      <w:tabs>
        <w:tab w:val="left" w:pos="567"/>
      </w:tabs>
      <w:ind w:left="180" w:right="283"/>
    </w:pPr>
    <w:rPr>
      <w:rFonts w:ascii="Times New Roman" w:eastAsia="Times New Roman" w:hAnsi="Times New Roman" w:cs="Times New Roman"/>
      <w:sz w:val="22"/>
      <w:szCs w:val="24"/>
    </w:rPr>
  </w:style>
  <w:style w:type="paragraph" w:styleId="ListBullet2">
    <w:name w:val="List Bullet 2"/>
    <w:basedOn w:val="Normal"/>
    <w:rsid w:val="00DC1CCF"/>
    <w:pPr>
      <w:numPr>
        <w:numId w:val="22"/>
      </w:numPr>
      <w:tabs>
        <w:tab w:val="clear" w:pos="643"/>
        <w:tab w:val="left" w:pos="227"/>
        <w:tab w:val="left" w:pos="454"/>
        <w:tab w:val="left" w:pos="567"/>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851" w:hanging="284"/>
    </w:pPr>
    <w:rPr>
      <w:rFonts w:ascii="Arial" w:eastAsia="Times New Roman" w:hAnsi="Arial" w:cs="Times New Roman"/>
      <w:sz w:val="18"/>
      <w:lang w:val="en-US"/>
    </w:rPr>
  </w:style>
  <w:style w:type="paragraph" w:customStyle="1" w:styleId="AAheadingwocontents">
    <w:name w:val="AA heading wo contents"/>
    <w:basedOn w:val="Normal"/>
    <w:rsid w:val="00DC1CCF"/>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80" w:lineRule="atLeast"/>
    </w:pPr>
    <w:rPr>
      <w:rFonts w:ascii="Times New Roman" w:eastAsia="Times New Roman" w:hAnsi="Times New Roman" w:cs="Times New Roman"/>
      <w:b/>
      <w:sz w:val="22"/>
      <w:lang w:val="en-US"/>
    </w:rPr>
  </w:style>
  <w:style w:type="paragraph" w:styleId="NormalIndent">
    <w:name w:val="Normal Indent"/>
    <w:basedOn w:val="Normal"/>
    <w:rsid w:val="00DC1CCF"/>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84"/>
    </w:pPr>
    <w:rPr>
      <w:rFonts w:ascii="Arial" w:eastAsia="Times New Roman" w:hAnsi="Arial" w:cs="Times New Roman"/>
      <w:sz w:val="18"/>
      <w:lang w:val="en-US"/>
    </w:rPr>
  </w:style>
  <w:style w:type="paragraph" w:customStyle="1" w:styleId="StandaardOpinion">
    <w:name w:val="StandaardOpinion"/>
    <w:basedOn w:val="Normal"/>
    <w:rsid w:val="00DC1CCF"/>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80" w:lineRule="atLeast"/>
    </w:pPr>
    <w:rPr>
      <w:rFonts w:ascii="Times New Roman" w:eastAsia="Times New Roman" w:hAnsi="Times New Roman" w:cs="Times New Roman"/>
      <w:sz w:val="22"/>
      <w:lang w:val="en-US"/>
    </w:rPr>
  </w:style>
  <w:style w:type="paragraph" w:customStyle="1" w:styleId="ps-000-normal">
    <w:name w:val="ps-000-normal"/>
    <w:basedOn w:val="Normal"/>
    <w:rsid w:val="00DC1CCF"/>
    <w:pPr>
      <w:spacing w:before="100" w:beforeAutospacing="1" w:after="100" w:afterAutospacing="1"/>
    </w:pPr>
    <w:rPr>
      <w:rFonts w:ascii="Times New Roman" w:eastAsia="Times New Roman" w:hAnsi="Times New Roman" w:cs="Times New Roman"/>
      <w:sz w:val="24"/>
      <w:szCs w:val="24"/>
      <w:lang w:val="en-US"/>
    </w:rPr>
  </w:style>
  <w:style w:type="paragraph" w:customStyle="1" w:styleId="00">
    <w:name w:val="00"/>
    <w:basedOn w:val="Normal"/>
    <w:rsid w:val="00DC1CCF"/>
    <w:pPr>
      <w:overflowPunct w:val="0"/>
      <w:autoSpaceDE w:val="0"/>
      <w:autoSpaceDN w:val="0"/>
      <w:adjustRightInd w:val="0"/>
      <w:spacing w:before="120" w:line="220" w:lineRule="exact"/>
      <w:jc w:val="both"/>
      <w:textAlignment w:val="baseline"/>
    </w:pPr>
    <w:rPr>
      <w:rFonts w:ascii="Garamond" w:eastAsia="Times New Roman" w:hAnsi="Garamond" w:cs="Times New Roman"/>
    </w:rPr>
  </w:style>
  <w:style w:type="character" w:customStyle="1" w:styleId="popup">
    <w:name w:val="popup"/>
    <w:basedOn w:val="DefaultParagraphFont"/>
    <w:rsid w:val="00DC1CCF"/>
  </w:style>
  <w:style w:type="paragraph" w:customStyle="1" w:styleId="FirstHeaderTitle">
    <w:name w:val="First Header Title"/>
    <w:basedOn w:val="Normal"/>
    <w:rsid w:val="00DC1CCF"/>
    <w:pPr>
      <w:widowControl w:val="0"/>
      <w:tabs>
        <w:tab w:val="right" w:pos="10080"/>
      </w:tabs>
      <w:overflowPunct w:val="0"/>
      <w:autoSpaceDE w:val="0"/>
      <w:autoSpaceDN w:val="0"/>
      <w:adjustRightInd w:val="0"/>
      <w:spacing w:before="120"/>
      <w:textAlignment w:val="baseline"/>
    </w:pPr>
    <w:rPr>
      <w:rFonts w:ascii="EY Gothic Cond Demi" w:eastAsia="Times New Roman" w:hAnsi="EY Gothic Cond Demi" w:cs="Times New Roman"/>
      <w:b/>
      <w:sz w:val="44"/>
      <w:lang w:val="en-US"/>
    </w:rPr>
  </w:style>
  <w:style w:type="paragraph" w:customStyle="1" w:styleId="1-regular">
    <w:name w:val="1-regular"/>
    <w:aliases w:val="1r"/>
    <w:basedOn w:val="Normal"/>
    <w:rsid w:val="00DC1CCF"/>
    <w:pPr>
      <w:overflowPunct w:val="0"/>
      <w:autoSpaceDE w:val="0"/>
      <w:autoSpaceDN w:val="0"/>
      <w:adjustRightInd w:val="0"/>
      <w:spacing w:after="160" w:line="320" w:lineRule="atLeast"/>
      <w:textAlignment w:val="baseline"/>
    </w:pPr>
    <w:rPr>
      <w:rFonts w:ascii="Times" w:eastAsia="Times New Roman" w:hAnsi="Times" w:cs="Times New Roman"/>
      <w:sz w:val="26"/>
      <w:lang w:val="en-US"/>
    </w:rPr>
  </w:style>
  <w:style w:type="paragraph" w:customStyle="1" w:styleId="c2q2">
    <w:name w:val="c2q2"/>
    <w:basedOn w:val="Normal"/>
    <w:rsid w:val="00DC1CCF"/>
    <w:pPr>
      <w:spacing w:before="100" w:beforeAutospacing="1" w:after="120"/>
      <w:ind w:left="340" w:hanging="340"/>
    </w:pPr>
    <w:rPr>
      <w:rFonts w:ascii="Arial" w:eastAsia="Times New Roman" w:hAnsi="Arial" w:cs="Arial"/>
      <w:color w:val="000000"/>
      <w:lang w:val="lt-LT" w:eastAsia="lt-LT"/>
    </w:rPr>
  </w:style>
  <w:style w:type="paragraph" w:customStyle="1" w:styleId="c2q3">
    <w:name w:val="c2q3"/>
    <w:basedOn w:val="Normal"/>
    <w:rsid w:val="00DC1CCF"/>
    <w:pPr>
      <w:spacing w:before="100" w:beforeAutospacing="1" w:after="120"/>
      <w:ind w:left="560" w:hanging="340"/>
    </w:pPr>
    <w:rPr>
      <w:rFonts w:ascii="Arial" w:eastAsia="Times New Roman" w:hAnsi="Arial" w:cs="Arial"/>
      <w:color w:val="000000"/>
      <w:lang w:val="lt-LT" w:eastAsia="lt-LT"/>
    </w:rPr>
  </w:style>
  <w:style w:type="paragraph" w:styleId="z-TopofForm">
    <w:name w:val="HTML Top of Form"/>
    <w:basedOn w:val="Normal"/>
    <w:next w:val="Normal"/>
    <w:link w:val="z-TopofFormChar"/>
    <w:hidden/>
    <w:rsid w:val="00DC1CCF"/>
    <w:pPr>
      <w:pBdr>
        <w:bottom w:val="single" w:sz="6" w:space="1" w:color="auto"/>
      </w:pBdr>
      <w:jc w:val="center"/>
    </w:pPr>
    <w:rPr>
      <w:rFonts w:ascii="Arial" w:eastAsia="Times New Roman" w:hAnsi="Arial" w:cs="Arial"/>
      <w:vanish/>
      <w:sz w:val="16"/>
      <w:szCs w:val="16"/>
      <w:lang w:val="lt-LT" w:eastAsia="lt-LT"/>
    </w:rPr>
  </w:style>
  <w:style w:type="character" w:customStyle="1" w:styleId="z-TopofFormChar">
    <w:name w:val="z-Top of Form Char"/>
    <w:basedOn w:val="DefaultParagraphFont"/>
    <w:link w:val="z-TopofForm"/>
    <w:rsid w:val="00DC1CCF"/>
    <w:rPr>
      <w:rFonts w:ascii="Arial" w:eastAsia="Times New Roman" w:hAnsi="Arial" w:cs="Arial"/>
      <w:vanish/>
      <w:sz w:val="16"/>
      <w:szCs w:val="16"/>
      <w:lang w:val="lt-LT" w:eastAsia="lt-LT"/>
    </w:rPr>
  </w:style>
  <w:style w:type="paragraph" w:styleId="z-BottomofForm">
    <w:name w:val="HTML Bottom of Form"/>
    <w:basedOn w:val="Normal"/>
    <w:next w:val="Normal"/>
    <w:link w:val="z-BottomofFormChar"/>
    <w:hidden/>
    <w:rsid w:val="00DC1CCF"/>
    <w:pPr>
      <w:pBdr>
        <w:top w:val="single" w:sz="6" w:space="1" w:color="auto"/>
      </w:pBdr>
      <w:jc w:val="center"/>
    </w:pPr>
    <w:rPr>
      <w:rFonts w:ascii="Arial" w:eastAsia="Times New Roman" w:hAnsi="Arial" w:cs="Arial"/>
      <w:vanish/>
      <w:sz w:val="16"/>
      <w:szCs w:val="16"/>
      <w:lang w:val="lt-LT" w:eastAsia="lt-LT"/>
    </w:rPr>
  </w:style>
  <w:style w:type="character" w:customStyle="1" w:styleId="z-BottomofFormChar">
    <w:name w:val="z-Bottom of Form Char"/>
    <w:basedOn w:val="DefaultParagraphFont"/>
    <w:link w:val="z-BottomofForm"/>
    <w:rsid w:val="00DC1CCF"/>
    <w:rPr>
      <w:rFonts w:ascii="Arial" w:eastAsia="Times New Roman" w:hAnsi="Arial" w:cs="Arial"/>
      <w:vanish/>
      <w:sz w:val="16"/>
      <w:szCs w:val="16"/>
      <w:lang w:val="lt-LT" w:eastAsia="lt-LT"/>
    </w:rPr>
  </w:style>
  <w:style w:type="paragraph" w:customStyle="1" w:styleId="c2q1">
    <w:name w:val="c2q1"/>
    <w:basedOn w:val="Normal"/>
    <w:rsid w:val="00DC1CCF"/>
    <w:pPr>
      <w:spacing w:after="120"/>
    </w:pPr>
    <w:rPr>
      <w:rFonts w:ascii="Arial" w:eastAsia="Times New Roman" w:hAnsi="Arial" w:cs="Arial"/>
      <w:color w:val="000000"/>
      <w:lang w:val="lt-LT" w:eastAsia="lt-LT"/>
    </w:rPr>
  </w:style>
  <w:style w:type="table" w:styleId="TableList5">
    <w:name w:val="Table List 5"/>
    <w:basedOn w:val="TableNormal"/>
    <w:rsid w:val="00DC1CCF"/>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customStyle="1" w:styleId="definition">
    <w:name w:val="definition"/>
    <w:basedOn w:val="DefaultParagraphFont"/>
    <w:rsid w:val="00DC1CCF"/>
  </w:style>
  <w:style w:type="paragraph" w:customStyle="1" w:styleId="Pa5">
    <w:name w:val="Pa5"/>
    <w:basedOn w:val="Normal"/>
    <w:next w:val="Normal"/>
    <w:rsid w:val="00DC1CCF"/>
    <w:pPr>
      <w:autoSpaceDE w:val="0"/>
      <w:autoSpaceDN w:val="0"/>
      <w:adjustRightInd w:val="0"/>
      <w:spacing w:line="191" w:lineRule="atLeast"/>
    </w:pPr>
    <w:rPr>
      <w:rFonts w:ascii="Times New Roman" w:eastAsia="Times New Roman" w:hAnsi="Times New Roman" w:cs="Times New Roman"/>
      <w:sz w:val="24"/>
      <w:szCs w:val="24"/>
      <w:lang w:val="lt-LT" w:eastAsia="lt-LT"/>
    </w:rPr>
  </w:style>
  <w:style w:type="character" w:customStyle="1" w:styleId="CharChar4">
    <w:name w:val="Char Char4"/>
    <w:rsid w:val="00DC1CCF"/>
    <w:rPr>
      <w:rFonts w:ascii="Arial" w:hAnsi="Arial" w:cs="Arial"/>
      <w:b/>
      <w:bCs/>
      <w:lang w:val="en-US" w:eastAsia="en-US" w:bidi="ar-SA"/>
    </w:rPr>
  </w:style>
  <w:style w:type="paragraph" w:customStyle="1" w:styleId="000Normal">
    <w:name w:val="000 Normal"/>
    <w:basedOn w:val="Normal"/>
    <w:rsid w:val="00DC1CCF"/>
    <w:pPr>
      <w:overflowPunct w:val="0"/>
      <w:autoSpaceDE w:val="0"/>
      <w:autoSpaceDN w:val="0"/>
      <w:adjustRightInd w:val="0"/>
      <w:spacing w:before="60" w:after="40" w:line="220" w:lineRule="exact"/>
      <w:jc w:val="both"/>
      <w:textAlignment w:val="baseline"/>
    </w:pPr>
    <w:rPr>
      <w:rFonts w:ascii="Garamond" w:eastAsia="Times New Roman" w:hAnsi="Garamond" w:cs="Times New Roman"/>
    </w:rPr>
  </w:style>
  <w:style w:type="paragraph" w:customStyle="1" w:styleId="200Tableleft">
    <w:name w:val="200 Table left"/>
    <w:basedOn w:val="000Normal"/>
    <w:rsid w:val="00DC1CCF"/>
    <w:pPr>
      <w:spacing w:before="20" w:after="0" w:line="200" w:lineRule="exact"/>
      <w:jc w:val="left"/>
    </w:pPr>
  </w:style>
  <w:style w:type="paragraph" w:customStyle="1" w:styleId="EY">
    <w:name w:val="EY"/>
    <w:rsid w:val="00DC1CCF"/>
    <w:pPr>
      <w:spacing w:after="0" w:line="240" w:lineRule="auto"/>
    </w:pPr>
    <w:rPr>
      <w:rFonts w:ascii="Arial" w:eastAsia="Times New Roman" w:hAnsi="Arial" w:cs="Arial"/>
      <w:noProof/>
      <w:sz w:val="18"/>
      <w:szCs w:val="18"/>
      <w:lang w:val="lt-LT"/>
    </w:rPr>
  </w:style>
  <w:style w:type="paragraph" w:customStyle="1" w:styleId="Invalda1">
    <w:name w:val="Invalda 1"/>
    <w:basedOn w:val="Heading1"/>
    <w:rsid w:val="00DC1CCF"/>
    <w:pPr>
      <w:keepLines w:val="0"/>
      <w:numPr>
        <w:numId w:val="0"/>
      </w:numPr>
      <w:spacing w:before="0" w:after="0"/>
    </w:pPr>
    <w:rPr>
      <w:rFonts w:eastAsia="Times New Roman" w:cs="Arial"/>
      <w:bCs/>
      <w:caps w:val="0"/>
      <w:color w:val="auto"/>
      <w:sz w:val="24"/>
      <w:szCs w:val="24"/>
      <w:lang w:val="lt-LT"/>
    </w:rPr>
  </w:style>
  <w:style w:type="paragraph" w:customStyle="1" w:styleId="Invalda2">
    <w:name w:val="Invalda 2"/>
    <w:basedOn w:val="Heading7"/>
    <w:rsid w:val="00DC1CCF"/>
    <w:pPr>
      <w:keepLines w:val="0"/>
      <w:autoSpaceDE w:val="0"/>
      <w:autoSpaceDN w:val="0"/>
      <w:adjustRightInd w:val="0"/>
      <w:spacing w:before="0"/>
    </w:pPr>
    <w:rPr>
      <w:rFonts w:ascii="Arial" w:eastAsia="Times New Roman" w:hAnsi="Arial" w:cs="Arial"/>
      <w:b/>
      <w:bCs/>
      <w:iCs w:val="0"/>
      <w:color w:val="auto"/>
      <w:sz w:val="18"/>
    </w:rPr>
  </w:style>
  <w:style w:type="paragraph" w:customStyle="1" w:styleId="Invalda3">
    <w:name w:val="Invalda 3"/>
    <w:basedOn w:val="Heading7"/>
    <w:rsid w:val="00DC1CCF"/>
    <w:pPr>
      <w:keepLines w:val="0"/>
      <w:numPr>
        <w:ilvl w:val="1"/>
        <w:numId w:val="23"/>
      </w:numPr>
      <w:tabs>
        <w:tab w:val="left" w:pos="540"/>
      </w:tabs>
      <w:autoSpaceDE w:val="0"/>
      <w:autoSpaceDN w:val="0"/>
      <w:adjustRightInd w:val="0"/>
      <w:spacing w:before="0"/>
    </w:pPr>
    <w:rPr>
      <w:rFonts w:ascii="Arial" w:eastAsia="Times New Roman" w:hAnsi="Arial" w:cs="Arial"/>
      <w:b/>
      <w:bCs/>
      <w:iCs w:val="0"/>
      <w:color w:val="auto"/>
      <w:sz w:val="18"/>
      <w:szCs w:val="18"/>
    </w:rPr>
  </w:style>
  <w:style w:type="character" w:customStyle="1" w:styleId="longtext1">
    <w:name w:val="long_text1"/>
    <w:rsid w:val="00DC1CCF"/>
    <w:rPr>
      <w:sz w:val="20"/>
      <w:szCs w:val="20"/>
    </w:rPr>
  </w:style>
  <w:style w:type="character" w:customStyle="1" w:styleId="ABC-paragrahinNotesChar1">
    <w:name w:val="ABC - paragrah in Notes Char1"/>
    <w:rsid w:val="00DC1CCF"/>
    <w:rPr>
      <w:rFonts w:ascii="Arial" w:eastAsia="Times New Roman" w:hAnsi="Arial" w:cs="Times New Roman"/>
      <w:sz w:val="20"/>
      <w:szCs w:val="20"/>
      <w:lang w:val="en-GB"/>
    </w:rPr>
  </w:style>
  <w:style w:type="paragraph" w:customStyle="1" w:styleId="Tekstas">
    <w:name w:val="+ Tekstas"/>
    <w:basedOn w:val="Normal"/>
    <w:qFormat/>
    <w:rsid w:val="00DC1CCF"/>
    <w:pPr>
      <w:outlineLvl w:val="0"/>
    </w:pPr>
    <w:rPr>
      <w:rFonts w:ascii="Arial" w:eastAsia="Cambria" w:hAnsi="Arial" w:cs="Times New Roman"/>
      <w:sz w:val="16"/>
      <w:szCs w:val="24"/>
      <w:lang w:val="en-US"/>
    </w:rPr>
  </w:style>
  <w:style w:type="paragraph" w:customStyle="1" w:styleId="RakstzCharCharRakstzCharCharRakstz">
    <w:name w:val="Rakstz. Char Char Rakstz. Char Char Rakstz."/>
    <w:basedOn w:val="Normal"/>
    <w:rsid w:val="00DC1CCF"/>
    <w:pPr>
      <w:spacing w:after="160" w:line="240" w:lineRule="exact"/>
    </w:pPr>
    <w:rPr>
      <w:rFonts w:ascii="Tahoma" w:eastAsia="Times New Roman" w:hAnsi="Tahoma" w:cs="Times New Roman"/>
      <w:lang w:val="en-US"/>
    </w:rPr>
  </w:style>
  <w:style w:type="character" w:customStyle="1" w:styleId="tw4winMark">
    <w:name w:val="tw4winMark"/>
    <w:rsid w:val="00DC1CCF"/>
    <w:rPr>
      <w:rFonts w:ascii="Courier New" w:hAnsi="Courier New"/>
      <w:vanish/>
      <w:color w:val="800080"/>
      <w:vertAlign w:val="subscript"/>
    </w:rPr>
  </w:style>
  <w:style w:type="character" w:customStyle="1" w:styleId="A2">
    <w:name w:val="A2"/>
    <w:rsid w:val="00DC1CCF"/>
    <w:rPr>
      <w:color w:val="000000"/>
      <w:sz w:val="18"/>
    </w:rPr>
  </w:style>
  <w:style w:type="paragraph" w:styleId="HTMLPreformatted">
    <w:name w:val="HTML Preformatted"/>
    <w:basedOn w:val="Normal"/>
    <w:link w:val="HTMLPreformattedChar"/>
    <w:rsid w:val="00DC1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lang w:val="lt-LT" w:eastAsia="lt-LT"/>
    </w:rPr>
  </w:style>
  <w:style w:type="character" w:customStyle="1" w:styleId="HTMLPreformattedChar">
    <w:name w:val="HTML Preformatted Char"/>
    <w:basedOn w:val="DefaultParagraphFont"/>
    <w:link w:val="HTMLPreformatted"/>
    <w:rsid w:val="00DC1CCF"/>
    <w:rPr>
      <w:rFonts w:ascii="Courier New" w:eastAsia="Times New Roman" w:hAnsi="Courier New" w:cs="Courier New"/>
      <w:sz w:val="20"/>
      <w:szCs w:val="20"/>
      <w:lang w:val="lt-LT" w:eastAsia="lt-LT"/>
    </w:rPr>
  </w:style>
  <w:style w:type="paragraph" w:styleId="TOAHeading">
    <w:name w:val="toa heading"/>
    <w:basedOn w:val="Normal"/>
    <w:next w:val="Normal"/>
    <w:rsid w:val="00DC1CCF"/>
    <w:pPr>
      <w:spacing w:before="120"/>
    </w:pPr>
    <w:rPr>
      <w:rFonts w:ascii="Arial" w:eastAsia="Times New Roman" w:hAnsi="Arial" w:cs="Arial"/>
      <w:b/>
      <w:bCs/>
      <w:sz w:val="24"/>
      <w:szCs w:val="24"/>
    </w:rPr>
  </w:style>
  <w:style w:type="character" w:customStyle="1" w:styleId="hps">
    <w:name w:val="hps"/>
    <w:basedOn w:val="DefaultParagraphFont"/>
    <w:rsid w:val="00DC1CCF"/>
  </w:style>
  <w:style w:type="character" w:customStyle="1" w:styleId="result-translation">
    <w:name w:val="result-translation"/>
    <w:rsid w:val="00DC1CCF"/>
  </w:style>
  <w:style w:type="paragraph" w:customStyle="1" w:styleId="Style149">
    <w:name w:val="Style149"/>
    <w:basedOn w:val="Normal"/>
    <w:rsid w:val="00DC1CCF"/>
    <w:pPr>
      <w:widowControl w:val="0"/>
      <w:autoSpaceDE w:val="0"/>
      <w:autoSpaceDN w:val="0"/>
      <w:adjustRightInd w:val="0"/>
      <w:spacing w:line="257" w:lineRule="exact"/>
      <w:jc w:val="both"/>
    </w:pPr>
    <w:rPr>
      <w:rFonts w:ascii="Times New Roman" w:eastAsia="Times New Roman" w:hAnsi="Times New Roman" w:cs="Times New Roman"/>
      <w:sz w:val="24"/>
      <w:szCs w:val="24"/>
      <w:lang w:val="lt-LT" w:eastAsia="lt-LT"/>
    </w:rPr>
  </w:style>
  <w:style w:type="character" w:customStyle="1" w:styleId="s4">
    <w:name w:val="s4"/>
    <w:basedOn w:val="DefaultParagraphFont"/>
    <w:rsid w:val="00DC1CCF"/>
  </w:style>
  <w:style w:type="character" w:customStyle="1" w:styleId="InternetLink">
    <w:name w:val="Internet Link"/>
    <w:rsid w:val="00DC1CCF"/>
    <w:rPr>
      <w:color w:val="0000FF"/>
      <w:u w:val="single"/>
    </w:rPr>
  </w:style>
  <w:style w:type="character" w:customStyle="1" w:styleId="shorttext">
    <w:name w:val="short_text"/>
    <w:basedOn w:val="DefaultParagraphFont"/>
    <w:rsid w:val="00DC1CCF"/>
  </w:style>
  <w:style w:type="paragraph" w:customStyle="1" w:styleId="Normalmedindrag">
    <w:name w:val="Normal med indrag"/>
    <w:basedOn w:val="Normal"/>
    <w:qFormat/>
    <w:rsid w:val="00385632"/>
    <w:pPr>
      <w:spacing w:after="160" w:line="259" w:lineRule="auto"/>
      <w:ind w:left="851"/>
    </w:pPr>
    <w:rPr>
      <w:rFonts w:asciiTheme="minorHAnsi" w:hAnsiTheme="minorHAnsi"/>
      <w:sz w:val="22"/>
      <w:szCs w:val="22"/>
    </w:rPr>
  </w:style>
  <w:style w:type="paragraph" w:customStyle="1" w:styleId="title-gr-seq-level-1">
    <w:name w:val="title-gr-seq-level-1"/>
    <w:basedOn w:val="Normal"/>
    <w:rsid w:val="0084514D"/>
    <w:pPr>
      <w:spacing w:before="100" w:beforeAutospacing="1" w:after="100" w:afterAutospacing="1"/>
    </w:pPr>
    <w:rPr>
      <w:rFonts w:ascii="Times New Roman" w:eastAsia="Times New Roman" w:hAnsi="Times New Roman" w:cs="Times New Roman"/>
      <w:sz w:val="24"/>
      <w:szCs w:val="24"/>
      <w:lang w:val="en-US"/>
    </w:rPr>
  </w:style>
  <w:style w:type="character" w:customStyle="1" w:styleId="boldface">
    <w:name w:val="boldface"/>
    <w:basedOn w:val="DefaultParagraphFont"/>
    <w:rsid w:val="0084514D"/>
  </w:style>
  <w:style w:type="paragraph" w:customStyle="1" w:styleId="norm">
    <w:name w:val="norm"/>
    <w:basedOn w:val="Normal"/>
    <w:rsid w:val="0084514D"/>
    <w:pPr>
      <w:spacing w:before="100" w:beforeAutospacing="1" w:after="100" w:afterAutospacing="1"/>
    </w:pPr>
    <w:rPr>
      <w:rFonts w:ascii="Times New Roman" w:eastAsia="Times New Roman" w:hAnsi="Times New Roman" w:cs="Times New Roman"/>
      <w:sz w:val="24"/>
      <w:szCs w:val="24"/>
      <w:lang w:val="en-US"/>
    </w:rPr>
  </w:style>
  <w:style w:type="character" w:customStyle="1" w:styleId="UnresolvedMention2">
    <w:name w:val="Unresolved Mention2"/>
    <w:basedOn w:val="DefaultParagraphFont"/>
    <w:uiPriority w:val="99"/>
    <w:semiHidden/>
    <w:unhideWhenUsed/>
    <w:rsid w:val="00C05937"/>
    <w:rPr>
      <w:color w:val="808080"/>
      <w:shd w:val="clear" w:color="auto" w:fill="E6E6E6"/>
    </w:rPr>
  </w:style>
  <w:style w:type="character" w:customStyle="1" w:styleId="UnresolvedMention3">
    <w:name w:val="Unresolved Mention3"/>
    <w:basedOn w:val="DefaultParagraphFont"/>
    <w:uiPriority w:val="99"/>
    <w:semiHidden/>
    <w:unhideWhenUsed/>
    <w:rsid w:val="00DC193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07968">
      <w:bodyDiv w:val="1"/>
      <w:marLeft w:val="0"/>
      <w:marRight w:val="0"/>
      <w:marTop w:val="0"/>
      <w:marBottom w:val="0"/>
      <w:divBdr>
        <w:top w:val="none" w:sz="0" w:space="0" w:color="auto"/>
        <w:left w:val="none" w:sz="0" w:space="0" w:color="auto"/>
        <w:bottom w:val="none" w:sz="0" w:space="0" w:color="auto"/>
        <w:right w:val="none" w:sz="0" w:space="0" w:color="auto"/>
      </w:divBdr>
    </w:div>
    <w:div w:id="581456457">
      <w:bodyDiv w:val="1"/>
      <w:marLeft w:val="0"/>
      <w:marRight w:val="0"/>
      <w:marTop w:val="0"/>
      <w:marBottom w:val="0"/>
      <w:divBdr>
        <w:top w:val="none" w:sz="0" w:space="0" w:color="auto"/>
        <w:left w:val="none" w:sz="0" w:space="0" w:color="auto"/>
        <w:bottom w:val="none" w:sz="0" w:space="0" w:color="auto"/>
        <w:right w:val="none" w:sz="0" w:space="0" w:color="auto"/>
      </w:divBdr>
    </w:div>
    <w:div w:id="601256715">
      <w:bodyDiv w:val="1"/>
      <w:marLeft w:val="0"/>
      <w:marRight w:val="0"/>
      <w:marTop w:val="0"/>
      <w:marBottom w:val="0"/>
      <w:divBdr>
        <w:top w:val="none" w:sz="0" w:space="0" w:color="auto"/>
        <w:left w:val="none" w:sz="0" w:space="0" w:color="auto"/>
        <w:bottom w:val="none" w:sz="0" w:space="0" w:color="auto"/>
        <w:right w:val="none" w:sz="0" w:space="0" w:color="auto"/>
      </w:divBdr>
    </w:div>
    <w:div w:id="1160274200">
      <w:bodyDiv w:val="1"/>
      <w:marLeft w:val="0"/>
      <w:marRight w:val="0"/>
      <w:marTop w:val="0"/>
      <w:marBottom w:val="0"/>
      <w:divBdr>
        <w:top w:val="none" w:sz="0" w:space="0" w:color="auto"/>
        <w:left w:val="none" w:sz="0" w:space="0" w:color="auto"/>
        <w:bottom w:val="none" w:sz="0" w:space="0" w:color="auto"/>
        <w:right w:val="none" w:sz="0" w:space="0" w:color="auto"/>
      </w:divBdr>
    </w:div>
    <w:div w:id="1161386154">
      <w:bodyDiv w:val="1"/>
      <w:marLeft w:val="0"/>
      <w:marRight w:val="0"/>
      <w:marTop w:val="0"/>
      <w:marBottom w:val="0"/>
      <w:divBdr>
        <w:top w:val="none" w:sz="0" w:space="0" w:color="auto"/>
        <w:left w:val="none" w:sz="0" w:space="0" w:color="auto"/>
        <w:bottom w:val="none" w:sz="0" w:space="0" w:color="auto"/>
        <w:right w:val="none" w:sz="0" w:space="0" w:color="auto"/>
      </w:divBdr>
    </w:div>
    <w:div w:id="1842310152">
      <w:bodyDiv w:val="1"/>
      <w:marLeft w:val="0"/>
      <w:marRight w:val="0"/>
      <w:marTop w:val="0"/>
      <w:marBottom w:val="0"/>
      <w:divBdr>
        <w:top w:val="none" w:sz="0" w:space="0" w:color="auto"/>
        <w:left w:val="none" w:sz="0" w:space="0" w:color="auto"/>
        <w:bottom w:val="none" w:sz="0" w:space="0" w:color="auto"/>
        <w:right w:val="none" w:sz="0" w:space="0" w:color="auto"/>
      </w:divBdr>
    </w:div>
    <w:div w:id="1866477473">
      <w:bodyDiv w:val="1"/>
      <w:marLeft w:val="0"/>
      <w:marRight w:val="0"/>
      <w:marTop w:val="0"/>
      <w:marBottom w:val="0"/>
      <w:divBdr>
        <w:top w:val="none" w:sz="0" w:space="0" w:color="auto"/>
        <w:left w:val="none" w:sz="0" w:space="0" w:color="auto"/>
        <w:bottom w:val="none" w:sz="0" w:space="0" w:color="auto"/>
        <w:right w:val="none" w:sz="0" w:space="0" w:color="auto"/>
      </w:divBdr>
    </w:div>
    <w:div w:id="1978140041">
      <w:bodyDiv w:val="1"/>
      <w:marLeft w:val="0"/>
      <w:marRight w:val="0"/>
      <w:marTop w:val="0"/>
      <w:marBottom w:val="0"/>
      <w:divBdr>
        <w:top w:val="none" w:sz="0" w:space="0" w:color="auto"/>
        <w:left w:val="none" w:sz="0" w:space="0" w:color="auto"/>
        <w:bottom w:val="none" w:sz="0" w:space="0" w:color="auto"/>
        <w:right w:val="none" w:sz="0" w:space="0" w:color="auto"/>
      </w:divBdr>
    </w:div>
    <w:div w:id="1995907939">
      <w:bodyDiv w:val="1"/>
      <w:marLeft w:val="0"/>
      <w:marRight w:val="0"/>
      <w:marTop w:val="0"/>
      <w:marBottom w:val="0"/>
      <w:divBdr>
        <w:top w:val="none" w:sz="0" w:space="0" w:color="auto"/>
        <w:left w:val="none" w:sz="0" w:space="0" w:color="auto"/>
        <w:bottom w:val="none" w:sz="0" w:space="0" w:color="auto"/>
        <w:right w:val="none" w:sz="0" w:space="0" w:color="auto"/>
      </w:divBdr>
    </w:div>
    <w:div w:id="211058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kapital@prokapital.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8A65D-3657-44BF-BDD0-25AEDF91F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12483</Words>
  <Characters>71155</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DERLING</dc:creator>
  <cp:lastModifiedBy>DERLING</cp:lastModifiedBy>
  <cp:revision>8</cp:revision>
  <cp:lastPrinted>2017-09-13T09:18:00Z</cp:lastPrinted>
  <dcterms:created xsi:type="dcterms:W3CDTF">2017-09-13T12:29:00Z</dcterms:created>
  <dcterms:modified xsi:type="dcterms:W3CDTF">2017-09-18T05:06:00Z</dcterms:modified>
</cp:coreProperties>
</file>