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B02AF" w14:textId="77777777" w:rsidR="004976E9" w:rsidRPr="00184B57" w:rsidRDefault="004976E9" w:rsidP="004976E9">
      <w:pPr>
        <w:pStyle w:val="Heading1"/>
        <w:numPr>
          <w:ilvl w:val="0"/>
          <w:numId w:val="3"/>
        </w:numPr>
        <w:rPr>
          <w:sz w:val="18"/>
          <w:szCs w:val="18"/>
        </w:rPr>
      </w:pPr>
      <w:bookmarkStart w:id="0" w:name="_Toc486316604"/>
      <w:r w:rsidRPr="00184B57">
        <w:rPr>
          <w:sz w:val="18"/>
          <w:szCs w:val="18"/>
        </w:rPr>
        <w:t>N</w:t>
      </w:r>
      <w:bookmarkEnd w:id="0"/>
      <w:r w:rsidRPr="00184B57">
        <w:rPr>
          <w:sz w:val="18"/>
          <w:szCs w:val="18"/>
        </w:rPr>
        <w:t>OTA DI SINTESI</w:t>
      </w:r>
    </w:p>
    <w:p w14:paraId="6A62DEB8" w14:textId="77777777" w:rsidR="004976E9" w:rsidRPr="00273ED1" w:rsidRDefault="004976E9" w:rsidP="004976E9">
      <w:pPr>
        <w:pStyle w:val="Paragraph"/>
        <w:rPr>
          <w:sz w:val="16"/>
          <w:szCs w:val="16"/>
        </w:rPr>
      </w:pPr>
      <w:r w:rsidRPr="00273ED1">
        <w:rPr>
          <w:sz w:val="16"/>
          <w:szCs w:val="16"/>
        </w:rPr>
        <w:t xml:space="preserve">La presente Nota di sintesi è costituita dalle informazioni da includere chiamate “Elementi” ai sensi dell'Allegato XXII (Informazioni da includere nella nota di sintesi) del Regolamento sul Prospetto. Tali elementi sono numerati nelle seguenti Sezioni A – E (A.1 – E.7). La presente Nota di Sintesi comprende tutti gli Elementi da includere in una nota di sintesi per questa tipologia di strumenti finanziari e di emittente. Poiché alcuni Elementi non devono essere trattati, la sequenza della numerazione degli Elementi potrebbe presentare degli </w:t>
      </w:r>
      <w:r w:rsidRPr="00273ED1">
        <w:rPr>
          <w:i/>
          <w:iCs/>
          <w:sz w:val="16"/>
          <w:szCs w:val="16"/>
        </w:rPr>
        <w:t>omissis</w:t>
      </w:r>
      <w:r w:rsidRPr="00273ED1">
        <w:rPr>
          <w:sz w:val="16"/>
          <w:szCs w:val="16"/>
        </w:rPr>
        <w:t>. Anche nel caso in cui un Elemento debba essere incluso nella Nota di Sintesi in ragione del tipo di strumento finanziario o di emittente, può non essere possibile fornire alcuna informazione rilevante riguardo tale Elemento. In tal caso, nella Nota di Sintesi si include una breve descrizione dell'Elemento con l'indicazione “non applicabile”.</w:t>
      </w:r>
    </w:p>
    <w:tbl>
      <w:tblPr>
        <w:tblW w:w="9752" w:type="dxa"/>
        <w:tblInd w:w="-30" w:type="dxa"/>
        <w:tblBorders>
          <w:top w:val="single" w:sz="4" w:space="0" w:color="BFBFBF"/>
          <w:left w:val="single" w:sz="4" w:space="0" w:color="BFBFBF"/>
          <w:bottom w:val="single" w:sz="4" w:space="0" w:color="808080"/>
          <w:right w:val="single" w:sz="4" w:space="0" w:color="BFBFBF"/>
          <w:insideH w:val="single" w:sz="4" w:space="0" w:color="808080"/>
          <w:insideV w:val="single" w:sz="4" w:space="0" w:color="BFBFBF"/>
        </w:tblBorders>
        <w:tblCellMar>
          <w:left w:w="83" w:type="dxa"/>
        </w:tblCellMar>
        <w:tblLook w:val="04A0" w:firstRow="1" w:lastRow="0" w:firstColumn="1" w:lastColumn="0" w:noHBand="0" w:noVBand="1"/>
      </w:tblPr>
      <w:tblGrid>
        <w:gridCol w:w="706"/>
        <w:gridCol w:w="1553"/>
        <w:gridCol w:w="7493"/>
      </w:tblGrid>
      <w:tr w:rsidR="004976E9" w:rsidRPr="00273ED1" w14:paraId="5AD06D82" w14:textId="77777777" w:rsidTr="00E31E69">
        <w:tc>
          <w:tcPr>
            <w:tcW w:w="9752" w:type="dxa"/>
            <w:gridSpan w:val="3"/>
            <w:tcBorders>
              <w:top w:val="single" w:sz="4" w:space="0" w:color="BFBFBF"/>
              <w:left w:val="single" w:sz="4" w:space="0" w:color="BFBFBF"/>
              <w:bottom w:val="single" w:sz="4" w:space="0" w:color="808080"/>
              <w:right w:val="single" w:sz="4" w:space="0" w:color="BFBFBF"/>
            </w:tcBorders>
            <w:shd w:val="clear" w:color="auto" w:fill="C8501E"/>
            <w:tcMar>
              <w:left w:w="83" w:type="dxa"/>
            </w:tcMar>
          </w:tcPr>
          <w:p w14:paraId="6E072F4E" w14:textId="77777777" w:rsidR="004976E9" w:rsidRPr="00273ED1" w:rsidRDefault="004976E9" w:rsidP="00E31E69">
            <w:pPr>
              <w:tabs>
                <w:tab w:val="left" w:pos="0"/>
              </w:tabs>
              <w:jc w:val="center"/>
              <w:rPr>
                <w:rFonts w:ascii="Arial" w:hAnsi="Arial" w:cs="Arial"/>
                <w:b/>
                <w:color w:val="FFFFFF" w:themeColor="background1"/>
                <w:sz w:val="15"/>
                <w:szCs w:val="15"/>
              </w:rPr>
            </w:pPr>
          </w:p>
          <w:p w14:paraId="24AEA3D8" w14:textId="77777777" w:rsidR="004976E9" w:rsidRPr="00273ED1" w:rsidRDefault="004976E9" w:rsidP="00E31E69">
            <w:pPr>
              <w:tabs>
                <w:tab w:val="left" w:pos="0"/>
              </w:tabs>
              <w:jc w:val="center"/>
              <w:rPr>
                <w:sz w:val="15"/>
                <w:szCs w:val="15"/>
              </w:rPr>
            </w:pPr>
            <w:r w:rsidRPr="00273ED1">
              <w:rPr>
                <w:rFonts w:ascii="Arial" w:hAnsi="Arial" w:cs="Arial"/>
                <w:b/>
                <w:bCs/>
                <w:color w:val="FFFFFF" w:themeColor="background1"/>
                <w:sz w:val="15"/>
                <w:szCs w:val="15"/>
              </w:rPr>
              <w:t>Sezione A — Introduzione e avvertenze</w:t>
            </w:r>
          </w:p>
        </w:tc>
      </w:tr>
      <w:tr w:rsidR="004976E9" w:rsidRPr="00273ED1" w14:paraId="7B93C656" w14:textId="77777777" w:rsidTr="00E31E69">
        <w:tc>
          <w:tcPr>
            <w:tcW w:w="706" w:type="dxa"/>
            <w:tcBorders>
              <w:top w:val="single" w:sz="4" w:space="0" w:color="808080"/>
              <w:left w:val="single" w:sz="4" w:space="0" w:color="BFBFBF"/>
              <w:bottom w:val="single" w:sz="4" w:space="0" w:color="808080"/>
              <w:right w:val="single" w:sz="4" w:space="0" w:color="808080"/>
            </w:tcBorders>
            <w:shd w:val="clear" w:color="auto" w:fill="auto"/>
            <w:tcMar>
              <w:left w:w="83" w:type="dxa"/>
            </w:tcMar>
          </w:tcPr>
          <w:p w14:paraId="0905FE7B" w14:textId="77777777" w:rsidR="004976E9" w:rsidRPr="00273ED1" w:rsidRDefault="004976E9" w:rsidP="00E31E69">
            <w:pPr>
              <w:rPr>
                <w:sz w:val="15"/>
                <w:szCs w:val="15"/>
              </w:rPr>
            </w:pPr>
            <w:r w:rsidRPr="00273ED1">
              <w:rPr>
                <w:rFonts w:ascii="Arial" w:hAnsi="Arial" w:cs="Arial"/>
                <w:i/>
                <w:iCs/>
                <w:sz w:val="15"/>
                <w:szCs w:val="15"/>
              </w:rPr>
              <w:t>Ele-mento</w:t>
            </w:r>
          </w:p>
        </w:tc>
        <w:tc>
          <w:tcPr>
            <w:tcW w:w="1553" w:type="dxa"/>
            <w:tcBorders>
              <w:top w:val="single" w:sz="4" w:space="0" w:color="808080"/>
              <w:left w:val="single" w:sz="4" w:space="0" w:color="808080"/>
              <w:bottom w:val="single" w:sz="4" w:space="0" w:color="808080"/>
              <w:right w:val="single" w:sz="4" w:space="0" w:color="808080"/>
            </w:tcBorders>
            <w:shd w:val="clear" w:color="auto" w:fill="auto"/>
            <w:tcMar>
              <w:left w:w="83" w:type="dxa"/>
            </w:tcMar>
          </w:tcPr>
          <w:p w14:paraId="46005786" w14:textId="77777777" w:rsidR="004976E9" w:rsidRPr="00273ED1" w:rsidRDefault="004976E9" w:rsidP="00E31E69">
            <w:pPr>
              <w:rPr>
                <w:sz w:val="15"/>
                <w:szCs w:val="15"/>
              </w:rPr>
            </w:pPr>
            <w:r w:rsidRPr="00273ED1">
              <w:rPr>
                <w:rFonts w:ascii="Arial" w:hAnsi="Arial" w:cs="Arial"/>
                <w:i/>
                <w:iCs/>
                <w:sz w:val="15"/>
                <w:szCs w:val="15"/>
              </w:rPr>
              <w:t>Titolo</w:t>
            </w:r>
          </w:p>
        </w:tc>
        <w:tc>
          <w:tcPr>
            <w:tcW w:w="7493" w:type="dxa"/>
            <w:tcBorders>
              <w:top w:val="single" w:sz="4" w:space="0" w:color="808080"/>
              <w:left w:val="single" w:sz="4" w:space="0" w:color="808080"/>
              <w:bottom w:val="single" w:sz="4" w:space="0" w:color="808080"/>
              <w:right w:val="single" w:sz="4" w:space="0" w:color="BFBFBF"/>
            </w:tcBorders>
            <w:shd w:val="clear" w:color="auto" w:fill="auto"/>
            <w:tcMar>
              <w:left w:w="83" w:type="dxa"/>
            </w:tcMar>
          </w:tcPr>
          <w:p w14:paraId="162A9B48" w14:textId="77777777" w:rsidR="004976E9" w:rsidRPr="00273ED1" w:rsidRDefault="004976E9" w:rsidP="00E31E69">
            <w:pPr>
              <w:rPr>
                <w:sz w:val="15"/>
                <w:szCs w:val="15"/>
              </w:rPr>
            </w:pPr>
            <w:r w:rsidRPr="00273ED1">
              <w:rPr>
                <w:rFonts w:ascii="Arial" w:hAnsi="Arial" w:cs="Arial"/>
                <w:i/>
                <w:iCs/>
                <w:sz w:val="15"/>
                <w:szCs w:val="15"/>
              </w:rPr>
              <w:t>Informazione</w:t>
            </w:r>
          </w:p>
        </w:tc>
      </w:tr>
      <w:tr w:rsidR="004976E9" w:rsidRPr="00273ED1" w14:paraId="527E9456" w14:textId="77777777" w:rsidTr="00E31E69">
        <w:tc>
          <w:tcPr>
            <w:tcW w:w="706" w:type="dxa"/>
            <w:tcBorders>
              <w:top w:val="single" w:sz="4" w:space="0" w:color="808080"/>
              <w:left w:val="single" w:sz="4" w:space="0" w:color="BFBFBF"/>
              <w:bottom w:val="single" w:sz="4" w:space="0" w:color="808080"/>
              <w:right w:val="single" w:sz="4" w:space="0" w:color="808080"/>
            </w:tcBorders>
            <w:shd w:val="clear" w:color="auto" w:fill="auto"/>
            <w:tcMar>
              <w:left w:w="83" w:type="dxa"/>
            </w:tcMar>
          </w:tcPr>
          <w:p w14:paraId="6F2CBF62" w14:textId="77777777" w:rsidR="004976E9" w:rsidRPr="00273ED1" w:rsidRDefault="004976E9" w:rsidP="00E31E69">
            <w:pPr>
              <w:rPr>
                <w:rFonts w:ascii="Arial" w:hAnsi="Arial" w:cs="Arial"/>
                <w:sz w:val="15"/>
                <w:szCs w:val="15"/>
              </w:rPr>
            </w:pPr>
            <w:r w:rsidRPr="00273ED1">
              <w:rPr>
                <w:rFonts w:ascii="Arial" w:hAnsi="Arial" w:cs="Arial"/>
                <w:sz w:val="15"/>
                <w:szCs w:val="15"/>
              </w:rPr>
              <w:t>A.1</w:t>
            </w:r>
          </w:p>
        </w:tc>
        <w:tc>
          <w:tcPr>
            <w:tcW w:w="1553" w:type="dxa"/>
            <w:tcBorders>
              <w:top w:val="single" w:sz="4" w:space="0" w:color="808080"/>
              <w:left w:val="single" w:sz="4" w:space="0" w:color="808080"/>
              <w:bottom w:val="single" w:sz="4" w:space="0" w:color="808080"/>
              <w:right w:val="single" w:sz="4" w:space="0" w:color="808080"/>
            </w:tcBorders>
            <w:shd w:val="clear" w:color="auto" w:fill="auto"/>
            <w:tcMar>
              <w:left w:w="83" w:type="dxa"/>
            </w:tcMar>
          </w:tcPr>
          <w:p w14:paraId="22B71368" w14:textId="77777777" w:rsidR="004976E9" w:rsidRPr="00273ED1" w:rsidRDefault="004976E9" w:rsidP="00E31E69">
            <w:pPr>
              <w:rPr>
                <w:sz w:val="15"/>
                <w:szCs w:val="15"/>
              </w:rPr>
            </w:pPr>
            <w:r w:rsidRPr="00273ED1">
              <w:rPr>
                <w:rFonts w:ascii="Arial" w:hAnsi="Arial" w:cs="Arial"/>
                <w:sz w:val="15"/>
                <w:szCs w:val="15"/>
              </w:rPr>
              <w:t>Introduzione e avvertenze</w:t>
            </w:r>
          </w:p>
        </w:tc>
        <w:tc>
          <w:tcPr>
            <w:tcW w:w="7493" w:type="dxa"/>
            <w:tcBorders>
              <w:top w:val="single" w:sz="4" w:space="0" w:color="808080"/>
              <w:left w:val="single" w:sz="4" w:space="0" w:color="808080"/>
              <w:bottom w:val="single" w:sz="4" w:space="0" w:color="808080"/>
              <w:right w:val="single" w:sz="4" w:space="0" w:color="BFBFBF"/>
            </w:tcBorders>
            <w:shd w:val="clear" w:color="auto" w:fill="auto"/>
            <w:tcMar>
              <w:left w:w="83" w:type="dxa"/>
            </w:tcMar>
          </w:tcPr>
          <w:p w14:paraId="6470398C" w14:textId="3C3F4B0E" w:rsidR="004976E9" w:rsidRPr="00273ED1" w:rsidRDefault="004976E9" w:rsidP="00E31E69">
            <w:pPr>
              <w:jc w:val="both"/>
              <w:rPr>
                <w:sz w:val="15"/>
                <w:szCs w:val="15"/>
              </w:rPr>
            </w:pPr>
            <w:r w:rsidRPr="00273ED1">
              <w:rPr>
                <w:rFonts w:ascii="Arial" w:hAnsi="Arial" w:cs="Arial"/>
                <w:sz w:val="15"/>
                <w:szCs w:val="15"/>
              </w:rPr>
              <w:t>La presente Nota di Sintesi non costituisce il prospetto per l'off</w:t>
            </w:r>
            <w:r w:rsidR="0092354B" w:rsidRPr="00273ED1">
              <w:rPr>
                <w:rFonts w:ascii="Arial" w:hAnsi="Arial" w:cs="Arial"/>
                <w:sz w:val="15"/>
                <w:szCs w:val="15"/>
              </w:rPr>
              <w:t xml:space="preserve">erta pubblica di un massimo di </w:t>
            </w:r>
            <w:r w:rsidR="00641BE9" w:rsidRPr="00273ED1">
              <w:rPr>
                <w:rFonts w:ascii="Arial" w:hAnsi="Arial" w:cs="Arial"/>
                <w:sz w:val="15"/>
                <w:szCs w:val="15"/>
              </w:rPr>
              <w:t>6</w:t>
            </w:r>
            <w:r w:rsidRPr="00273ED1">
              <w:rPr>
                <w:rFonts w:ascii="Arial" w:hAnsi="Arial" w:cs="Arial"/>
                <w:sz w:val="15"/>
                <w:szCs w:val="15"/>
              </w:rPr>
              <w:t>.000.000 di azioni della Società con codice ISIN EE3100006040 (le “</w:t>
            </w:r>
            <w:r w:rsidRPr="00273ED1">
              <w:rPr>
                <w:rFonts w:ascii="Arial" w:hAnsi="Arial" w:cs="Arial"/>
                <w:b/>
                <w:bCs/>
                <w:sz w:val="15"/>
                <w:szCs w:val="15"/>
              </w:rPr>
              <w:t>Azioni</w:t>
            </w:r>
            <w:r w:rsidRPr="00273ED1">
              <w:rPr>
                <w:rFonts w:ascii="Arial" w:hAnsi="Arial" w:cs="Arial"/>
                <w:sz w:val="15"/>
                <w:szCs w:val="15"/>
              </w:rPr>
              <w:t>”) da emettere ai sensi della delibera del Consiglio di sorveglianza della Società</w:t>
            </w:r>
            <w:r w:rsidR="00124BDF" w:rsidRPr="00273ED1">
              <w:rPr>
                <w:rFonts w:ascii="Arial" w:hAnsi="Arial" w:cs="Arial"/>
                <w:sz w:val="15"/>
                <w:szCs w:val="15"/>
              </w:rPr>
              <w:t xml:space="preserve"> (il “</w:t>
            </w:r>
            <w:r w:rsidR="00124BDF" w:rsidRPr="00273ED1">
              <w:rPr>
                <w:rFonts w:ascii="Arial" w:hAnsi="Arial" w:cs="Arial"/>
                <w:b/>
                <w:sz w:val="15"/>
                <w:szCs w:val="15"/>
              </w:rPr>
              <w:t>Consiglio di Sorveglianza</w:t>
            </w:r>
            <w:r w:rsidR="00124BDF" w:rsidRPr="00273ED1">
              <w:rPr>
                <w:rFonts w:ascii="Arial" w:hAnsi="Arial" w:cs="Arial"/>
                <w:sz w:val="15"/>
                <w:szCs w:val="15"/>
              </w:rPr>
              <w:t>”)</w:t>
            </w:r>
            <w:r w:rsidRPr="00273ED1">
              <w:rPr>
                <w:rFonts w:ascii="Arial" w:hAnsi="Arial" w:cs="Arial"/>
                <w:sz w:val="15"/>
                <w:szCs w:val="15"/>
              </w:rPr>
              <w:t>,  (l'”</w:t>
            </w:r>
            <w:r w:rsidRPr="00273ED1">
              <w:rPr>
                <w:rFonts w:ascii="Arial" w:hAnsi="Arial" w:cs="Arial"/>
                <w:b/>
                <w:bCs/>
                <w:sz w:val="15"/>
                <w:szCs w:val="15"/>
              </w:rPr>
              <w:t>Offerta</w:t>
            </w:r>
            <w:r w:rsidRPr="00273ED1">
              <w:rPr>
                <w:rFonts w:ascii="Arial" w:hAnsi="Arial" w:cs="Arial"/>
                <w:sz w:val="15"/>
                <w:szCs w:val="15"/>
              </w:rPr>
              <w:t xml:space="preserve">”), e per l'ammissione delle Azioni alla negoziazione sulla </w:t>
            </w:r>
            <w:r w:rsidRPr="00273ED1">
              <w:rPr>
                <w:rFonts w:ascii="Arial" w:hAnsi="Arial" w:cs="Arial"/>
                <w:i/>
                <w:iCs/>
                <w:sz w:val="15"/>
                <w:szCs w:val="15"/>
              </w:rPr>
              <w:t>Secondary List</w:t>
            </w:r>
            <w:r w:rsidRPr="00273ED1">
              <w:rPr>
                <w:rFonts w:ascii="Arial" w:hAnsi="Arial" w:cs="Arial"/>
                <w:sz w:val="15"/>
                <w:szCs w:val="15"/>
              </w:rPr>
              <w:t xml:space="preserve"> del </w:t>
            </w:r>
            <w:r w:rsidRPr="00273ED1">
              <w:rPr>
                <w:rFonts w:ascii="Arial" w:hAnsi="Arial" w:cs="Arial"/>
                <w:i/>
                <w:iCs/>
                <w:sz w:val="15"/>
                <w:szCs w:val="15"/>
              </w:rPr>
              <w:t xml:space="preserve">Nasdaq </w:t>
            </w:r>
            <w:r w:rsidR="00124BDF" w:rsidRPr="00273ED1">
              <w:rPr>
                <w:rFonts w:ascii="Arial" w:hAnsi="Arial" w:cs="Arial"/>
                <w:iCs/>
                <w:sz w:val="15"/>
                <w:szCs w:val="15"/>
              </w:rPr>
              <w:t>Tallin</w:t>
            </w:r>
            <w:r w:rsidR="00645C62" w:rsidRPr="00273ED1">
              <w:rPr>
                <w:rFonts w:ascii="Arial" w:hAnsi="Arial" w:cs="Arial"/>
                <w:iCs/>
                <w:sz w:val="15"/>
                <w:szCs w:val="15"/>
              </w:rPr>
              <w:t>n</w:t>
            </w:r>
            <w:r w:rsidRPr="00273ED1">
              <w:rPr>
                <w:rFonts w:ascii="Arial" w:hAnsi="Arial" w:cs="Arial"/>
                <w:sz w:val="15"/>
                <w:szCs w:val="15"/>
              </w:rPr>
              <w:t>, un mercato regolamentato operato da Nasdaq Tallinn AS (l'”</w:t>
            </w:r>
            <w:r w:rsidRPr="00273ED1">
              <w:rPr>
                <w:rFonts w:ascii="Arial" w:hAnsi="Arial" w:cs="Arial"/>
                <w:b/>
                <w:bCs/>
                <w:sz w:val="15"/>
                <w:szCs w:val="15"/>
              </w:rPr>
              <w:t>Ammissione</w:t>
            </w:r>
            <w:r w:rsidRPr="00273ED1">
              <w:rPr>
                <w:rFonts w:ascii="Arial" w:hAnsi="Arial" w:cs="Arial"/>
                <w:sz w:val="15"/>
                <w:szCs w:val="15"/>
              </w:rPr>
              <w:t xml:space="preserve">”) e deve essere letta soltanto come un'introduzione a tale prospetto. La presente Nota di Sintesi descrive i fatti e le circostanze che la Società considera importanti relativamente all'attività della stessa, all'Offerta e all'Ammissione, ed è una sintesi di alcune informazioni che sono illustrate con maggiori dettagli all'interno del Prospetto. Ogni Investitore dovrà basare la propria eventuale decisione di investire nelle Azioni sul Prospetto nella sua interezza (compresi eventuali modifiche o integrazioni allo stesso) e non solamente sulla presente nota di sintesi. </w:t>
            </w:r>
          </w:p>
          <w:p w14:paraId="405C959D" w14:textId="77777777" w:rsidR="004976E9" w:rsidRPr="00273ED1" w:rsidRDefault="004976E9" w:rsidP="00E31E69">
            <w:pPr>
              <w:jc w:val="both"/>
              <w:rPr>
                <w:rFonts w:ascii="Arial" w:hAnsi="Arial" w:cs="Arial"/>
                <w:sz w:val="15"/>
                <w:szCs w:val="15"/>
              </w:rPr>
            </w:pPr>
          </w:p>
          <w:p w14:paraId="3AE47523" w14:textId="77777777" w:rsidR="004976E9" w:rsidRPr="00273ED1" w:rsidRDefault="004976E9" w:rsidP="00E31E69">
            <w:pPr>
              <w:jc w:val="both"/>
              <w:rPr>
                <w:sz w:val="15"/>
                <w:szCs w:val="15"/>
              </w:rPr>
            </w:pPr>
            <w:r w:rsidRPr="00273ED1">
              <w:rPr>
                <w:rFonts w:ascii="Arial" w:hAnsi="Arial" w:cs="Arial"/>
                <w:sz w:val="15"/>
                <w:szCs w:val="15"/>
              </w:rPr>
              <w:t>I potenziali investitori sono avvertiti del fatto che qualora sia presentato un ricorso dinanzi all'autorità giudiziaria in merito alle informazioni contenute nel Prospetto (o nella presente Nota di Sintesi) l'investitore ricorrente potrebbe essere tenuto, a norma del diritto nazionale dello specifico Stato membro, a sostenere le spese di traduzione del Prospetto prima dell'inizio del giudizio. La Società accetta la responsabilità civile relativa alla presente Nota di Sintesi (comprese le sue eventuali traduzioni) solamente se la presente Nota di Sintesi risulti fuorviante, imprecisa o incoerente se letta insieme con l'intero Prospetto o non offra, se letta insieme con le altre parti del Prospetto, le informazioni fondamentali per aiutare gli investitori al momento di valutare l'opportunità di investire nelle azioni della Società.</w:t>
            </w:r>
          </w:p>
          <w:p w14:paraId="696E9608" w14:textId="77777777" w:rsidR="004976E9" w:rsidRPr="00273ED1" w:rsidRDefault="004976E9" w:rsidP="00E31E69">
            <w:pPr>
              <w:jc w:val="both"/>
              <w:rPr>
                <w:rFonts w:ascii="Arial" w:hAnsi="Arial" w:cs="Arial"/>
                <w:sz w:val="15"/>
                <w:szCs w:val="15"/>
              </w:rPr>
            </w:pPr>
          </w:p>
        </w:tc>
      </w:tr>
      <w:tr w:rsidR="004976E9" w:rsidRPr="00273ED1" w14:paraId="53421CDD" w14:textId="77777777" w:rsidTr="00E31E69">
        <w:tc>
          <w:tcPr>
            <w:tcW w:w="706" w:type="dxa"/>
            <w:tcBorders>
              <w:top w:val="single" w:sz="4" w:space="0" w:color="808080"/>
              <w:left w:val="single" w:sz="4" w:space="0" w:color="BFBFBF"/>
              <w:bottom w:val="single" w:sz="4" w:space="0" w:color="808080"/>
              <w:right w:val="single" w:sz="4" w:space="0" w:color="808080"/>
            </w:tcBorders>
            <w:shd w:val="clear" w:color="auto" w:fill="auto"/>
            <w:tcMar>
              <w:left w:w="83" w:type="dxa"/>
            </w:tcMar>
          </w:tcPr>
          <w:p w14:paraId="5D0D8281" w14:textId="77777777" w:rsidR="004976E9" w:rsidRPr="00273ED1" w:rsidRDefault="004976E9" w:rsidP="00E31E69">
            <w:pPr>
              <w:rPr>
                <w:rFonts w:ascii="Arial" w:hAnsi="Arial" w:cs="Arial"/>
                <w:sz w:val="15"/>
                <w:szCs w:val="15"/>
              </w:rPr>
            </w:pPr>
            <w:r w:rsidRPr="00273ED1">
              <w:rPr>
                <w:rFonts w:ascii="Arial" w:hAnsi="Arial" w:cs="Arial"/>
                <w:sz w:val="15"/>
                <w:szCs w:val="15"/>
              </w:rPr>
              <w:t>A.2</w:t>
            </w:r>
          </w:p>
        </w:tc>
        <w:tc>
          <w:tcPr>
            <w:tcW w:w="1553" w:type="dxa"/>
            <w:tcBorders>
              <w:top w:val="single" w:sz="4" w:space="0" w:color="808080"/>
              <w:left w:val="single" w:sz="4" w:space="0" w:color="808080"/>
              <w:bottom w:val="single" w:sz="4" w:space="0" w:color="808080"/>
              <w:right w:val="single" w:sz="4" w:space="0" w:color="808080"/>
            </w:tcBorders>
            <w:shd w:val="clear" w:color="auto" w:fill="auto"/>
            <w:tcMar>
              <w:left w:w="83" w:type="dxa"/>
            </w:tcMar>
          </w:tcPr>
          <w:p w14:paraId="6A5471D7" w14:textId="77777777" w:rsidR="004976E9" w:rsidRPr="00273ED1" w:rsidRDefault="004976E9" w:rsidP="00E31E69">
            <w:pPr>
              <w:rPr>
                <w:rFonts w:ascii="Arial" w:hAnsi="Arial" w:cs="Arial"/>
                <w:sz w:val="15"/>
                <w:szCs w:val="15"/>
              </w:rPr>
            </w:pPr>
          </w:p>
        </w:tc>
        <w:tc>
          <w:tcPr>
            <w:tcW w:w="7493" w:type="dxa"/>
            <w:tcBorders>
              <w:top w:val="single" w:sz="4" w:space="0" w:color="808080"/>
              <w:left w:val="single" w:sz="4" w:space="0" w:color="808080"/>
              <w:bottom w:val="single" w:sz="4" w:space="0" w:color="808080"/>
              <w:right w:val="single" w:sz="4" w:space="0" w:color="BFBFBF"/>
            </w:tcBorders>
            <w:shd w:val="clear" w:color="auto" w:fill="auto"/>
            <w:tcMar>
              <w:left w:w="83" w:type="dxa"/>
            </w:tcMar>
          </w:tcPr>
          <w:p w14:paraId="44A04349" w14:textId="77777777" w:rsidR="004976E9" w:rsidRPr="00273ED1" w:rsidRDefault="004976E9" w:rsidP="00E31E69">
            <w:pPr>
              <w:jc w:val="both"/>
              <w:rPr>
                <w:sz w:val="15"/>
                <w:szCs w:val="15"/>
              </w:rPr>
            </w:pPr>
            <w:r w:rsidRPr="00273ED1">
              <w:rPr>
                <w:rFonts w:ascii="Arial" w:hAnsi="Arial" w:cs="Arial"/>
                <w:sz w:val="15"/>
                <w:szCs w:val="15"/>
              </w:rPr>
              <w:t>Non applicabile.</w:t>
            </w:r>
          </w:p>
        </w:tc>
      </w:tr>
      <w:tr w:rsidR="004976E9" w:rsidRPr="00273ED1" w14:paraId="2978F63C" w14:textId="77777777" w:rsidTr="00E31E69">
        <w:tc>
          <w:tcPr>
            <w:tcW w:w="9752" w:type="dxa"/>
            <w:gridSpan w:val="3"/>
            <w:tcBorders>
              <w:top w:val="single" w:sz="4" w:space="0" w:color="808080"/>
              <w:left w:val="single" w:sz="4" w:space="0" w:color="BFBFBF"/>
              <w:bottom w:val="single" w:sz="4" w:space="0" w:color="808080"/>
              <w:right w:val="single" w:sz="4" w:space="0" w:color="BFBFBF"/>
            </w:tcBorders>
            <w:shd w:val="clear" w:color="auto" w:fill="C8501E"/>
            <w:tcMar>
              <w:left w:w="83" w:type="dxa"/>
            </w:tcMar>
          </w:tcPr>
          <w:p w14:paraId="2A5A1FDB" w14:textId="77777777" w:rsidR="004976E9" w:rsidRPr="00273ED1" w:rsidRDefault="004976E9" w:rsidP="00E31E69">
            <w:pPr>
              <w:jc w:val="center"/>
              <w:rPr>
                <w:rFonts w:ascii="Arial" w:hAnsi="Arial" w:cs="Arial"/>
                <w:b/>
                <w:color w:val="FFFFFF" w:themeColor="background1"/>
                <w:sz w:val="15"/>
                <w:szCs w:val="15"/>
              </w:rPr>
            </w:pPr>
          </w:p>
          <w:p w14:paraId="5E84D8AB" w14:textId="77777777" w:rsidR="004976E9" w:rsidRPr="00273ED1" w:rsidRDefault="004976E9" w:rsidP="00E31E69">
            <w:pPr>
              <w:jc w:val="center"/>
              <w:rPr>
                <w:sz w:val="15"/>
                <w:szCs w:val="15"/>
              </w:rPr>
            </w:pPr>
            <w:r w:rsidRPr="00273ED1">
              <w:rPr>
                <w:rFonts w:ascii="Arial" w:hAnsi="Arial" w:cs="Arial"/>
                <w:b/>
                <w:bCs/>
                <w:color w:val="FFFFFF" w:themeColor="background1"/>
                <w:sz w:val="15"/>
                <w:szCs w:val="15"/>
              </w:rPr>
              <w:t>Sezione B — Emittente</w:t>
            </w:r>
          </w:p>
        </w:tc>
      </w:tr>
      <w:tr w:rsidR="004976E9" w:rsidRPr="00273ED1" w14:paraId="68FBC690" w14:textId="77777777" w:rsidTr="00E31E69">
        <w:tc>
          <w:tcPr>
            <w:tcW w:w="706" w:type="dxa"/>
            <w:tcBorders>
              <w:top w:val="single" w:sz="4" w:space="0" w:color="808080"/>
              <w:left w:val="single" w:sz="4" w:space="0" w:color="BFBFBF"/>
              <w:bottom w:val="single" w:sz="4" w:space="0" w:color="808080"/>
              <w:right w:val="single" w:sz="4" w:space="0" w:color="808080"/>
            </w:tcBorders>
            <w:shd w:val="clear" w:color="auto" w:fill="auto"/>
            <w:tcMar>
              <w:left w:w="83" w:type="dxa"/>
            </w:tcMar>
          </w:tcPr>
          <w:p w14:paraId="208B14AB" w14:textId="77777777" w:rsidR="004976E9" w:rsidRPr="00273ED1" w:rsidRDefault="004976E9" w:rsidP="00E31E69">
            <w:pPr>
              <w:rPr>
                <w:sz w:val="15"/>
                <w:szCs w:val="15"/>
              </w:rPr>
            </w:pPr>
            <w:r w:rsidRPr="00273ED1">
              <w:rPr>
                <w:rFonts w:ascii="Arial" w:hAnsi="Arial" w:cs="Arial"/>
                <w:i/>
                <w:iCs/>
                <w:sz w:val="15"/>
                <w:szCs w:val="15"/>
              </w:rPr>
              <w:t>Ele-mento</w:t>
            </w:r>
          </w:p>
        </w:tc>
        <w:tc>
          <w:tcPr>
            <w:tcW w:w="1553" w:type="dxa"/>
            <w:tcBorders>
              <w:top w:val="single" w:sz="4" w:space="0" w:color="808080"/>
              <w:left w:val="single" w:sz="4" w:space="0" w:color="808080"/>
              <w:bottom w:val="single" w:sz="4" w:space="0" w:color="808080"/>
              <w:right w:val="single" w:sz="4" w:space="0" w:color="808080"/>
            </w:tcBorders>
            <w:shd w:val="clear" w:color="auto" w:fill="auto"/>
            <w:tcMar>
              <w:left w:w="83" w:type="dxa"/>
            </w:tcMar>
          </w:tcPr>
          <w:p w14:paraId="12A4B8CB" w14:textId="77777777" w:rsidR="004976E9" w:rsidRPr="00273ED1" w:rsidRDefault="004976E9" w:rsidP="00E31E69">
            <w:pPr>
              <w:rPr>
                <w:sz w:val="15"/>
                <w:szCs w:val="15"/>
              </w:rPr>
            </w:pPr>
            <w:r w:rsidRPr="00273ED1">
              <w:rPr>
                <w:rFonts w:ascii="Arial" w:hAnsi="Arial" w:cs="Arial"/>
                <w:i/>
                <w:iCs/>
                <w:sz w:val="15"/>
                <w:szCs w:val="15"/>
              </w:rPr>
              <w:t>Titolo</w:t>
            </w:r>
          </w:p>
        </w:tc>
        <w:tc>
          <w:tcPr>
            <w:tcW w:w="7493" w:type="dxa"/>
            <w:tcBorders>
              <w:top w:val="single" w:sz="4" w:space="0" w:color="808080"/>
              <w:left w:val="single" w:sz="4" w:space="0" w:color="808080"/>
              <w:bottom w:val="single" w:sz="4" w:space="0" w:color="808080"/>
              <w:right w:val="single" w:sz="4" w:space="0" w:color="BFBFBF"/>
            </w:tcBorders>
            <w:shd w:val="clear" w:color="auto" w:fill="auto"/>
            <w:tcMar>
              <w:left w:w="83" w:type="dxa"/>
            </w:tcMar>
          </w:tcPr>
          <w:p w14:paraId="545200F6" w14:textId="77777777" w:rsidR="004976E9" w:rsidRPr="00273ED1" w:rsidRDefault="004976E9" w:rsidP="00E31E69">
            <w:pPr>
              <w:rPr>
                <w:sz w:val="15"/>
                <w:szCs w:val="15"/>
              </w:rPr>
            </w:pPr>
            <w:r w:rsidRPr="00273ED1">
              <w:rPr>
                <w:rFonts w:ascii="Arial" w:hAnsi="Arial" w:cs="Arial"/>
                <w:i/>
                <w:iCs/>
                <w:sz w:val="15"/>
                <w:szCs w:val="15"/>
              </w:rPr>
              <w:t>Informazione</w:t>
            </w:r>
          </w:p>
        </w:tc>
      </w:tr>
      <w:tr w:rsidR="004976E9" w:rsidRPr="00273ED1" w14:paraId="6477AA9C" w14:textId="77777777" w:rsidTr="00E31E69">
        <w:tc>
          <w:tcPr>
            <w:tcW w:w="706" w:type="dxa"/>
            <w:tcBorders>
              <w:top w:val="single" w:sz="4" w:space="0" w:color="808080"/>
              <w:left w:val="single" w:sz="4" w:space="0" w:color="BFBFBF"/>
              <w:bottom w:val="single" w:sz="4" w:space="0" w:color="808080"/>
              <w:right w:val="single" w:sz="4" w:space="0" w:color="808080"/>
            </w:tcBorders>
            <w:shd w:val="clear" w:color="auto" w:fill="auto"/>
            <w:tcMar>
              <w:left w:w="83" w:type="dxa"/>
            </w:tcMar>
          </w:tcPr>
          <w:p w14:paraId="1DFD836B" w14:textId="77777777" w:rsidR="004976E9" w:rsidRPr="00273ED1" w:rsidRDefault="004976E9" w:rsidP="00E31E69">
            <w:pPr>
              <w:rPr>
                <w:rFonts w:ascii="Arial" w:hAnsi="Arial" w:cs="Arial"/>
                <w:sz w:val="15"/>
                <w:szCs w:val="15"/>
              </w:rPr>
            </w:pPr>
            <w:r w:rsidRPr="00273ED1">
              <w:rPr>
                <w:rFonts w:ascii="Arial" w:hAnsi="Arial" w:cs="Arial"/>
                <w:sz w:val="15"/>
                <w:szCs w:val="15"/>
              </w:rPr>
              <w:t>B.1</w:t>
            </w:r>
          </w:p>
        </w:tc>
        <w:tc>
          <w:tcPr>
            <w:tcW w:w="1553" w:type="dxa"/>
            <w:tcBorders>
              <w:top w:val="single" w:sz="4" w:space="0" w:color="808080"/>
              <w:left w:val="single" w:sz="4" w:space="0" w:color="808080"/>
              <w:bottom w:val="single" w:sz="4" w:space="0" w:color="808080"/>
              <w:right w:val="single" w:sz="4" w:space="0" w:color="808080"/>
            </w:tcBorders>
            <w:shd w:val="clear" w:color="auto" w:fill="auto"/>
            <w:tcMar>
              <w:left w:w="83" w:type="dxa"/>
            </w:tcMar>
          </w:tcPr>
          <w:p w14:paraId="21A75213" w14:textId="77777777" w:rsidR="004976E9" w:rsidRPr="00273ED1" w:rsidRDefault="004976E9" w:rsidP="00E31E69">
            <w:pPr>
              <w:rPr>
                <w:sz w:val="15"/>
                <w:szCs w:val="15"/>
              </w:rPr>
            </w:pPr>
            <w:r w:rsidRPr="00273ED1">
              <w:rPr>
                <w:rFonts w:ascii="Arial" w:hAnsi="Arial" w:cs="Arial"/>
                <w:sz w:val="15"/>
                <w:szCs w:val="15"/>
              </w:rPr>
              <w:t>Denominazione legale e commerciale</w:t>
            </w:r>
          </w:p>
        </w:tc>
        <w:tc>
          <w:tcPr>
            <w:tcW w:w="7493" w:type="dxa"/>
            <w:tcBorders>
              <w:top w:val="single" w:sz="4" w:space="0" w:color="808080"/>
              <w:left w:val="single" w:sz="4" w:space="0" w:color="808080"/>
              <w:bottom w:val="single" w:sz="4" w:space="0" w:color="808080"/>
              <w:right w:val="single" w:sz="4" w:space="0" w:color="BFBFBF"/>
            </w:tcBorders>
            <w:shd w:val="clear" w:color="auto" w:fill="auto"/>
            <w:tcMar>
              <w:left w:w="83" w:type="dxa"/>
            </w:tcMar>
          </w:tcPr>
          <w:p w14:paraId="2B047134" w14:textId="77777777" w:rsidR="004976E9" w:rsidRPr="00273ED1" w:rsidRDefault="004976E9" w:rsidP="00E31E69">
            <w:pPr>
              <w:rPr>
                <w:sz w:val="15"/>
                <w:szCs w:val="15"/>
              </w:rPr>
            </w:pPr>
            <w:r w:rsidRPr="00273ED1">
              <w:rPr>
                <w:rFonts w:ascii="Arial" w:hAnsi="Arial" w:cs="Arial"/>
                <w:sz w:val="15"/>
                <w:szCs w:val="15"/>
              </w:rPr>
              <w:t>La denominazione legale (sociale) della Società è AS Pro Kapital Grupp.</w:t>
            </w:r>
          </w:p>
        </w:tc>
      </w:tr>
      <w:tr w:rsidR="004976E9" w:rsidRPr="00273ED1" w14:paraId="75BEB962" w14:textId="77777777" w:rsidTr="00E31E69">
        <w:tc>
          <w:tcPr>
            <w:tcW w:w="706" w:type="dxa"/>
            <w:tcBorders>
              <w:top w:val="single" w:sz="4" w:space="0" w:color="808080"/>
              <w:left w:val="single" w:sz="4" w:space="0" w:color="BFBFBF"/>
              <w:bottom w:val="single" w:sz="4" w:space="0" w:color="808080"/>
              <w:right w:val="single" w:sz="4" w:space="0" w:color="808080"/>
            </w:tcBorders>
            <w:shd w:val="clear" w:color="auto" w:fill="auto"/>
            <w:tcMar>
              <w:left w:w="83" w:type="dxa"/>
            </w:tcMar>
          </w:tcPr>
          <w:p w14:paraId="5DD910E4" w14:textId="77777777" w:rsidR="004976E9" w:rsidRPr="00273ED1" w:rsidRDefault="004976E9" w:rsidP="00E31E69">
            <w:pPr>
              <w:rPr>
                <w:rFonts w:ascii="Arial" w:hAnsi="Arial" w:cs="Arial"/>
                <w:sz w:val="15"/>
                <w:szCs w:val="15"/>
              </w:rPr>
            </w:pPr>
            <w:r w:rsidRPr="00273ED1">
              <w:rPr>
                <w:rFonts w:ascii="Arial" w:hAnsi="Arial" w:cs="Arial"/>
                <w:sz w:val="15"/>
                <w:szCs w:val="15"/>
              </w:rPr>
              <w:t>B.2</w:t>
            </w:r>
          </w:p>
        </w:tc>
        <w:tc>
          <w:tcPr>
            <w:tcW w:w="1553" w:type="dxa"/>
            <w:tcBorders>
              <w:top w:val="single" w:sz="4" w:space="0" w:color="808080"/>
              <w:left w:val="single" w:sz="4" w:space="0" w:color="808080"/>
              <w:bottom w:val="single" w:sz="4" w:space="0" w:color="808080"/>
              <w:right w:val="single" w:sz="4" w:space="0" w:color="808080"/>
            </w:tcBorders>
            <w:shd w:val="clear" w:color="auto" w:fill="auto"/>
            <w:tcMar>
              <w:left w:w="83" w:type="dxa"/>
            </w:tcMar>
          </w:tcPr>
          <w:p w14:paraId="6B69DC15" w14:textId="77777777" w:rsidR="004976E9" w:rsidRPr="00273ED1" w:rsidRDefault="004976E9" w:rsidP="00E31E69">
            <w:pPr>
              <w:rPr>
                <w:sz w:val="15"/>
                <w:szCs w:val="15"/>
              </w:rPr>
            </w:pPr>
            <w:r w:rsidRPr="00273ED1">
              <w:rPr>
                <w:rFonts w:ascii="Arial" w:hAnsi="Arial" w:cs="Arial"/>
                <w:sz w:val="15"/>
                <w:szCs w:val="15"/>
              </w:rPr>
              <w:t>Domicilio/ forma giuridica / legislazione / paese di costituzione</w:t>
            </w:r>
          </w:p>
        </w:tc>
        <w:tc>
          <w:tcPr>
            <w:tcW w:w="7493" w:type="dxa"/>
            <w:tcBorders>
              <w:top w:val="single" w:sz="4" w:space="0" w:color="808080"/>
              <w:left w:val="single" w:sz="4" w:space="0" w:color="808080"/>
              <w:bottom w:val="single" w:sz="4" w:space="0" w:color="808080"/>
              <w:right w:val="single" w:sz="4" w:space="0" w:color="BFBFBF"/>
            </w:tcBorders>
            <w:shd w:val="clear" w:color="auto" w:fill="auto"/>
            <w:tcMar>
              <w:left w:w="83" w:type="dxa"/>
            </w:tcMar>
          </w:tcPr>
          <w:p w14:paraId="572D08FD" w14:textId="559BC63A" w:rsidR="004976E9" w:rsidRPr="00273ED1" w:rsidRDefault="004976E9" w:rsidP="00E31E69">
            <w:pPr>
              <w:jc w:val="both"/>
              <w:rPr>
                <w:sz w:val="15"/>
                <w:szCs w:val="15"/>
              </w:rPr>
            </w:pPr>
            <w:r w:rsidRPr="00273ED1">
              <w:rPr>
                <w:rFonts w:ascii="Arial" w:hAnsi="Arial" w:cs="Arial"/>
                <w:sz w:val="15"/>
                <w:szCs w:val="15"/>
              </w:rPr>
              <w:t>La Società è una società per azioni (</w:t>
            </w:r>
            <w:r w:rsidRPr="00273ED1">
              <w:rPr>
                <w:rFonts w:ascii="Arial" w:hAnsi="Arial" w:cs="Arial"/>
                <w:i/>
                <w:sz w:val="15"/>
                <w:szCs w:val="15"/>
              </w:rPr>
              <w:t>aktsiaselts</w:t>
            </w:r>
            <w:r w:rsidRPr="00273ED1">
              <w:rPr>
                <w:rFonts w:ascii="Arial" w:hAnsi="Arial" w:cs="Arial"/>
                <w:sz w:val="15"/>
                <w:szCs w:val="15"/>
              </w:rPr>
              <w:t>) costituta ai sensi delle leggi della Repubblica d'Estonia. La Società è registrata presso il Registro delle Imprese estone (</w:t>
            </w:r>
            <w:r w:rsidRPr="00273ED1">
              <w:rPr>
                <w:rFonts w:ascii="Arial" w:hAnsi="Arial" w:cs="Arial"/>
                <w:i/>
                <w:sz w:val="15"/>
                <w:szCs w:val="15"/>
              </w:rPr>
              <w:t>äriregister</w:t>
            </w:r>
            <w:r w:rsidRPr="00273ED1">
              <w:rPr>
                <w:rFonts w:ascii="Arial" w:hAnsi="Arial" w:cs="Arial"/>
                <w:sz w:val="15"/>
                <w:szCs w:val="15"/>
              </w:rPr>
              <w:t>) (il “</w:t>
            </w:r>
            <w:r w:rsidRPr="00273ED1">
              <w:rPr>
                <w:rFonts w:ascii="Arial" w:hAnsi="Arial" w:cs="Arial"/>
                <w:b/>
                <w:sz w:val="15"/>
                <w:szCs w:val="15"/>
              </w:rPr>
              <w:t>Registro delle Imprese</w:t>
            </w:r>
            <w:r w:rsidRPr="00273ED1">
              <w:rPr>
                <w:rFonts w:ascii="Arial" w:hAnsi="Arial" w:cs="Arial"/>
                <w:sz w:val="15"/>
                <w:szCs w:val="15"/>
              </w:rPr>
              <w:t xml:space="preserve">”) e la sede legale è </w:t>
            </w:r>
            <w:r w:rsidR="001A3150" w:rsidRPr="00273ED1">
              <w:rPr>
                <w:rFonts w:ascii="Arial" w:hAnsi="Arial" w:cs="Arial"/>
                <w:sz w:val="15"/>
                <w:szCs w:val="15"/>
              </w:rPr>
              <w:t>a</w:t>
            </w:r>
            <w:r w:rsidRPr="00273ED1">
              <w:rPr>
                <w:rFonts w:ascii="Arial" w:hAnsi="Arial" w:cs="Arial"/>
                <w:sz w:val="15"/>
                <w:szCs w:val="15"/>
              </w:rPr>
              <w:t xml:space="preserve"> Sõjakooli n. 11, Tallinn, Estonia.</w:t>
            </w:r>
          </w:p>
        </w:tc>
      </w:tr>
      <w:tr w:rsidR="004976E9" w:rsidRPr="00273ED1" w14:paraId="6E8857AA" w14:textId="77777777" w:rsidTr="00E31E69">
        <w:tc>
          <w:tcPr>
            <w:tcW w:w="706" w:type="dxa"/>
            <w:tcBorders>
              <w:top w:val="single" w:sz="4" w:space="0" w:color="808080"/>
              <w:left w:val="single" w:sz="4" w:space="0" w:color="BFBFBF"/>
              <w:bottom w:val="single" w:sz="4" w:space="0" w:color="808080"/>
              <w:right w:val="single" w:sz="4" w:space="0" w:color="808080"/>
            </w:tcBorders>
            <w:shd w:val="clear" w:color="auto" w:fill="auto"/>
            <w:tcMar>
              <w:left w:w="83" w:type="dxa"/>
            </w:tcMar>
          </w:tcPr>
          <w:p w14:paraId="30DADEE3" w14:textId="77777777" w:rsidR="004976E9" w:rsidRPr="00273ED1" w:rsidRDefault="004976E9" w:rsidP="00E31E69">
            <w:pPr>
              <w:rPr>
                <w:rFonts w:ascii="Arial" w:hAnsi="Arial" w:cs="Arial"/>
                <w:sz w:val="15"/>
                <w:szCs w:val="15"/>
              </w:rPr>
            </w:pPr>
            <w:r w:rsidRPr="00273ED1">
              <w:rPr>
                <w:rFonts w:ascii="Arial" w:hAnsi="Arial" w:cs="Arial"/>
                <w:sz w:val="15"/>
                <w:szCs w:val="15"/>
              </w:rPr>
              <w:t>B.3</w:t>
            </w:r>
          </w:p>
        </w:tc>
        <w:tc>
          <w:tcPr>
            <w:tcW w:w="1553" w:type="dxa"/>
            <w:tcBorders>
              <w:top w:val="single" w:sz="4" w:space="0" w:color="808080"/>
              <w:left w:val="single" w:sz="4" w:space="0" w:color="808080"/>
              <w:bottom w:val="single" w:sz="4" w:space="0" w:color="808080"/>
              <w:right w:val="single" w:sz="4" w:space="0" w:color="808080"/>
            </w:tcBorders>
            <w:shd w:val="clear" w:color="auto" w:fill="auto"/>
            <w:tcMar>
              <w:left w:w="83" w:type="dxa"/>
            </w:tcMar>
          </w:tcPr>
          <w:p w14:paraId="57A56EB9" w14:textId="77777777" w:rsidR="004976E9" w:rsidRPr="00273ED1" w:rsidRDefault="004976E9" w:rsidP="00E31E69">
            <w:pPr>
              <w:rPr>
                <w:sz w:val="15"/>
                <w:szCs w:val="15"/>
              </w:rPr>
            </w:pPr>
            <w:r w:rsidRPr="00273ED1">
              <w:rPr>
                <w:rFonts w:ascii="Arial" w:hAnsi="Arial" w:cs="Arial"/>
                <w:sz w:val="15"/>
                <w:szCs w:val="15"/>
              </w:rPr>
              <w:t>Fattori chiave riguardanti le operazioni correnti, le attività principali, le principali categorie di prodotti venduti e servizi prestati. Mercati principali</w:t>
            </w:r>
          </w:p>
        </w:tc>
        <w:tc>
          <w:tcPr>
            <w:tcW w:w="7493" w:type="dxa"/>
            <w:tcBorders>
              <w:top w:val="single" w:sz="4" w:space="0" w:color="808080"/>
              <w:left w:val="single" w:sz="4" w:space="0" w:color="808080"/>
              <w:bottom w:val="single" w:sz="4" w:space="0" w:color="00000A"/>
              <w:right w:val="single" w:sz="4" w:space="0" w:color="BFBFBF"/>
            </w:tcBorders>
            <w:shd w:val="clear" w:color="auto" w:fill="auto"/>
            <w:tcMar>
              <w:left w:w="83" w:type="dxa"/>
            </w:tcMar>
          </w:tcPr>
          <w:p w14:paraId="00959B42" w14:textId="67EAFCDE" w:rsidR="004976E9" w:rsidRPr="00273ED1" w:rsidRDefault="004976E9" w:rsidP="00E31E69">
            <w:pPr>
              <w:jc w:val="both"/>
              <w:rPr>
                <w:sz w:val="15"/>
                <w:szCs w:val="15"/>
              </w:rPr>
            </w:pPr>
            <w:r w:rsidRPr="00273ED1">
              <w:rPr>
                <w:rFonts w:ascii="Arial" w:hAnsi="Arial" w:cs="Arial"/>
                <w:sz w:val="15"/>
                <w:szCs w:val="15"/>
                <w:lang w:eastAsia="lt-LT"/>
              </w:rPr>
              <w:t>La Società, unitamente alle sue controllate (il “</w:t>
            </w:r>
            <w:r w:rsidRPr="00273ED1">
              <w:rPr>
                <w:rFonts w:ascii="Arial" w:hAnsi="Arial" w:cs="Arial"/>
                <w:b/>
                <w:bCs/>
                <w:sz w:val="15"/>
                <w:szCs w:val="15"/>
                <w:lang w:eastAsia="lt-LT"/>
              </w:rPr>
              <w:t>Gruppo</w:t>
            </w:r>
            <w:r w:rsidR="00E31E69" w:rsidRPr="00273ED1">
              <w:rPr>
                <w:rFonts w:ascii="Arial" w:hAnsi="Arial" w:cs="Arial"/>
                <w:sz w:val="15"/>
                <w:szCs w:val="15"/>
                <w:lang w:eastAsia="lt-LT"/>
              </w:rPr>
              <w:t xml:space="preserve">”) </w:t>
            </w:r>
            <w:r w:rsidR="00502E46" w:rsidRPr="00273ED1">
              <w:rPr>
                <w:rFonts w:ascii="Arial" w:hAnsi="Arial" w:cs="Arial"/>
                <w:sz w:val="15"/>
                <w:szCs w:val="15"/>
                <w:lang w:eastAsia="lt-LT"/>
              </w:rPr>
              <w:t>è</w:t>
            </w:r>
            <w:r w:rsidR="005A7039" w:rsidRPr="00273ED1">
              <w:rPr>
                <w:rFonts w:ascii="Arial" w:hAnsi="Arial" w:cs="Arial"/>
                <w:sz w:val="15"/>
                <w:szCs w:val="15"/>
                <w:lang w:eastAsia="lt-LT"/>
              </w:rPr>
              <w:t xml:space="preserve"> </w:t>
            </w:r>
            <w:r w:rsidR="00502E46" w:rsidRPr="00273ED1">
              <w:rPr>
                <w:rFonts w:ascii="Arial" w:hAnsi="Arial" w:cs="Arial"/>
                <w:sz w:val="15"/>
                <w:szCs w:val="15"/>
                <w:lang w:eastAsia="lt-LT"/>
              </w:rPr>
              <w:t xml:space="preserve">attiva </w:t>
            </w:r>
            <w:r w:rsidRPr="00273ED1">
              <w:rPr>
                <w:rFonts w:ascii="Arial" w:hAnsi="Arial" w:cs="Arial"/>
                <w:sz w:val="15"/>
                <w:szCs w:val="15"/>
                <w:lang w:eastAsia="lt-LT"/>
              </w:rPr>
              <w:t>principalmente nello sviluppo e vendita di immobili residenziali e a destinazione privata, nell'affitto di proprietà a destinazione privata e di altre proprietà commerciali già sviluppate e nella gestione di</w:t>
            </w:r>
            <w:r w:rsidR="00EF77D8" w:rsidRPr="00273ED1">
              <w:rPr>
                <w:rFonts w:ascii="Arial" w:hAnsi="Arial" w:cs="Arial"/>
                <w:sz w:val="15"/>
                <w:szCs w:val="15"/>
                <w:lang w:eastAsia="lt-LT"/>
              </w:rPr>
              <w:t xml:space="preserve"> un</w:t>
            </w:r>
            <w:r w:rsidRPr="00273ED1">
              <w:rPr>
                <w:rFonts w:ascii="Arial" w:hAnsi="Arial" w:cs="Arial"/>
                <w:sz w:val="15"/>
                <w:szCs w:val="15"/>
                <w:lang w:eastAsia="lt-LT"/>
              </w:rPr>
              <w:t xml:space="preserve"> hotel</w:t>
            </w:r>
            <w:r w:rsidR="00EF77D8" w:rsidRPr="00273ED1">
              <w:rPr>
                <w:rFonts w:ascii="Arial" w:hAnsi="Arial" w:cs="Arial"/>
                <w:sz w:val="15"/>
                <w:szCs w:val="15"/>
                <w:lang w:eastAsia="lt-LT"/>
              </w:rPr>
              <w:t xml:space="preserve"> in Germania</w:t>
            </w:r>
            <w:r w:rsidRPr="00273ED1">
              <w:rPr>
                <w:rFonts w:ascii="Arial" w:hAnsi="Arial" w:cs="Arial"/>
                <w:sz w:val="15"/>
                <w:szCs w:val="15"/>
                <w:lang w:eastAsia="lt-LT"/>
              </w:rPr>
              <w:t xml:space="preserve">. Il portafoglio immobiliare è collocato a Tallinn, Riga e Vilnius, eccettuato un hotel a Bad Kreuznach, Germania. L’ operatività del Gruppo è spalmata su quattro segmenti geografici: Estonia, Lettonia, Lituania, e Germania. L’ operatività del Gruppo in: </w:t>
            </w:r>
          </w:p>
          <w:p w14:paraId="0671E39C" w14:textId="226A986F" w:rsidR="004976E9" w:rsidRPr="00273ED1" w:rsidRDefault="004976E9" w:rsidP="00E31E69">
            <w:pPr>
              <w:pStyle w:val="ListParagraph"/>
              <w:numPr>
                <w:ilvl w:val="1"/>
                <w:numId w:val="5"/>
              </w:numPr>
              <w:spacing w:after="0" w:line="240" w:lineRule="auto"/>
              <w:ind w:left="315" w:hanging="284"/>
              <w:jc w:val="both"/>
              <w:rPr>
                <w:color w:val="000000" w:themeColor="text1"/>
                <w:sz w:val="15"/>
                <w:szCs w:val="15"/>
              </w:rPr>
            </w:pPr>
            <w:r w:rsidRPr="00273ED1">
              <w:rPr>
                <w:rFonts w:ascii="Arial" w:hAnsi="Arial" w:cs="Arial"/>
                <w:sz w:val="15"/>
                <w:szCs w:val="15"/>
                <w:lang w:val="it-IT" w:eastAsia="lt-LT"/>
              </w:rPr>
              <w:t>Estonia consiste principalmente nello sviluppo e vendita di appartamenti in proprietà immobiliari residenziali di lusso, sviluppo di locali ad uso abitativo e ufficio</w:t>
            </w:r>
            <w:r w:rsidRPr="00273ED1">
              <w:rPr>
                <w:rFonts w:ascii="Arial" w:hAnsi="Arial" w:cs="Arial"/>
                <w:color w:val="000000" w:themeColor="text1"/>
                <w:sz w:val="15"/>
                <w:szCs w:val="15"/>
                <w:lang w:val="it-IT" w:eastAsia="lt-LT"/>
              </w:rPr>
              <w:t xml:space="preserve">, e gestione di abitazioni e </w:t>
            </w:r>
            <w:r w:rsidR="00502E46" w:rsidRPr="00273ED1">
              <w:rPr>
                <w:rFonts w:ascii="Arial" w:hAnsi="Arial" w:cs="Arial"/>
                <w:color w:val="000000" w:themeColor="text1"/>
                <w:sz w:val="15"/>
                <w:szCs w:val="15"/>
                <w:lang w:val="it-IT" w:eastAsia="lt-LT"/>
              </w:rPr>
              <w:t xml:space="preserve">immobili </w:t>
            </w:r>
            <w:r w:rsidR="002B1344" w:rsidRPr="00273ED1">
              <w:rPr>
                <w:rFonts w:ascii="Arial" w:hAnsi="Arial" w:cs="Arial"/>
                <w:color w:val="000000" w:themeColor="text1"/>
                <w:sz w:val="15"/>
                <w:szCs w:val="15"/>
                <w:lang w:val="it-IT" w:eastAsia="lt-LT"/>
              </w:rPr>
              <w:t xml:space="preserve">ad uso </w:t>
            </w:r>
            <w:r w:rsidRPr="00273ED1">
              <w:rPr>
                <w:rFonts w:ascii="Arial" w:hAnsi="Arial" w:cs="Arial"/>
                <w:color w:val="000000" w:themeColor="text1"/>
                <w:sz w:val="15"/>
                <w:szCs w:val="15"/>
                <w:lang w:val="it-IT" w:eastAsia="lt-LT"/>
              </w:rPr>
              <w:t>uffici</w:t>
            </w:r>
            <w:r w:rsidR="002B1344" w:rsidRPr="00273ED1">
              <w:rPr>
                <w:rFonts w:ascii="Arial" w:hAnsi="Arial" w:cs="Arial"/>
                <w:color w:val="000000" w:themeColor="text1"/>
                <w:sz w:val="15"/>
                <w:szCs w:val="15"/>
                <w:lang w:val="it-IT" w:eastAsia="lt-LT"/>
              </w:rPr>
              <w:t>o</w:t>
            </w:r>
            <w:r w:rsidR="00F06F1D" w:rsidRPr="00273ED1">
              <w:rPr>
                <w:rFonts w:ascii="Arial" w:hAnsi="Arial" w:cs="Arial"/>
                <w:color w:val="000000" w:themeColor="text1"/>
                <w:sz w:val="15"/>
                <w:szCs w:val="15"/>
                <w:lang w:val="it-IT" w:eastAsia="lt-LT"/>
              </w:rPr>
              <w:t xml:space="preserve"> </w:t>
            </w:r>
            <w:r w:rsidRPr="00273ED1">
              <w:rPr>
                <w:rFonts w:ascii="Arial" w:hAnsi="Arial" w:cs="Arial"/>
                <w:color w:val="000000" w:themeColor="text1"/>
                <w:sz w:val="15"/>
                <w:szCs w:val="15"/>
                <w:lang w:val="it-IT" w:eastAsia="lt-LT"/>
              </w:rPr>
              <w:t>generanti flussi di cassa;</w:t>
            </w:r>
          </w:p>
          <w:p w14:paraId="5A3586BA" w14:textId="640D71A6" w:rsidR="004976E9" w:rsidRPr="00273ED1" w:rsidRDefault="004976E9" w:rsidP="00E31E69">
            <w:pPr>
              <w:pStyle w:val="ListParagraph"/>
              <w:numPr>
                <w:ilvl w:val="1"/>
                <w:numId w:val="5"/>
              </w:numPr>
              <w:spacing w:after="0" w:line="240" w:lineRule="auto"/>
              <w:ind w:left="315" w:hanging="284"/>
              <w:jc w:val="both"/>
              <w:rPr>
                <w:sz w:val="15"/>
                <w:szCs w:val="15"/>
              </w:rPr>
            </w:pPr>
            <w:r w:rsidRPr="00273ED1">
              <w:rPr>
                <w:rFonts w:ascii="Arial" w:hAnsi="Arial" w:cs="Arial"/>
                <w:sz w:val="15"/>
                <w:szCs w:val="15"/>
                <w:lang w:val="it-IT" w:eastAsia="lt-LT"/>
              </w:rPr>
              <w:t>Lettonia consiste principalmente nello sviluppo e vendita di appartamenti in proprietà immobilia</w:t>
            </w:r>
            <w:r w:rsidR="007E19BF" w:rsidRPr="00273ED1">
              <w:rPr>
                <w:rFonts w:ascii="Arial" w:hAnsi="Arial" w:cs="Arial"/>
                <w:sz w:val="15"/>
                <w:szCs w:val="15"/>
                <w:lang w:val="it-IT" w:eastAsia="lt-LT"/>
              </w:rPr>
              <w:t>ri residenziali di lusso,</w:t>
            </w:r>
            <w:r w:rsidRPr="00273ED1">
              <w:rPr>
                <w:rFonts w:ascii="Arial" w:hAnsi="Arial" w:cs="Arial"/>
                <w:sz w:val="15"/>
                <w:szCs w:val="15"/>
                <w:lang w:val="it-IT" w:eastAsia="lt-LT"/>
              </w:rPr>
              <w:t xml:space="preserve"> </w:t>
            </w:r>
            <w:r w:rsidR="00374DDF" w:rsidRPr="00273ED1">
              <w:rPr>
                <w:rFonts w:ascii="Arial" w:hAnsi="Arial" w:cs="Arial"/>
                <w:sz w:val="15"/>
                <w:szCs w:val="15"/>
                <w:lang w:val="it-IT" w:eastAsia="lt-LT"/>
              </w:rPr>
              <w:t xml:space="preserve">e </w:t>
            </w:r>
            <w:r w:rsidRPr="00273ED1">
              <w:rPr>
                <w:rFonts w:ascii="Arial" w:hAnsi="Arial" w:cs="Arial"/>
                <w:sz w:val="15"/>
                <w:szCs w:val="15"/>
                <w:lang w:val="it-IT" w:eastAsia="lt-LT"/>
              </w:rPr>
              <w:t xml:space="preserve">sviluppo e affitto di </w:t>
            </w:r>
            <w:r w:rsidR="00502E46" w:rsidRPr="00273ED1">
              <w:rPr>
                <w:rFonts w:ascii="Arial" w:hAnsi="Arial" w:cs="Arial"/>
                <w:sz w:val="15"/>
                <w:szCs w:val="15"/>
                <w:lang w:val="it-IT" w:eastAsia="lt-LT"/>
              </w:rPr>
              <w:t>immobili</w:t>
            </w:r>
            <w:r w:rsidRPr="00273ED1">
              <w:rPr>
                <w:rFonts w:ascii="Arial" w:hAnsi="Arial" w:cs="Arial"/>
                <w:sz w:val="15"/>
                <w:szCs w:val="15"/>
                <w:lang w:val="it-IT" w:eastAsia="lt-LT"/>
              </w:rPr>
              <w:t xml:space="preserve"> ad uso ufficio;</w:t>
            </w:r>
          </w:p>
          <w:p w14:paraId="527E759A" w14:textId="77777777" w:rsidR="004976E9" w:rsidRPr="00273ED1" w:rsidRDefault="004976E9" w:rsidP="00E31E69">
            <w:pPr>
              <w:pStyle w:val="ListParagraph"/>
              <w:numPr>
                <w:ilvl w:val="1"/>
                <w:numId w:val="5"/>
              </w:numPr>
              <w:spacing w:after="0" w:line="240" w:lineRule="auto"/>
              <w:ind w:left="315" w:hanging="284"/>
              <w:jc w:val="both"/>
              <w:rPr>
                <w:sz w:val="15"/>
                <w:szCs w:val="15"/>
              </w:rPr>
            </w:pPr>
            <w:r w:rsidRPr="00273ED1">
              <w:rPr>
                <w:rFonts w:ascii="Arial" w:hAnsi="Arial" w:cs="Arial"/>
                <w:sz w:val="15"/>
                <w:szCs w:val="15"/>
                <w:lang w:val="it-IT" w:eastAsia="lt-LT"/>
              </w:rPr>
              <w:t xml:space="preserve">Lituania consiste principalmente nello sviluppo e vendita di appartamenti in proprietà immobiliari residenziali di lusso; e </w:t>
            </w:r>
          </w:p>
          <w:p w14:paraId="58728257" w14:textId="77777777" w:rsidR="004976E9" w:rsidRPr="00273ED1" w:rsidRDefault="004976E9" w:rsidP="00E31E69">
            <w:pPr>
              <w:pStyle w:val="ListParagraph"/>
              <w:numPr>
                <w:ilvl w:val="1"/>
                <w:numId w:val="5"/>
              </w:numPr>
              <w:spacing w:after="0" w:line="240" w:lineRule="auto"/>
              <w:ind w:left="315" w:hanging="284"/>
              <w:jc w:val="both"/>
              <w:rPr>
                <w:sz w:val="15"/>
                <w:szCs w:val="15"/>
              </w:rPr>
            </w:pPr>
            <w:r w:rsidRPr="00273ED1">
              <w:rPr>
                <w:rFonts w:ascii="Arial" w:hAnsi="Arial" w:cs="Arial"/>
                <w:sz w:val="15"/>
                <w:szCs w:val="15"/>
                <w:lang w:val="it-IT" w:eastAsia="lt-LT"/>
              </w:rPr>
              <w:t>Germania consiste nella gestione del PK Parkhotel Kurhaus situato a Bad Kreuznach, Germania.</w:t>
            </w:r>
          </w:p>
          <w:p w14:paraId="3BFF24F0" w14:textId="054EF5F2" w:rsidR="007E19BF" w:rsidRPr="00273ED1" w:rsidRDefault="00374DDF" w:rsidP="007E19BF">
            <w:pPr>
              <w:jc w:val="both"/>
              <w:rPr>
                <w:rFonts w:ascii="Arial" w:hAnsi="Arial" w:cs="Arial"/>
                <w:sz w:val="15"/>
                <w:szCs w:val="15"/>
              </w:rPr>
            </w:pPr>
            <w:r w:rsidRPr="00273ED1">
              <w:rPr>
                <w:rFonts w:ascii="Arial" w:hAnsi="Arial" w:cs="Arial"/>
                <w:sz w:val="15"/>
                <w:szCs w:val="15"/>
              </w:rPr>
              <w:t>Fino a poco tempo fa l</w:t>
            </w:r>
            <w:r w:rsidR="007E19BF" w:rsidRPr="00273ED1">
              <w:rPr>
                <w:rFonts w:ascii="Arial" w:hAnsi="Arial" w:cs="Arial"/>
                <w:sz w:val="15"/>
                <w:szCs w:val="15"/>
              </w:rPr>
              <w:t xml:space="preserve">a società ha </w:t>
            </w:r>
            <w:r w:rsidRPr="00273ED1">
              <w:rPr>
                <w:rFonts w:ascii="Arial" w:hAnsi="Arial" w:cs="Arial"/>
                <w:sz w:val="15"/>
                <w:szCs w:val="15"/>
              </w:rPr>
              <w:t>gestito hotel in Estonia e Lettonia.</w:t>
            </w:r>
            <w:r w:rsidR="00555C9F" w:rsidRPr="00273ED1">
              <w:rPr>
                <w:rFonts w:ascii="Arial" w:hAnsi="Arial" w:cs="Arial"/>
                <w:sz w:val="15"/>
                <w:szCs w:val="15"/>
              </w:rPr>
              <w:t>.</w:t>
            </w:r>
            <w:r w:rsidR="009C14C9" w:rsidRPr="00273ED1">
              <w:rPr>
                <w:rFonts w:ascii="Arial" w:hAnsi="Arial" w:cs="Arial"/>
                <w:sz w:val="15"/>
                <w:szCs w:val="15"/>
              </w:rPr>
              <w:t>.</w:t>
            </w:r>
            <w:r w:rsidRPr="00273ED1">
              <w:rPr>
                <w:rFonts w:ascii="Arial" w:hAnsi="Arial" w:cs="Arial"/>
                <w:sz w:val="15"/>
                <w:szCs w:val="15"/>
              </w:rPr>
              <w:t xml:space="preserve"> Tuttavia tali hotel sono stati venduti a luglio e agosto del 2017.</w:t>
            </w:r>
          </w:p>
          <w:p w14:paraId="4638E327" w14:textId="413DFD43" w:rsidR="004976E9" w:rsidRPr="00273ED1" w:rsidRDefault="004976E9" w:rsidP="00E31E69">
            <w:pPr>
              <w:jc w:val="both"/>
              <w:rPr>
                <w:sz w:val="15"/>
                <w:szCs w:val="15"/>
              </w:rPr>
            </w:pPr>
            <w:r w:rsidRPr="00273ED1">
              <w:rPr>
                <w:rFonts w:ascii="Arial" w:hAnsi="Arial" w:cs="Arial"/>
                <w:sz w:val="15"/>
                <w:szCs w:val="15"/>
                <w:lang w:eastAsia="lt-LT"/>
              </w:rPr>
              <w:t xml:space="preserve">I ricavi dai segmenti </w:t>
            </w:r>
            <w:r w:rsidR="00374DDF" w:rsidRPr="00273ED1">
              <w:rPr>
                <w:rFonts w:ascii="Arial" w:hAnsi="Arial" w:cs="Arial"/>
                <w:sz w:val="15"/>
                <w:szCs w:val="15"/>
                <w:lang w:eastAsia="lt-LT"/>
              </w:rPr>
              <w:t>geografici</w:t>
            </w:r>
            <w:r w:rsidRPr="00273ED1">
              <w:rPr>
                <w:rFonts w:ascii="Arial" w:hAnsi="Arial" w:cs="Arial"/>
                <w:sz w:val="15"/>
                <w:szCs w:val="15"/>
                <w:lang w:eastAsia="lt-LT"/>
              </w:rPr>
              <w:t xml:space="preserve"> sono elencati nella seguente tabella:</w:t>
            </w:r>
          </w:p>
          <w:p w14:paraId="0F6F3274" w14:textId="77777777" w:rsidR="004976E9" w:rsidRPr="00273ED1" w:rsidRDefault="004976E9" w:rsidP="00E31E69">
            <w:pPr>
              <w:jc w:val="both"/>
              <w:rPr>
                <w:rFonts w:ascii="Arial" w:hAnsi="Arial" w:cs="Arial"/>
                <w:sz w:val="15"/>
                <w:szCs w:val="15"/>
                <w:lang w:eastAsia="lt-LT"/>
              </w:rPr>
            </w:pPr>
          </w:p>
          <w:p w14:paraId="37EF331B" w14:textId="199F0781" w:rsidR="004976E9" w:rsidRPr="00273ED1" w:rsidRDefault="004571A2" w:rsidP="00E31E69">
            <w:pPr>
              <w:jc w:val="both"/>
              <w:rPr>
                <w:rFonts w:ascii="Arial" w:hAnsi="Arial" w:cs="Arial"/>
                <w:sz w:val="15"/>
                <w:szCs w:val="15"/>
                <w:lang w:eastAsia="lt-LT"/>
              </w:rPr>
            </w:pPr>
            <w:r w:rsidRPr="00273ED1">
              <w:rPr>
                <w:noProof/>
                <w:sz w:val="15"/>
                <w:szCs w:val="15"/>
                <w:lang w:val="en-US"/>
              </w:rPr>
              <mc:AlternateContent>
                <mc:Choice Requires="wps">
                  <w:drawing>
                    <wp:anchor distT="0" distB="0" distL="89535" distR="89535" simplePos="0" relativeHeight="251659264" behindDoc="0" locked="0" layoutInCell="1" allowOverlap="1" wp14:anchorId="4D5D0030" wp14:editId="5BB06852">
                      <wp:simplePos x="0" y="0"/>
                      <wp:positionH relativeFrom="column">
                        <wp:posOffset>-33655</wp:posOffset>
                      </wp:positionH>
                      <wp:positionV relativeFrom="paragraph">
                        <wp:posOffset>26670</wp:posOffset>
                      </wp:positionV>
                      <wp:extent cx="4587875" cy="1583055"/>
                      <wp:effectExtent l="0" t="0" r="0" b="0"/>
                      <wp:wrapSquare wrapText="bothSides"/>
                      <wp:docPr id="1" name="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87875" cy="1583055"/>
                              </a:xfrm>
                              <a:prstGeom prst="rect">
                                <a:avLst/>
                              </a:prstGeom>
                            </wps:spPr>
                            <wps:txbx>
                              <w:txbxContent>
                                <w:tbl>
                                  <w:tblPr>
                                    <w:tblStyle w:val="TableGrid"/>
                                    <w:tblW w:w="7225" w:type="dxa"/>
                                    <w:tblInd w:w="83" w:type="dxa"/>
                                    <w:tblBorders>
                                      <w:top w:val="single" w:sz="4" w:space="0" w:color="BFBFBF"/>
                                      <w:left w:val="single" w:sz="4" w:space="0" w:color="BFBFBF"/>
                                    </w:tblBorders>
                                    <w:tblCellMar>
                                      <w:left w:w="78" w:type="dxa"/>
                                    </w:tblCellMar>
                                    <w:tblLook w:val="04A0" w:firstRow="1" w:lastRow="0" w:firstColumn="1" w:lastColumn="0" w:noHBand="0" w:noVBand="1"/>
                                  </w:tblPr>
                                  <w:tblGrid>
                                    <w:gridCol w:w="2310"/>
                                    <w:gridCol w:w="1016"/>
                                    <w:gridCol w:w="890"/>
                                    <w:gridCol w:w="24"/>
                                    <w:gridCol w:w="1076"/>
                                    <w:gridCol w:w="914"/>
                                    <w:gridCol w:w="995"/>
                                  </w:tblGrid>
                                  <w:tr w:rsidR="00641BE9" w14:paraId="5B4C9507" w14:textId="77777777" w:rsidTr="00A922E5">
                                    <w:trPr>
                                      <w:trHeight w:val="170"/>
                                    </w:trPr>
                                    <w:tc>
                                      <w:tcPr>
                                        <w:tcW w:w="2310" w:type="dxa"/>
                                        <w:tcBorders>
                                          <w:top w:val="single" w:sz="4" w:space="0" w:color="BFBFBF"/>
                                          <w:left w:val="single" w:sz="4" w:space="0" w:color="BFBFBF"/>
                                        </w:tcBorders>
                                        <w:shd w:val="clear" w:color="auto" w:fill="C8501E"/>
                                        <w:tcMar>
                                          <w:left w:w="78" w:type="dxa"/>
                                        </w:tcMar>
                                        <w:vAlign w:val="bottom"/>
                                      </w:tcPr>
                                      <w:p w14:paraId="6D615D00" w14:textId="77777777" w:rsidR="00641BE9" w:rsidRDefault="00641BE9">
                                        <w:pPr>
                                          <w:pStyle w:val="Paragraph"/>
                                          <w:spacing w:before="0" w:after="0"/>
                                          <w:jc w:val="left"/>
                                        </w:pPr>
                                        <w:r>
                                          <w:rPr>
                                            <w:rFonts w:ascii="Calibri Light" w:hAnsi="Calibri Light" w:cs="Arial"/>
                                            <w:i/>
                                            <w:iCs/>
                                            <w:color w:val="FFFFFF" w:themeColor="background1"/>
                                            <w:sz w:val="16"/>
                                            <w:szCs w:val="16"/>
                                          </w:rPr>
                                          <w:t xml:space="preserve">in </w:t>
                                        </w:r>
                                        <w:bookmarkStart w:id="1" w:name="__UnoMark__304_763504500"/>
                                        <w:bookmarkEnd w:id="1"/>
                                        <w:r>
                                          <w:rPr>
                                            <w:rFonts w:ascii="Calibri Light" w:hAnsi="Calibri Light" w:cs="Arial"/>
                                            <w:i/>
                                            <w:iCs/>
                                            <w:color w:val="FFFFFF" w:themeColor="background1"/>
                                            <w:sz w:val="16"/>
                                            <w:szCs w:val="16"/>
                                          </w:rPr>
                                          <w:t>migliaia di Euro</w:t>
                                        </w:r>
                                      </w:p>
                                    </w:tc>
                                    <w:tc>
                                      <w:tcPr>
                                        <w:tcW w:w="1906" w:type="dxa"/>
                                        <w:gridSpan w:val="2"/>
                                        <w:tcBorders>
                                          <w:top w:val="single" w:sz="4" w:space="0" w:color="BFBFBF"/>
                                        </w:tcBorders>
                                        <w:shd w:val="clear" w:color="auto" w:fill="C8501E"/>
                                        <w:tcMar>
                                          <w:left w:w="78" w:type="dxa"/>
                                        </w:tcMar>
                                        <w:vAlign w:val="bottom"/>
                                      </w:tcPr>
                                      <w:p w14:paraId="4B39AFCD" w14:textId="77777777" w:rsidR="00641BE9" w:rsidRDefault="00641BE9">
                                        <w:pPr>
                                          <w:pStyle w:val="Paragraph"/>
                                          <w:spacing w:before="0" w:after="0"/>
                                          <w:jc w:val="center"/>
                                        </w:pPr>
                                        <w:bookmarkStart w:id="2" w:name="__UnoMark__305_763504500"/>
                                        <w:bookmarkEnd w:id="2"/>
                                        <w:r>
                                          <w:rPr>
                                            <w:rFonts w:ascii="Calibri Light" w:hAnsi="Calibri Light" w:cs="Arial"/>
                                            <w:color w:val="FFFFFF" w:themeColor="background1"/>
                                            <w:sz w:val="16"/>
                                            <w:szCs w:val="16"/>
                                          </w:rPr>
                                          <w:t xml:space="preserve">6 mesi conclusosi il 30 </w:t>
                                        </w:r>
                                        <w:bookmarkStart w:id="3" w:name="__UnoMark__306_763504500"/>
                                        <w:bookmarkEnd w:id="3"/>
                                        <w:r>
                                          <w:rPr>
                                            <w:rFonts w:ascii="Calibri Light" w:hAnsi="Calibri Light" w:cs="Arial"/>
                                            <w:color w:val="FFFFFF" w:themeColor="background1"/>
                                            <w:sz w:val="16"/>
                                            <w:szCs w:val="16"/>
                                          </w:rPr>
                                          <w:t>giugno</w:t>
                                        </w:r>
                                      </w:p>
                                    </w:tc>
                                    <w:tc>
                                      <w:tcPr>
                                        <w:tcW w:w="3009" w:type="dxa"/>
                                        <w:gridSpan w:val="4"/>
                                        <w:tcBorders>
                                          <w:top w:val="single" w:sz="4" w:space="0" w:color="BFBFBF"/>
                                          <w:left w:val="single" w:sz="4" w:space="0" w:color="BFBFBF"/>
                                          <w:right w:val="single" w:sz="4" w:space="0" w:color="BFBFBF"/>
                                        </w:tcBorders>
                                        <w:shd w:val="clear" w:color="auto" w:fill="C8501E"/>
                                        <w:tcMar>
                                          <w:left w:w="78" w:type="dxa"/>
                                        </w:tcMar>
                                        <w:vAlign w:val="bottom"/>
                                      </w:tcPr>
                                      <w:p w14:paraId="7F1A2D67" w14:textId="77777777" w:rsidR="00641BE9" w:rsidRDefault="00641BE9">
                                        <w:pPr>
                                          <w:pStyle w:val="Paragraph"/>
                                          <w:spacing w:before="0" w:after="0"/>
                                          <w:jc w:val="center"/>
                                        </w:pPr>
                                        <w:bookmarkStart w:id="4" w:name="__UnoMark__307_763504500"/>
                                        <w:bookmarkEnd w:id="4"/>
                                        <w:r>
                                          <w:rPr>
                                            <w:rFonts w:ascii="Calibri Light" w:hAnsi="Calibri Light" w:cs="Arial"/>
                                            <w:color w:val="FFFFFF" w:themeColor="background1"/>
                                            <w:sz w:val="16"/>
                                            <w:szCs w:val="16"/>
                                          </w:rPr>
                                          <w:t>12 mesi conclusosi il</w:t>
                                        </w:r>
                                      </w:p>
                                      <w:p w14:paraId="2A4CB1C5" w14:textId="77777777" w:rsidR="00641BE9" w:rsidRDefault="00641BE9">
                                        <w:pPr>
                                          <w:pStyle w:val="Paragraph"/>
                                          <w:spacing w:before="0" w:after="0"/>
                                          <w:jc w:val="center"/>
                                        </w:pPr>
                                        <w:r>
                                          <w:rPr>
                                            <w:rFonts w:ascii="Calibri Light" w:hAnsi="Calibri Light" w:cs="Arial"/>
                                            <w:color w:val="FFFFFF" w:themeColor="background1"/>
                                            <w:sz w:val="16"/>
                                            <w:szCs w:val="16"/>
                                          </w:rPr>
                                          <w:t xml:space="preserve">31 </w:t>
                                        </w:r>
                                        <w:bookmarkStart w:id="5" w:name="__UnoMark__308_763504500"/>
                                        <w:bookmarkEnd w:id="5"/>
                                        <w:r>
                                          <w:rPr>
                                            <w:rFonts w:ascii="Calibri Light" w:hAnsi="Calibri Light" w:cs="Arial"/>
                                            <w:color w:val="FFFFFF" w:themeColor="background1"/>
                                            <w:sz w:val="16"/>
                                            <w:szCs w:val="16"/>
                                          </w:rPr>
                                          <w:t>dicembre</w:t>
                                        </w:r>
                                      </w:p>
                                    </w:tc>
                                  </w:tr>
                                  <w:tr w:rsidR="00641BE9" w14:paraId="4F9CF3B1" w14:textId="77777777" w:rsidTr="00A922E5">
                                    <w:trPr>
                                      <w:trHeight w:val="170"/>
                                    </w:trPr>
                                    <w:tc>
                                      <w:tcPr>
                                        <w:tcW w:w="2310" w:type="dxa"/>
                                        <w:tcBorders>
                                          <w:left w:val="single" w:sz="4" w:space="0" w:color="BFBFBF"/>
                                        </w:tcBorders>
                                        <w:shd w:val="clear" w:color="auto" w:fill="C8501E"/>
                                        <w:tcMar>
                                          <w:left w:w="78" w:type="dxa"/>
                                        </w:tcMar>
                                      </w:tcPr>
                                      <w:p w14:paraId="23FE0BCE" w14:textId="77777777" w:rsidR="00641BE9" w:rsidRDefault="00641BE9">
                                        <w:pPr>
                                          <w:pStyle w:val="Paragraph"/>
                                          <w:spacing w:before="0" w:after="0"/>
                                          <w:rPr>
                                            <w:rFonts w:asciiTheme="majorHAnsi" w:hAnsiTheme="majorHAnsi" w:cs="Arial"/>
                                            <w:color w:val="FFFFFF"/>
                                            <w:sz w:val="16"/>
                                          </w:rPr>
                                        </w:pPr>
                                        <w:bookmarkStart w:id="6" w:name="__UnoMark__309_763504500"/>
                                        <w:bookmarkStart w:id="7" w:name="__UnoMark__310_763504500"/>
                                        <w:bookmarkEnd w:id="6"/>
                                        <w:bookmarkEnd w:id="7"/>
                                      </w:p>
                                    </w:tc>
                                    <w:tc>
                                      <w:tcPr>
                                        <w:tcW w:w="1016" w:type="dxa"/>
                                        <w:shd w:val="clear" w:color="auto" w:fill="C8501E"/>
                                        <w:tcMar>
                                          <w:left w:w="78" w:type="dxa"/>
                                        </w:tcMar>
                                      </w:tcPr>
                                      <w:p w14:paraId="6417A4A4" w14:textId="77777777" w:rsidR="00641BE9" w:rsidRDefault="00641BE9">
                                        <w:pPr>
                                          <w:pStyle w:val="Paragraph"/>
                                          <w:spacing w:before="0" w:after="0"/>
                                          <w:jc w:val="right"/>
                                        </w:pPr>
                                        <w:bookmarkStart w:id="8" w:name="__UnoMark__311_763504500"/>
                                        <w:bookmarkStart w:id="9" w:name="__UnoMark__312_763504500"/>
                                        <w:bookmarkEnd w:id="8"/>
                                        <w:bookmarkEnd w:id="9"/>
                                        <w:r>
                                          <w:rPr>
                                            <w:rFonts w:ascii="Calibri Light" w:hAnsi="Calibri Light" w:cs="Arial"/>
                                            <w:color w:val="FFFFFF" w:themeColor="background1"/>
                                            <w:sz w:val="16"/>
                                            <w:szCs w:val="16"/>
                                          </w:rPr>
                                          <w:t>2017</w:t>
                                        </w:r>
                                      </w:p>
                                    </w:tc>
                                    <w:tc>
                                      <w:tcPr>
                                        <w:tcW w:w="914" w:type="dxa"/>
                                        <w:gridSpan w:val="2"/>
                                        <w:shd w:val="clear" w:color="auto" w:fill="C8501E"/>
                                        <w:tcMar>
                                          <w:left w:w="78" w:type="dxa"/>
                                        </w:tcMar>
                                      </w:tcPr>
                                      <w:p w14:paraId="7A141A5D" w14:textId="77777777" w:rsidR="00641BE9" w:rsidRDefault="00641BE9">
                                        <w:pPr>
                                          <w:pStyle w:val="Paragraph"/>
                                          <w:spacing w:before="0" w:after="0"/>
                                          <w:jc w:val="right"/>
                                        </w:pPr>
                                        <w:bookmarkStart w:id="10" w:name="__UnoMark__313_763504500"/>
                                        <w:bookmarkStart w:id="11" w:name="__UnoMark__314_763504500"/>
                                        <w:bookmarkEnd w:id="10"/>
                                        <w:bookmarkEnd w:id="11"/>
                                        <w:r>
                                          <w:rPr>
                                            <w:rFonts w:ascii="Calibri Light" w:hAnsi="Calibri Light" w:cs="Arial"/>
                                            <w:color w:val="FFFFFF" w:themeColor="background1"/>
                                            <w:sz w:val="16"/>
                                            <w:szCs w:val="16"/>
                                          </w:rPr>
                                          <w:t>2016</w:t>
                                        </w:r>
                                      </w:p>
                                    </w:tc>
                                    <w:tc>
                                      <w:tcPr>
                                        <w:tcW w:w="1076" w:type="dxa"/>
                                        <w:shd w:val="clear" w:color="auto" w:fill="C8501E"/>
                                        <w:tcMar>
                                          <w:left w:w="78" w:type="dxa"/>
                                        </w:tcMar>
                                      </w:tcPr>
                                      <w:p w14:paraId="70446C7A" w14:textId="77777777" w:rsidR="00641BE9" w:rsidRDefault="00641BE9">
                                        <w:pPr>
                                          <w:pStyle w:val="Paragraph"/>
                                          <w:spacing w:before="0" w:after="0"/>
                                          <w:jc w:val="right"/>
                                        </w:pPr>
                                        <w:bookmarkStart w:id="12" w:name="__UnoMark__316_763504500"/>
                                        <w:bookmarkStart w:id="13" w:name="__UnoMark__315_763504500"/>
                                        <w:bookmarkEnd w:id="12"/>
                                        <w:bookmarkEnd w:id="13"/>
                                        <w:r>
                                          <w:rPr>
                                            <w:rFonts w:ascii="Calibri Light" w:hAnsi="Calibri Light" w:cs="Arial"/>
                                            <w:color w:val="FFFFFF" w:themeColor="background1"/>
                                            <w:sz w:val="16"/>
                                            <w:szCs w:val="16"/>
                                          </w:rPr>
                                          <w:t>2016</w:t>
                                        </w:r>
                                      </w:p>
                                    </w:tc>
                                    <w:tc>
                                      <w:tcPr>
                                        <w:tcW w:w="914" w:type="dxa"/>
                                        <w:shd w:val="clear" w:color="auto" w:fill="C8501E"/>
                                        <w:tcMar>
                                          <w:left w:w="78" w:type="dxa"/>
                                        </w:tcMar>
                                      </w:tcPr>
                                      <w:p w14:paraId="0C02668E" w14:textId="77777777" w:rsidR="00641BE9" w:rsidRDefault="00641BE9">
                                        <w:pPr>
                                          <w:pStyle w:val="Paragraph"/>
                                          <w:spacing w:before="0" w:after="0"/>
                                          <w:jc w:val="right"/>
                                        </w:pPr>
                                        <w:bookmarkStart w:id="14" w:name="__UnoMark__318_763504500"/>
                                        <w:bookmarkStart w:id="15" w:name="__UnoMark__317_763504500"/>
                                        <w:bookmarkEnd w:id="14"/>
                                        <w:bookmarkEnd w:id="15"/>
                                        <w:r>
                                          <w:rPr>
                                            <w:rFonts w:ascii="Calibri Light" w:hAnsi="Calibri Light" w:cs="Arial"/>
                                            <w:color w:val="FFFFFF" w:themeColor="background1"/>
                                            <w:sz w:val="16"/>
                                            <w:szCs w:val="16"/>
                                          </w:rPr>
                                          <w:t>2015</w:t>
                                        </w:r>
                                      </w:p>
                                    </w:tc>
                                    <w:tc>
                                      <w:tcPr>
                                        <w:tcW w:w="995" w:type="dxa"/>
                                        <w:tcBorders>
                                          <w:left w:val="single" w:sz="4" w:space="0" w:color="BFBFBF"/>
                                          <w:right w:val="single" w:sz="4" w:space="0" w:color="BFBFBF"/>
                                        </w:tcBorders>
                                        <w:shd w:val="clear" w:color="auto" w:fill="C8501E"/>
                                        <w:tcMar>
                                          <w:left w:w="78" w:type="dxa"/>
                                        </w:tcMar>
                                      </w:tcPr>
                                      <w:p w14:paraId="53250E28" w14:textId="77777777" w:rsidR="00641BE9" w:rsidRDefault="00641BE9">
                                        <w:pPr>
                                          <w:pStyle w:val="Paragraph"/>
                                          <w:spacing w:before="0" w:after="0"/>
                                          <w:jc w:val="right"/>
                                        </w:pPr>
                                        <w:bookmarkStart w:id="16" w:name="__UnoMark__319_763504500"/>
                                        <w:bookmarkStart w:id="17" w:name="__UnoMark__320_763504500"/>
                                        <w:bookmarkEnd w:id="16"/>
                                        <w:bookmarkEnd w:id="17"/>
                                        <w:r>
                                          <w:rPr>
                                            <w:rFonts w:ascii="Calibri Light" w:hAnsi="Calibri Light" w:cs="Arial"/>
                                            <w:color w:val="FFFFFF" w:themeColor="background1"/>
                                            <w:sz w:val="16"/>
                                            <w:szCs w:val="16"/>
                                          </w:rPr>
                                          <w:t>2014</w:t>
                                        </w:r>
                                      </w:p>
                                    </w:tc>
                                  </w:tr>
                                  <w:tr w:rsidR="00641BE9" w14:paraId="0A8A11B0" w14:textId="77777777" w:rsidTr="00A922E5">
                                    <w:trPr>
                                      <w:trHeight w:val="170"/>
                                    </w:trPr>
                                    <w:tc>
                                      <w:tcPr>
                                        <w:tcW w:w="2310" w:type="dxa"/>
                                        <w:tcBorders>
                                          <w:left w:val="single" w:sz="4" w:space="0" w:color="BFBFBF"/>
                                        </w:tcBorders>
                                        <w:shd w:val="clear" w:color="auto" w:fill="auto"/>
                                        <w:tcMar>
                                          <w:left w:w="78" w:type="dxa"/>
                                        </w:tcMar>
                                        <w:vAlign w:val="bottom"/>
                                      </w:tcPr>
                                      <w:p w14:paraId="533D9B00" w14:textId="4C5BEB1D" w:rsidR="00641BE9" w:rsidRDefault="00641BE9">
                                        <w:pPr>
                                          <w:pStyle w:val="Paragraph"/>
                                          <w:spacing w:before="0" w:after="0"/>
                                        </w:pPr>
                                        <w:bookmarkStart w:id="18" w:name="__UnoMark__322_763504500"/>
                                        <w:bookmarkEnd w:id="18"/>
                                        <w:r>
                                          <w:rPr>
                                            <w:rFonts w:ascii="Calibri Light" w:hAnsi="Calibri Light" w:cs="Arial"/>
                                            <w:sz w:val="16"/>
                                            <w:szCs w:val="16"/>
                                          </w:rPr>
                                          <w:t>Ricavi consolidati</w:t>
                                        </w:r>
                                      </w:p>
                                    </w:tc>
                                    <w:tc>
                                      <w:tcPr>
                                        <w:tcW w:w="1016" w:type="dxa"/>
                                        <w:shd w:val="clear" w:color="auto" w:fill="auto"/>
                                        <w:tcMar>
                                          <w:left w:w="78" w:type="dxa"/>
                                        </w:tcMar>
                                        <w:vAlign w:val="center"/>
                                      </w:tcPr>
                                      <w:p w14:paraId="7D7036B3" w14:textId="7D578289" w:rsidR="00641BE9" w:rsidRPr="001F2ABF" w:rsidRDefault="00641BE9">
                                        <w:pPr>
                                          <w:pStyle w:val="Paragraph"/>
                                          <w:spacing w:before="0" w:after="0"/>
                                          <w:jc w:val="right"/>
                                        </w:pPr>
                                        <w:bookmarkStart w:id="19" w:name="__UnoMark__323_763504500"/>
                                        <w:bookmarkStart w:id="20" w:name="__UnoMark__324_763504500"/>
                                        <w:bookmarkEnd w:id="19"/>
                                        <w:bookmarkEnd w:id="20"/>
                                        <w:r>
                                          <w:rPr>
                                            <w:rFonts w:ascii="Calibri Light" w:hAnsi="Calibri Light" w:cs="Arial"/>
                                            <w:sz w:val="16"/>
                                            <w:szCs w:val="16"/>
                                            <w:lang w:eastAsia="lt-LT"/>
                                          </w:rPr>
                                          <w:t>7.566</w:t>
                                        </w:r>
                                      </w:p>
                                    </w:tc>
                                    <w:tc>
                                      <w:tcPr>
                                        <w:tcW w:w="914" w:type="dxa"/>
                                        <w:gridSpan w:val="2"/>
                                        <w:shd w:val="clear" w:color="auto" w:fill="auto"/>
                                        <w:tcMar>
                                          <w:left w:w="78" w:type="dxa"/>
                                        </w:tcMar>
                                        <w:vAlign w:val="center"/>
                                      </w:tcPr>
                                      <w:p w14:paraId="54EF59DA" w14:textId="2137BB28" w:rsidR="00641BE9" w:rsidRPr="001F2ABF" w:rsidRDefault="00641BE9">
                                        <w:pPr>
                                          <w:pStyle w:val="Paragraph"/>
                                          <w:spacing w:before="0" w:after="0"/>
                                          <w:jc w:val="right"/>
                                        </w:pPr>
                                        <w:bookmarkStart w:id="21" w:name="__UnoMark__325_763504500"/>
                                        <w:bookmarkStart w:id="22" w:name="__UnoMark__326_763504500"/>
                                        <w:bookmarkEnd w:id="21"/>
                                        <w:bookmarkEnd w:id="22"/>
                                        <w:r>
                                          <w:rPr>
                                            <w:rFonts w:ascii="Calibri Light" w:hAnsi="Calibri Light" w:cs="Arial"/>
                                            <w:sz w:val="16"/>
                                            <w:szCs w:val="16"/>
                                            <w:lang w:eastAsia="lt-LT"/>
                                          </w:rPr>
                                          <w:t>8.203</w:t>
                                        </w:r>
                                      </w:p>
                                    </w:tc>
                                    <w:tc>
                                      <w:tcPr>
                                        <w:tcW w:w="1076" w:type="dxa"/>
                                        <w:shd w:val="clear" w:color="auto" w:fill="auto"/>
                                        <w:tcMar>
                                          <w:left w:w="78" w:type="dxa"/>
                                        </w:tcMar>
                                        <w:vAlign w:val="bottom"/>
                                      </w:tcPr>
                                      <w:p w14:paraId="7D56DE87" w14:textId="6BE90B29" w:rsidR="00641BE9" w:rsidRDefault="00641BE9">
                                        <w:pPr>
                                          <w:pStyle w:val="Paragraph"/>
                                          <w:spacing w:before="0" w:after="0"/>
                                          <w:jc w:val="right"/>
                                        </w:pPr>
                                        <w:bookmarkStart w:id="23" w:name="__UnoMark__328_763504500"/>
                                        <w:bookmarkStart w:id="24" w:name="__UnoMark__327_763504500"/>
                                        <w:bookmarkEnd w:id="23"/>
                                        <w:bookmarkEnd w:id="24"/>
                                        <w:r>
                                          <w:rPr>
                                            <w:rFonts w:ascii="Calibri Light" w:hAnsi="Calibri Light" w:cs="Arial"/>
                                            <w:color w:val="000000" w:themeColor="text1"/>
                                            <w:sz w:val="16"/>
                                            <w:szCs w:val="16"/>
                                          </w:rPr>
                                          <w:t>20.652</w:t>
                                        </w:r>
                                      </w:p>
                                    </w:tc>
                                    <w:tc>
                                      <w:tcPr>
                                        <w:tcW w:w="914" w:type="dxa"/>
                                        <w:shd w:val="clear" w:color="auto" w:fill="auto"/>
                                        <w:tcMar>
                                          <w:left w:w="78" w:type="dxa"/>
                                        </w:tcMar>
                                        <w:vAlign w:val="bottom"/>
                                      </w:tcPr>
                                      <w:p w14:paraId="08A3D52F" w14:textId="665E0B38" w:rsidR="00641BE9" w:rsidRDefault="00641BE9">
                                        <w:pPr>
                                          <w:pStyle w:val="Paragraph"/>
                                          <w:spacing w:before="0" w:after="0"/>
                                          <w:jc w:val="right"/>
                                        </w:pPr>
                                        <w:bookmarkStart w:id="25" w:name="__UnoMark__329_763504500"/>
                                        <w:bookmarkStart w:id="26" w:name="__UnoMark__330_763504500"/>
                                        <w:bookmarkEnd w:id="25"/>
                                        <w:bookmarkEnd w:id="26"/>
                                        <w:r>
                                          <w:rPr>
                                            <w:rFonts w:ascii="Calibri Light" w:hAnsi="Calibri Light" w:cs="Arial"/>
                                            <w:color w:val="000000" w:themeColor="text1"/>
                                            <w:sz w:val="16"/>
                                            <w:szCs w:val="16"/>
                                          </w:rPr>
                                          <w:t>18.322</w:t>
                                        </w:r>
                                      </w:p>
                                    </w:tc>
                                    <w:tc>
                                      <w:tcPr>
                                        <w:tcW w:w="995" w:type="dxa"/>
                                        <w:tcBorders>
                                          <w:left w:val="single" w:sz="4" w:space="0" w:color="BFBFBF"/>
                                          <w:right w:val="single" w:sz="4" w:space="0" w:color="BFBFBF"/>
                                        </w:tcBorders>
                                        <w:shd w:val="clear" w:color="auto" w:fill="auto"/>
                                        <w:tcMar>
                                          <w:left w:w="78" w:type="dxa"/>
                                        </w:tcMar>
                                        <w:vAlign w:val="bottom"/>
                                      </w:tcPr>
                                      <w:p w14:paraId="10363488" w14:textId="40E14FC4" w:rsidR="00641BE9" w:rsidRDefault="00641BE9">
                                        <w:pPr>
                                          <w:pStyle w:val="Paragraph"/>
                                          <w:spacing w:before="0" w:after="0"/>
                                          <w:jc w:val="right"/>
                                        </w:pPr>
                                        <w:bookmarkStart w:id="27" w:name="__UnoMark__332_763504500"/>
                                        <w:bookmarkStart w:id="28" w:name="__UnoMark__331_763504500"/>
                                        <w:bookmarkEnd w:id="27"/>
                                        <w:bookmarkEnd w:id="28"/>
                                        <w:r>
                                          <w:rPr>
                                            <w:rFonts w:ascii="Calibri Light" w:hAnsi="Calibri Light" w:cs="Arial"/>
                                            <w:color w:val="000000" w:themeColor="text1"/>
                                            <w:sz w:val="16"/>
                                            <w:szCs w:val="16"/>
                                          </w:rPr>
                                          <w:t>10.335</w:t>
                                        </w:r>
                                      </w:p>
                                    </w:tc>
                                  </w:tr>
                                  <w:tr w:rsidR="00641BE9" w14:paraId="7B53EB7D" w14:textId="77777777" w:rsidTr="00A922E5">
                                    <w:trPr>
                                      <w:trHeight w:val="170"/>
                                    </w:trPr>
                                    <w:tc>
                                      <w:tcPr>
                                        <w:tcW w:w="2310" w:type="dxa"/>
                                        <w:tcBorders>
                                          <w:left w:val="single" w:sz="4" w:space="0" w:color="BFBFBF"/>
                                        </w:tcBorders>
                                        <w:shd w:val="clear" w:color="auto" w:fill="auto"/>
                                        <w:tcMar>
                                          <w:left w:w="78" w:type="dxa"/>
                                        </w:tcMar>
                                        <w:vAlign w:val="bottom"/>
                                      </w:tcPr>
                                      <w:p w14:paraId="6DD53CF7" w14:textId="1EBDE5AD" w:rsidR="00641BE9" w:rsidRDefault="00641BE9">
                                        <w:pPr>
                                          <w:pStyle w:val="Paragraph"/>
                                          <w:spacing w:before="0" w:after="0"/>
                                        </w:pPr>
                                        <w:bookmarkStart w:id="29" w:name="__UnoMark__334_763504500"/>
                                        <w:bookmarkEnd w:id="29"/>
                                        <w:r>
                                          <w:rPr>
                                            <w:rFonts w:ascii="Calibri Light" w:hAnsi="Calibri Light" w:cs="Arial"/>
                                            <w:sz w:val="16"/>
                                            <w:szCs w:val="16"/>
                                          </w:rPr>
                                          <w:t>Holding PKG</w:t>
                                        </w:r>
                                      </w:p>
                                    </w:tc>
                                    <w:tc>
                                      <w:tcPr>
                                        <w:tcW w:w="1016" w:type="dxa"/>
                                        <w:shd w:val="clear" w:color="auto" w:fill="auto"/>
                                        <w:tcMar>
                                          <w:left w:w="78" w:type="dxa"/>
                                        </w:tcMar>
                                        <w:vAlign w:val="center"/>
                                      </w:tcPr>
                                      <w:p w14:paraId="2890BA21" w14:textId="7620DEA8" w:rsidR="00641BE9" w:rsidRPr="001F2ABF" w:rsidRDefault="00641BE9">
                                        <w:pPr>
                                          <w:pStyle w:val="Paragraph"/>
                                          <w:spacing w:before="0" w:after="0"/>
                                          <w:jc w:val="right"/>
                                        </w:pPr>
                                        <w:bookmarkStart w:id="30" w:name="__UnoMark__335_763504500"/>
                                        <w:bookmarkStart w:id="31" w:name="__UnoMark__336_763504500"/>
                                        <w:bookmarkEnd w:id="30"/>
                                        <w:bookmarkEnd w:id="31"/>
                                        <w:r>
                                          <w:rPr>
                                            <w:rFonts w:ascii="Calibri Light" w:hAnsi="Calibri Light" w:cs="Arial"/>
                                            <w:sz w:val="16"/>
                                            <w:szCs w:val="16"/>
                                            <w:lang w:eastAsia="lt-LT"/>
                                          </w:rPr>
                                          <w:t>12</w:t>
                                        </w:r>
                                      </w:p>
                                    </w:tc>
                                    <w:tc>
                                      <w:tcPr>
                                        <w:tcW w:w="914" w:type="dxa"/>
                                        <w:gridSpan w:val="2"/>
                                        <w:shd w:val="clear" w:color="auto" w:fill="auto"/>
                                        <w:tcMar>
                                          <w:left w:w="78" w:type="dxa"/>
                                        </w:tcMar>
                                        <w:vAlign w:val="center"/>
                                      </w:tcPr>
                                      <w:p w14:paraId="53415B21" w14:textId="660AD7CD" w:rsidR="00641BE9" w:rsidRPr="001F2ABF" w:rsidRDefault="00641BE9">
                                        <w:pPr>
                                          <w:pStyle w:val="Paragraph"/>
                                          <w:spacing w:before="0" w:after="0"/>
                                          <w:jc w:val="right"/>
                                        </w:pPr>
                                        <w:bookmarkStart w:id="32" w:name="__UnoMark__337_763504500"/>
                                        <w:bookmarkStart w:id="33" w:name="__UnoMark__338_763504500"/>
                                        <w:bookmarkEnd w:id="32"/>
                                        <w:bookmarkEnd w:id="33"/>
                                        <w:r w:rsidRPr="00764199">
                                          <w:rPr>
                                            <w:rFonts w:ascii="Calibri Light" w:hAnsi="Calibri Light" w:cs="Arial"/>
                                            <w:sz w:val="16"/>
                                            <w:szCs w:val="16"/>
                                            <w:lang w:eastAsia="lt-LT"/>
                                          </w:rPr>
                                          <w:t>0</w:t>
                                        </w:r>
                                      </w:p>
                                    </w:tc>
                                    <w:tc>
                                      <w:tcPr>
                                        <w:tcW w:w="1076" w:type="dxa"/>
                                        <w:shd w:val="clear" w:color="auto" w:fill="auto"/>
                                        <w:tcMar>
                                          <w:left w:w="78" w:type="dxa"/>
                                        </w:tcMar>
                                        <w:vAlign w:val="bottom"/>
                                      </w:tcPr>
                                      <w:p w14:paraId="0D51E459" w14:textId="4905CE94" w:rsidR="00641BE9" w:rsidRDefault="00641BE9">
                                        <w:pPr>
                                          <w:pStyle w:val="Paragraph"/>
                                          <w:spacing w:before="0" w:after="0"/>
                                          <w:jc w:val="right"/>
                                        </w:pPr>
                                        <w:bookmarkStart w:id="34" w:name="__UnoMark__339_763504500"/>
                                        <w:bookmarkStart w:id="35" w:name="__UnoMark__340_763504500"/>
                                        <w:bookmarkEnd w:id="34"/>
                                        <w:bookmarkEnd w:id="35"/>
                                        <w:r>
                                          <w:rPr>
                                            <w:rFonts w:ascii="Calibri Light" w:hAnsi="Calibri Light" w:cs="Arial"/>
                                            <w:color w:val="000000" w:themeColor="text1"/>
                                            <w:sz w:val="16"/>
                                            <w:szCs w:val="16"/>
                                          </w:rPr>
                                          <w:t>523</w:t>
                                        </w:r>
                                      </w:p>
                                    </w:tc>
                                    <w:tc>
                                      <w:tcPr>
                                        <w:tcW w:w="914" w:type="dxa"/>
                                        <w:shd w:val="clear" w:color="auto" w:fill="auto"/>
                                        <w:tcMar>
                                          <w:left w:w="78" w:type="dxa"/>
                                        </w:tcMar>
                                        <w:vAlign w:val="bottom"/>
                                      </w:tcPr>
                                      <w:p w14:paraId="19B1D844" w14:textId="7ED2EE4F" w:rsidR="00641BE9" w:rsidRDefault="00641BE9">
                                        <w:pPr>
                                          <w:pStyle w:val="Paragraph"/>
                                          <w:spacing w:before="0" w:after="0"/>
                                          <w:jc w:val="right"/>
                                        </w:pPr>
                                        <w:bookmarkStart w:id="36" w:name="__UnoMark__342_763504500"/>
                                        <w:bookmarkStart w:id="37" w:name="__UnoMark__341_763504500"/>
                                        <w:bookmarkEnd w:id="36"/>
                                        <w:bookmarkEnd w:id="37"/>
                                        <w:r>
                                          <w:rPr>
                                            <w:rFonts w:ascii="Calibri Light" w:hAnsi="Calibri Light" w:cs="Arial"/>
                                            <w:color w:val="000000" w:themeColor="text1"/>
                                            <w:sz w:val="16"/>
                                            <w:szCs w:val="16"/>
                                          </w:rPr>
                                          <w:t>386</w:t>
                                        </w:r>
                                      </w:p>
                                    </w:tc>
                                    <w:tc>
                                      <w:tcPr>
                                        <w:tcW w:w="995" w:type="dxa"/>
                                        <w:tcBorders>
                                          <w:left w:val="single" w:sz="4" w:space="0" w:color="BFBFBF"/>
                                          <w:right w:val="single" w:sz="4" w:space="0" w:color="BFBFBF"/>
                                        </w:tcBorders>
                                        <w:shd w:val="clear" w:color="auto" w:fill="auto"/>
                                        <w:tcMar>
                                          <w:left w:w="78" w:type="dxa"/>
                                        </w:tcMar>
                                        <w:vAlign w:val="bottom"/>
                                      </w:tcPr>
                                      <w:p w14:paraId="56C26971" w14:textId="7D0D5823" w:rsidR="00641BE9" w:rsidRDefault="00641BE9">
                                        <w:pPr>
                                          <w:pStyle w:val="Paragraph"/>
                                          <w:spacing w:before="0" w:after="0"/>
                                          <w:jc w:val="right"/>
                                        </w:pPr>
                                        <w:bookmarkStart w:id="38" w:name="__UnoMark__343_763504500"/>
                                        <w:bookmarkStart w:id="39" w:name="__UnoMark__344_763504500"/>
                                        <w:bookmarkEnd w:id="38"/>
                                        <w:bookmarkEnd w:id="39"/>
                                        <w:r>
                                          <w:rPr>
                                            <w:rFonts w:ascii="Calibri Light" w:hAnsi="Calibri Light" w:cs="Arial"/>
                                            <w:color w:val="000000" w:themeColor="text1"/>
                                            <w:sz w:val="16"/>
                                            <w:szCs w:val="16"/>
                                          </w:rPr>
                                          <w:t>371</w:t>
                                        </w:r>
                                      </w:p>
                                    </w:tc>
                                  </w:tr>
                                  <w:tr w:rsidR="00641BE9" w14:paraId="0312F563" w14:textId="77777777" w:rsidTr="00A922E5">
                                    <w:trPr>
                                      <w:trHeight w:val="170"/>
                                    </w:trPr>
                                    <w:tc>
                                      <w:tcPr>
                                        <w:tcW w:w="2310" w:type="dxa"/>
                                        <w:tcBorders>
                                          <w:left w:val="single" w:sz="4" w:space="0" w:color="BFBFBF"/>
                                        </w:tcBorders>
                                        <w:shd w:val="clear" w:color="auto" w:fill="auto"/>
                                        <w:tcMar>
                                          <w:left w:w="78" w:type="dxa"/>
                                        </w:tcMar>
                                        <w:vAlign w:val="bottom"/>
                                      </w:tcPr>
                                      <w:p w14:paraId="5D7E19A3" w14:textId="03FB3845" w:rsidR="00641BE9" w:rsidRDefault="00641BE9">
                                        <w:pPr>
                                          <w:pStyle w:val="Paragraph"/>
                                          <w:spacing w:before="0" w:after="0"/>
                                        </w:pPr>
                                        <w:bookmarkStart w:id="40" w:name="__UnoMark__346_763504500"/>
                                        <w:bookmarkStart w:id="41" w:name="__UnoMark__345_763504500"/>
                                        <w:bookmarkEnd w:id="40"/>
                                        <w:bookmarkEnd w:id="41"/>
                                        <w:r>
                                          <w:rPr>
                                            <w:rFonts w:ascii="Calibri Light" w:hAnsi="Calibri Light" w:cs="Arial"/>
                                            <w:sz w:val="16"/>
                                            <w:szCs w:val="16"/>
                                          </w:rPr>
                                          <w:t>Estonia</w:t>
                                        </w:r>
                                      </w:p>
                                    </w:tc>
                                    <w:tc>
                                      <w:tcPr>
                                        <w:tcW w:w="1016" w:type="dxa"/>
                                        <w:shd w:val="clear" w:color="auto" w:fill="auto"/>
                                        <w:tcMar>
                                          <w:left w:w="78" w:type="dxa"/>
                                        </w:tcMar>
                                        <w:vAlign w:val="center"/>
                                      </w:tcPr>
                                      <w:p w14:paraId="49AA6C8A" w14:textId="57AA64CA" w:rsidR="00641BE9" w:rsidRPr="001F2ABF" w:rsidRDefault="00641BE9" w:rsidP="00101D08">
                                        <w:pPr>
                                          <w:pStyle w:val="Paragraph"/>
                                          <w:spacing w:before="0" w:after="0"/>
                                          <w:jc w:val="center"/>
                                        </w:pPr>
                                        <w:bookmarkStart w:id="42" w:name="__UnoMark__347_763504500"/>
                                        <w:bookmarkStart w:id="43" w:name="__UnoMark__348_763504500"/>
                                        <w:bookmarkEnd w:id="42"/>
                                        <w:bookmarkEnd w:id="43"/>
                                        <w:r>
                                          <w:rPr>
                                            <w:rFonts w:ascii="Calibri Light" w:hAnsi="Calibri Light" w:cs="Arial"/>
                                            <w:sz w:val="16"/>
                                            <w:szCs w:val="16"/>
                                            <w:lang w:eastAsia="lt-LT"/>
                                          </w:rPr>
                                          <w:t>3.612</w:t>
                                        </w:r>
                                      </w:p>
                                    </w:tc>
                                    <w:tc>
                                      <w:tcPr>
                                        <w:tcW w:w="914" w:type="dxa"/>
                                        <w:gridSpan w:val="2"/>
                                        <w:shd w:val="clear" w:color="auto" w:fill="auto"/>
                                        <w:tcMar>
                                          <w:left w:w="78" w:type="dxa"/>
                                        </w:tcMar>
                                        <w:vAlign w:val="center"/>
                                      </w:tcPr>
                                      <w:p w14:paraId="2A12BA4F" w14:textId="3EE97C4A" w:rsidR="00641BE9" w:rsidRPr="001F2ABF" w:rsidRDefault="00641BE9">
                                        <w:pPr>
                                          <w:pStyle w:val="Paragraph"/>
                                          <w:spacing w:before="0" w:after="0"/>
                                          <w:jc w:val="right"/>
                                        </w:pPr>
                                        <w:bookmarkStart w:id="44" w:name="__UnoMark__349_763504500"/>
                                        <w:bookmarkStart w:id="45" w:name="__UnoMark__350_763504500"/>
                                        <w:bookmarkEnd w:id="44"/>
                                        <w:bookmarkEnd w:id="45"/>
                                        <w:r>
                                          <w:rPr>
                                            <w:rFonts w:ascii="Calibri Light" w:hAnsi="Calibri Light" w:cs="Arial"/>
                                            <w:sz w:val="16"/>
                                            <w:szCs w:val="16"/>
                                            <w:lang w:eastAsia="lt-LT"/>
                                          </w:rPr>
                                          <w:t>4.602</w:t>
                                        </w:r>
                                      </w:p>
                                    </w:tc>
                                    <w:tc>
                                      <w:tcPr>
                                        <w:tcW w:w="1076" w:type="dxa"/>
                                        <w:shd w:val="clear" w:color="auto" w:fill="auto"/>
                                        <w:tcMar>
                                          <w:left w:w="78" w:type="dxa"/>
                                        </w:tcMar>
                                        <w:vAlign w:val="bottom"/>
                                      </w:tcPr>
                                      <w:p w14:paraId="2B8229D0" w14:textId="1E51F3BC" w:rsidR="00641BE9" w:rsidRDefault="00641BE9">
                                        <w:pPr>
                                          <w:pStyle w:val="Paragraph"/>
                                          <w:spacing w:before="0" w:after="0"/>
                                          <w:jc w:val="right"/>
                                        </w:pPr>
                                        <w:bookmarkStart w:id="46" w:name="__UnoMark__352_763504500"/>
                                        <w:bookmarkStart w:id="47" w:name="__UnoMark__351_763504500"/>
                                        <w:bookmarkEnd w:id="46"/>
                                        <w:bookmarkEnd w:id="47"/>
                                        <w:r>
                                          <w:rPr>
                                            <w:rFonts w:ascii="Calibri Light" w:hAnsi="Calibri Light" w:cs="Arial"/>
                                            <w:color w:val="000000" w:themeColor="text1"/>
                                            <w:sz w:val="16"/>
                                            <w:szCs w:val="16"/>
                                          </w:rPr>
                                          <w:t>7.230</w:t>
                                        </w:r>
                                      </w:p>
                                    </w:tc>
                                    <w:tc>
                                      <w:tcPr>
                                        <w:tcW w:w="914" w:type="dxa"/>
                                        <w:shd w:val="clear" w:color="auto" w:fill="auto"/>
                                        <w:tcMar>
                                          <w:left w:w="78" w:type="dxa"/>
                                        </w:tcMar>
                                        <w:vAlign w:val="bottom"/>
                                      </w:tcPr>
                                      <w:p w14:paraId="3B8AE47C" w14:textId="49002666" w:rsidR="00641BE9" w:rsidRDefault="00641BE9">
                                        <w:pPr>
                                          <w:pStyle w:val="Paragraph"/>
                                          <w:spacing w:before="0" w:after="0"/>
                                          <w:jc w:val="right"/>
                                        </w:pPr>
                                        <w:bookmarkStart w:id="48" w:name="__UnoMark__353_763504500"/>
                                        <w:bookmarkStart w:id="49" w:name="__UnoMark__354_763504500"/>
                                        <w:bookmarkEnd w:id="48"/>
                                        <w:bookmarkEnd w:id="49"/>
                                        <w:r>
                                          <w:rPr>
                                            <w:rFonts w:ascii="Calibri Light" w:hAnsi="Calibri Light" w:cs="Arial"/>
                                            <w:color w:val="000000" w:themeColor="text1"/>
                                            <w:sz w:val="16"/>
                                            <w:szCs w:val="16"/>
                                          </w:rPr>
                                          <w:t>8.279</w:t>
                                        </w:r>
                                      </w:p>
                                    </w:tc>
                                    <w:tc>
                                      <w:tcPr>
                                        <w:tcW w:w="995" w:type="dxa"/>
                                        <w:tcBorders>
                                          <w:left w:val="single" w:sz="4" w:space="0" w:color="BFBFBF"/>
                                          <w:right w:val="single" w:sz="4" w:space="0" w:color="BFBFBF"/>
                                        </w:tcBorders>
                                        <w:shd w:val="clear" w:color="auto" w:fill="auto"/>
                                        <w:tcMar>
                                          <w:left w:w="78" w:type="dxa"/>
                                        </w:tcMar>
                                        <w:vAlign w:val="bottom"/>
                                      </w:tcPr>
                                      <w:p w14:paraId="5A6C2D4E" w14:textId="25CDEC40" w:rsidR="00641BE9" w:rsidRDefault="00641BE9">
                                        <w:pPr>
                                          <w:pStyle w:val="Paragraph"/>
                                          <w:spacing w:before="0" w:after="0"/>
                                          <w:jc w:val="right"/>
                                        </w:pPr>
                                        <w:bookmarkStart w:id="50" w:name="__UnoMark__356_763504500"/>
                                        <w:bookmarkStart w:id="51" w:name="__UnoMark__355_763504500"/>
                                        <w:bookmarkEnd w:id="50"/>
                                        <w:bookmarkEnd w:id="51"/>
                                        <w:r>
                                          <w:rPr>
                                            <w:rFonts w:ascii="Calibri Light" w:hAnsi="Calibri Light" w:cs="Arial"/>
                                            <w:color w:val="000000" w:themeColor="text1"/>
                                            <w:sz w:val="16"/>
                                            <w:szCs w:val="16"/>
                                          </w:rPr>
                                          <w:t>3.382</w:t>
                                        </w:r>
                                      </w:p>
                                    </w:tc>
                                  </w:tr>
                                  <w:tr w:rsidR="00641BE9" w14:paraId="1ACA64B3" w14:textId="77777777" w:rsidTr="00A922E5">
                                    <w:trPr>
                                      <w:trHeight w:val="170"/>
                                    </w:trPr>
                                    <w:tc>
                                      <w:tcPr>
                                        <w:tcW w:w="2310" w:type="dxa"/>
                                        <w:tcBorders>
                                          <w:left w:val="single" w:sz="4" w:space="0" w:color="BFBFBF"/>
                                        </w:tcBorders>
                                        <w:shd w:val="clear" w:color="auto" w:fill="auto"/>
                                        <w:tcMar>
                                          <w:left w:w="78" w:type="dxa"/>
                                        </w:tcMar>
                                        <w:vAlign w:val="bottom"/>
                                      </w:tcPr>
                                      <w:p w14:paraId="095C8799" w14:textId="67ED1AE1" w:rsidR="00641BE9" w:rsidRDefault="00641BE9">
                                        <w:pPr>
                                          <w:pStyle w:val="Paragraph"/>
                                          <w:spacing w:before="0" w:after="0"/>
                                        </w:pPr>
                                        <w:bookmarkStart w:id="52" w:name="__UnoMark__357_763504500"/>
                                        <w:bookmarkStart w:id="53" w:name="__UnoMark__358_763504500"/>
                                        <w:bookmarkEnd w:id="52"/>
                                        <w:bookmarkEnd w:id="53"/>
                                        <w:r>
                                          <w:rPr>
                                            <w:rFonts w:ascii="Calibri Light" w:hAnsi="Calibri Light" w:cs="Arial"/>
                                            <w:sz w:val="16"/>
                                            <w:szCs w:val="16"/>
                                          </w:rPr>
                                          <w:t>Lettonia</w:t>
                                        </w:r>
                                      </w:p>
                                    </w:tc>
                                    <w:tc>
                                      <w:tcPr>
                                        <w:tcW w:w="1016" w:type="dxa"/>
                                        <w:shd w:val="clear" w:color="auto" w:fill="auto"/>
                                        <w:tcMar>
                                          <w:left w:w="78" w:type="dxa"/>
                                        </w:tcMar>
                                        <w:vAlign w:val="center"/>
                                      </w:tcPr>
                                      <w:p w14:paraId="3DCAA7A4" w14:textId="73A96B80" w:rsidR="00641BE9" w:rsidRPr="001F2ABF" w:rsidRDefault="00641BE9">
                                        <w:pPr>
                                          <w:pStyle w:val="Paragraph"/>
                                          <w:spacing w:before="0" w:after="0"/>
                                          <w:jc w:val="right"/>
                                        </w:pPr>
                                        <w:bookmarkStart w:id="54" w:name="__UnoMark__359_763504500"/>
                                        <w:bookmarkStart w:id="55" w:name="__UnoMark__360_763504500"/>
                                        <w:bookmarkEnd w:id="54"/>
                                        <w:bookmarkEnd w:id="55"/>
                                        <w:r>
                                          <w:rPr>
                                            <w:rFonts w:ascii="Calibri Light" w:hAnsi="Calibri Light" w:cs="Arial"/>
                                            <w:sz w:val="16"/>
                                            <w:szCs w:val="16"/>
                                            <w:lang w:eastAsia="lt-LT"/>
                                          </w:rPr>
                                          <w:t>789</w:t>
                                        </w:r>
                                      </w:p>
                                    </w:tc>
                                    <w:tc>
                                      <w:tcPr>
                                        <w:tcW w:w="914" w:type="dxa"/>
                                        <w:gridSpan w:val="2"/>
                                        <w:shd w:val="clear" w:color="auto" w:fill="auto"/>
                                        <w:tcMar>
                                          <w:left w:w="78" w:type="dxa"/>
                                        </w:tcMar>
                                        <w:vAlign w:val="center"/>
                                      </w:tcPr>
                                      <w:p w14:paraId="228E0BBF" w14:textId="458DF3C7" w:rsidR="00641BE9" w:rsidRPr="001F2ABF" w:rsidRDefault="00641BE9">
                                        <w:pPr>
                                          <w:pStyle w:val="Paragraph"/>
                                          <w:spacing w:before="0" w:after="0"/>
                                          <w:jc w:val="right"/>
                                        </w:pPr>
                                        <w:bookmarkStart w:id="56" w:name="__UnoMark__361_763504500"/>
                                        <w:bookmarkStart w:id="57" w:name="__UnoMark__362_763504500"/>
                                        <w:bookmarkEnd w:id="56"/>
                                        <w:bookmarkEnd w:id="57"/>
                                        <w:r>
                                          <w:rPr>
                                            <w:rFonts w:ascii="Calibri Light" w:hAnsi="Calibri Light" w:cs="Arial"/>
                                            <w:sz w:val="16"/>
                                            <w:szCs w:val="16"/>
                                            <w:lang w:eastAsia="lt-LT"/>
                                          </w:rPr>
                                          <w:t>735</w:t>
                                        </w:r>
                                      </w:p>
                                    </w:tc>
                                    <w:tc>
                                      <w:tcPr>
                                        <w:tcW w:w="1076" w:type="dxa"/>
                                        <w:shd w:val="clear" w:color="auto" w:fill="auto"/>
                                        <w:tcMar>
                                          <w:left w:w="78" w:type="dxa"/>
                                        </w:tcMar>
                                        <w:vAlign w:val="center"/>
                                      </w:tcPr>
                                      <w:p w14:paraId="3E656C63" w14:textId="71CDF0E2" w:rsidR="00641BE9" w:rsidRDefault="00641BE9">
                                        <w:pPr>
                                          <w:pStyle w:val="Paragraph"/>
                                          <w:spacing w:before="0" w:after="0"/>
                                          <w:jc w:val="right"/>
                                        </w:pPr>
                                        <w:bookmarkStart w:id="58" w:name="__UnoMark__364_763504500"/>
                                        <w:bookmarkStart w:id="59" w:name="__UnoMark__363_763504500"/>
                                        <w:bookmarkEnd w:id="58"/>
                                        <w:bookmarkEnd w:id="59"/>
                                        <w:r>
                                          <w:rPr>
                                            <w:rFonts w:ascii="Calibri Light" w:hAnsi="Calibri Light" w:cs="Arial"/>
                                            <w:color w:val="000000" w:themeColor="text1"/>
                                            <w:sz w:val="16"/>
                                            <w:szCs w:val="16"/>
                                          </w:rPr>
                                          <w:t>1.565</w:t>
                                        </w:r>
                                      </w:p>
                                    </w:tc>
                                    <w:tc>
                                      <w:tcPr>
                                        <w:tcW w:w="914" w:type="dxa"/>
                                        <w:shd w:val="clear" w:color="auto" w:fill="auto"/>
                                        <w:tcMar>
                                          <w:left w:w="78" w:type="dxa"/>
                                        </w:tcMar>
                                        <w:vAlign w:val="center"/>
                                      </w:tcPr>
                                      <w:p w14:paraId="53FBEF2D" w14:textId="049EF4E8" w:rsidR="00641BE9" w:rsidRDefault="00641BE9">
                                        <w:pPr>
                                          <w:pStyle w:val="Paragraph"/>
                                          <w:spacing w:before="0" w:after="0"/>
                                          <w:jc w:val="right"/>
                                        </w:pPr>
                                        <w:bookmarkStart w:id="60" w:name="__UnoMark__366_763504500"/>
                                        <w:bookmarkStart w:id="61" w:name="__UnoMark__365_763504500"/>
                                        <w:bookmarkEnd w:id="60"/>
                                        <w:bookmarkEnd w:id="61"/>
                                        <w:r>
                                          <w:rPr>
                                            <w:rFonts w:ascii="Calibri Light" w:hAnsi="Calibri Light" w:cs="Arial"/>
                                            <w:color w:val="000000" w:themeColor="text1"/>
                                            <w:sz w:val="16"/>
                                            <w:szCs w:val="16"/>
                                          </w:rPr>
                                          <w:t>1.624</w:t>
                                        </w:r>
                                      </w:p>
                                    </w:tc>
                                    <w:tc>
                                      <w:tcPr>
                                        <w:tcW w:w="995" w:type="dxa"/>
                                        <w:tcBorders>
                                          <w:left w:val="single" w:sz="4" w:space="0" w:color="BFBFBF"/>
                                          <w:right w:val="single" w:sz="4" w:space="0" w:color="BFBFBF"/>
                                        </w:tcBorders>
                                        <w:shd w:val="clear" w:color="auto" w:fill="auto"/>
                                        <w:tcMar>
                                          <w:left w:w="78" w:type="dxa"/>
                                        </w:tcMar>
                                        <w:vAlign w:val="center"/>
                                      </w:tcPr>
                                      <w:p w14:paraId="031369B1" w14:textId="612623D9" w:rsidR="00641BE9" w:rsidRDefault="00641BE9">
                                        <w:pPr>
                                          <w:pStyle w:val="Paragraph"/>
                                          <w:spacing w:before="0" w:after="0"/>
                                          <w:jc w:val="right"/>
                                        </w:pPr>
                                        <w:bookmarkStart w:id="62" w:name="__UnoMark__367_763504500"/>
                                        <w:bookmarkStart w:id="63" w:name="__UnoMark__368_763504500"/>
                                        <w:bookmarkEnd w:id="62"/>
                                        <w:bookmarkEnd w:id="63"/>
                                        <w:r>
                                          <w:rPr>
                                            <w:rFonts w:ascii="Calibri Light" w:hAnsi="Calibri Light" w:cs="Arial"/>
                                            <w:color w:val="000000" w:themeColor="text1"/>
                                            <w:sz w:val="16"/>
                                            <w:szCs w:val="16"/>
                                          </w:rPr>
                                          <w:t>1.585</w:t>
                                        </w:r>
                                      </w:p>
                                    </w:tc>
                                  </w:tr>
                                  <w:tr w:rsidR="00641BE9" w14:paraId="2D085FD3" w14:textId="77777777" w:rsidTr="00A922E5">
                                    <w:trPr>
                                      <w:trHeight w:val="170"/>
                                    </w:trPr>
                                    <w:tc>
                                      <w:tcPr>
                                        <w:tcW w:w="2310" w:type="dxa"/>
                                        <w:tcBorders>
                                          <w:left w:val="single" w:sz="4" w:space="0" w:color="BFBFBF"/>
                                        </w:tcBorders>
                                        <w:shd w:val="clear" w:color="auto" w:fill="auto"/>
                                        <w:tcMar>
                                          <w:left w:w="78" w:type="dxa"/>
                                        </w:tcMar>
                                        <w:vAlign w:val="bottom"/>
                                      </w:tcPr>
                                      <w:p w14:paraId="6185DFC0" w14:textId="77777777" w:rsidR="00641BE9" w:rsidDel="00A922E5" w:rsidRDefault="00641BE9">
                                        <w:pPr>
                                          <w:pStyle w:val="Paragraph"/>
                                          <w:spacing w:before="0" w:after="0"/>
                                          <w:rPr>
                                            <w:rFonts w:ascii="Calibri Light" w:hAnsi="Calibri Light" w:cs="Arial"/>
                                            <w:sz w:val="16"/>
                                            <w:szCs w:val="16"/>
                                          </w:rPr>
                                        </w:pPr>
                                        <w:r>
                                          <w:rPr>
                                            <w:rFonts w:ascii="Calibri Light" w:hAnsi="Calibri Light" w:cs="Arial"/>
                                            <w:sz w:val="16"/>
                                            <w:szCs w:val="16"/>
                                          </w:rPr>
                                          <w:t>*Lituania</w:t>
                                        </w:r>
                                      </w:p>
                                    </w:tc>
                                    <w:tc>
                                      <w:tcPr>
                                        <w:tcW w:w="1016" w:type="dxa"/>
                                        <w:shd w:val="clear" w:color="auto" w:fill="auto"/>
                                        <w:tcMar>
                                          <w:left w:w="78" w:type="dxa"/>
                                        </w:tcMar>
                                      </w:tcPr>
                                      <w:p w14:paraId="67E5A67C" w14:textId="77777777" w:rsidR="00641BE9" w:rsidRDefault="00641BE9">
                                        <w:pPr>
                                          <w:pStyle w:val="Paragraph"/>
                                          <w:spacing w:before="0" w:after="0"/>
                                          <w:jc w:val="right"/>
                                          <w:rPr>
                                            <w:rFonts w:ascii="Calibri Light" w:hAnsi="Calibri Light" w:cs="Arial"/>
                                            <w:sz w:val="16"/>
                                            <w:szCs w:val="16"/>
                                            <w:lang w:eastAsia="lt-LT"/>
                                          </w:rPr>
                                        </w:pPr>
                                        <w:r w:rsidRPr="005360B1">
                                          <w:rPr>
                                            <w:sz w:val="16"/>
                                            <w:szCs w:val="16"/>
                                          </w:rPr>
                                          <w:t>1,546</w:t>
                                        </w:r>
                                      </w:p>
                                    </w:tc>
                                    <w:tc>
                                      <w:tcPr>
                                        <w:tcW w:w="914" w:type="dxa"/>
                                        <w:gridSpan w:val="2"/>
                                        <w:shd w:val="clear" w:color="auto" w:fill="auto"/>
                                        <w:tcMar>
                                          <w:left w:w="78" w:type="dxa"/>
                                        </w:tcMar>
                                      </w:tcPr>
                                      <w:p w14:paraId="7030C5CD" w14:textId="77777777" w:rsidR="00641BE9" w:rsidRDefault="00641BE9">
                                        <w:pPr>
                                          <w:pStyle w:val="Paragraph"/>
                                          <w:spacing w:before="0" w:after="0"/>
                                          <w:jc w:val="right"/>
                                          <w:rPr>
                                            <w:rFonts w:ascii="Calibri Light" w:hAnsi="Calibri Light" w:cs="Arial"/>
                                            <w:sz w:val="16"/>
                                            <w:szCs w:val="16"/>
                                            <w:lang w:eastAsia="lt-LT"/>
                                          </w:rPr>
                                        </w:pPr>
                                        <w:r w:rsidRPr="005360B1">
                                          <w:rPr>
                                            <w:sz w:val="16"/>
                                            <w:szCs w:val="16"/>
                                          </w:rPr>
                                          <w:t>1,335</w:t>
                                        </w:r>
                                      </w:p>
                                    </w:tc>
                                    <w:tc>
                                      <w:tcPr>
                                        <w:tcW w:w="1076" w:type="dxa"/>
                                        <w:shd w:val="clear" w:color="auto" w:fill="auto"/>
                                        <w:tcMar>
                                          <w:left w:w="78" w:type="dxa"/>
                                        </w:tcMar>
                                        <w:vAlign w:val="bottom"/>
                                      </w:tcPr>
                                      <w:p w14:paraId="1A2132C0" w14:textId="77777777" w:rsidR="00641BE9" w:rsidRDefault="00641BE9">
                                        <w:pPr>
                                          <w:pStyle w:val="Paragraph"/>
                                          <w:spacing w:before="0" w:after="0"/>
                                          <w:jc w:val="right"/>
                                          <w:rPr>
                                            <w:rFonts w:ascii="Calibri Light" w:hAnsi="Calibri Light" w:cs="Arial"/>
                                            <w:color w:val="000000" w:themeColor="text1"/>
                                            <w:sz w:val="16"/>
                                            <w:szCs w:val="16"/>
                                          </w:rPr>
                                        </w:pPr>
                                        <w:r w:rsidRPr="005360B1">
                                          <w:rPr>
                                            <w:rFonts w:cs="Arial"/>
                                            <w:sz w:val="16"/>
                                            <w:szCs w:val="16"/>
                                          </w:rPr>
                                          <w:t>8,965</w:t>
                                        </w:r>
                                      </w:p>
                                    </w:tc>
                                    <w:tc>
                                      <w:tcPr>
                                        <w:tcW w:w="914" w:type="dxa"/>
                                        <w:shd w:val="clear" w:color="auto" w:fill="auto"/>
                                        <w:tcMar>
                                          <w:left w:w="78" w:type="dxa"/>
                                        </w:tcMar>
                                        <w:vAlign w:val="bottom"/>
                                      </w:tcPr>
                                      <w:p w14:paraId="06A4AB2C" w14:textId="77777777" w:rsidR="00641BE9" w:rsidRDefault="00641BE9">
                                        <w:pPr>
                                          <w:pStyle w:val="Paragraph"/>
                                          <w:spacing w:before="0" w:after="0"/>
                                          <w:jc w:val="right"/>
                                          <w:rPr>
                                            <w:rFonts w:ascii="Calibri Light" w:hAnsi="Calibri Light" w:cs="Arial"/>
                                            <w:color w:val="000000" w:themeColor="text1"/>
                                            <w:sz w:val="16"/>
                                            <w:szCs w:val="16"/>
                                          </w:rPr>
                                        </w:pPr>
                                        <w:r w:rsidRPr="005360B1">
                                          <w:rPr>
                                            <w:rFonts w:cs="Arial"/>
                                            <w:sz w:val="16"/>
                                            <w:szCs w:val="16"/>
                                          </w:rPr>
                                          <w:t>4,925</w:t>
                                        </w:r>
                                      </w:p>
                                    </w:tc>
                                    <w:tc>
                                      <w:tcPr>
                                        <w:tcW w:w="995" w:type="dxa"/>
                                        <w:tcBorders>
                                          <w:left w:val="single" w:sz="4" w:space="0" w:color="BFBFBF"/>
                                          <w:right w:val="single" w:sz="4" w:space="0" w:color="BFBFBF"/>
                                        </w:tcBorders>
                                        <w:shd w:val="clear" w:color="auto" w:fill="auto"/>
                                        <w:tcMar>
                                          <w:left w:w="78" w:type="dxa"/>
                                        </w:tcMar>
                                        <w:vAlign w:val="bottom"/>
                                      </w:tcPr>
                                      <w:p w14:paraId="76476C08" w14:textId="77777777" w:rsidR="00641BE9" w:rsidRDefault="00641BE9">
                                        <w:pPr>
                                          <w:pStyle w:val="Paragraph"/>
                                          <w:spacing w:before="0" w:after="0"/>
                                          <w:jc w:val="right"/>
                                          <w:rPr>
                                            <w:rFonts w:ascii="Calibri Light" w:hAnsi="Calibri Light" w:cs="Arial"/>
                                            <w:color w:val="000000" w:themeColor="text1"/>
                                            <w:sz w:val="16"/>
                                            <w:szCs w:val="16"/>
                                          </w:rPr>
                                        </w:pPr>
                                        <w:r w:rsidRPr="005360B1">
                                          <w:rPr>
                                            <w:rFonts w:cs="Arial"/>
                                            <w:color w:val="000000"/>
                                            <w:sz w:val="16"/>
                                            <w:szCs w:val="16"/>
                                          </w:rPr>
                                          <w:t>2,441</w:t>
                                        </w:r>
                                      </w:p>
                                    </w:tc>
                                  </w:tr>
                                  <w:tr w:rsidR="00641BE9" w14:paraId="4C149CA3" w14:textId="77777777" w:rsidTr="00A922E5">
                                    <w:trPr>
                                      <w:trHeight w:val="170"/>
                                    </w:trPr>
                                    <w:tc>
                                      <w:tcPr>
                                        <w:tcW w:w="2310" w:type="dxa"/>
                                        <w:tcBorders>
                                          <w:left w:val="single" w:sz="4" w:space="0" w:color="BFBFBF"/>
                                        </w:tcBorders>
                                        <w:shd w:val="clear" w:color="auto" w:fill="auto"/>
                                        <w:tcMar>
                                          <w:left w:w="78" w:type="dxa"/>
                                        </w:tcMar>
                                        <w:vAlign w:val="bottom"/>
                                      </w:tcPr>
                                      <w:p w14:paraId="3550F14D" w14:textId="77777777" w:rsidR="00641BE9" w:rsidRDefault="00641BE9">
                                        <w:pPr>
                                          <w:pStyle w:val="Paragraph"/>
                                          <w:spacing w:before="0" w:after="0"/>
                                          <w:rPr>
                                            <w:rFonts w:ascii="Calibri Light" w:hAnsi="Calibri Light" w:cs="Arial"/>
                                            <w:sz w:val="16"/>
                                            <w:szCs w:val="16"/>
                                          </w:rPr>
                                        </w:pPr>
                                        <w:r>
                                          <w:rPr>
                                            <w:rFonts w:ascii="Calibri Light" w:hAnsi="Calibri Light" w:cs="Arial"/>
                                            <w:sz w:val="16"/>
                                            <w:szCs w:val="16"/>
                                          </w:rPr>
                                          <w:t>*Germania</w:t>
                                        </w:r>
                                      </w:p>
                                    </w:tc>
                                    <w:tc>
                                      <w:tcPr>
                                        <w:tcW w:w="1016" w:type="dxa"/>
                                        <w:shd w:val="clear" w:color="auto" w:fill="auto"/>
                                        <w:tcMar>
                                          <w:left w:w="78" w:type="dxa"/>
                                        </w:tcMar>
                                      </w:tcPr>
                                      <w:p w14:paraId="7D45F408" w14:textId="0F3A252F" w:rsidR="00641BE9" w:rsidRPr="005360B1" w:rsidRDefault="00641BE9">
                                        <w:pPr>
                                          <w:pStyle w:val="Paragraph"/>
                                          <w:spacing w:before="0" w:after="0"/>
                                          <w:jc w:val="right"/>
                                          <w:rPr>
                                            <w:sz w:val="16"/>
                                            <w:szCs w:val="16"/>
                                          </w:rPr>
                                        </w:pPr>
                                        <w:r w:rsidRPr="005360B1">
                                          <w:rPr>
                                            <w:sz w:val="16"/>
                                            <w:szCs w:val="16"/>
                                          </w:rPr>
                                          <w:t>1</w:t>
                                        </w:r>
                                        <w:r>
                                          <w:rPr>
                                            <w:sz w:val="16"/>
                                            <w:szCs w:val="16"/>
                                          </w:rPr>
                                          <w:t>.</w:t>
                                        </w:r>
                                        <w:r w:rsidRPr="005360B1">
                                          <w:rPr>
                                            <w:sz w:val="16"/>
                                            <w:szCs w:val="16"/>
                                          </w:rPr>
                                          <w:t>841</w:t>
                                        </w:r>
                                      </w:p>
                                    </w:tc>
                                    <w:tc>
                                      <w:tcPr>
                                        <w:tcW w:w="914" w:type="dxa"/>
                                        <w:gridSpan w:val="2"/>
                                        <w:shd w:val="clear" w:color="auto" w:fill="auto"/>
                                        <w:tcMar>
                                          <w:left w:w="78" w:type="dxa"/>
                                        </w:tcMar>
                                      </w:tcPr>
                                      <w:p w14:paraId="7FAFC7AB" w14:textId="44B13E63" w:rsidR="00641BE9" w:rsidRPr="005360B1" w:rsidRDefault="00641BE9">
                                        <w:pPr>
                                          <w:pStyle w:val="Paragraph"/>
                                          <w:spacing w:before="0" w:after="0"/>
                                          <w:jc w:val="right"/>
                                          <w:rPr>
                                            <w:sz w:val="16"/>
                                            <w:szCs w:val="16"/>
                                          </w:rPr>
                                        </w:pPr>
                                        <w:r w:rsidRPr="005360B1">
                                          <w:rPr>
                                            <w:sz w:val="16"/>
                                            <w:szCs w:val="16"/>
                                          </w:rPr>
                                          <w:t>1</w:t>
                                        </w:r>
                                        <w:r>
                                          <w:rPr>
                                            <w:sz w:val="16"/>
                                            <w:szCs w:val="16"/>
                                          </w:rPr>
                                          <w:t>.</w:t>
                                        </w:r>
                                        <w:r w:rsidRPr="005360B1">
                                          <w:rPr>
                                            <w:sz w:val="16"/>
                                            <w:szCs w:val="16"/>
                                          </w:rPr>
                                          <w:t>775</w:t>
                                        </w:r>
                                      </w:p>
                                    </w:tc>
                                    <w:tc>
                                      <w:tcPr>
                                        <w:tcW w:w="1076" w:type="dxa"/>
                                        <w:shd w:val="clear" w:color="auto" w:fill="auto"/>
                                        <w:tcMar>
                                          <w:left w:w="78" w:type="dxa"/>
                                        </w:tcMar>
                                        <w:vAlign w:val="bottom"/>
                                      </w:tcPr>
                                      <w:p w14:paraId="158BF990" w14:textId="5EB32C49" w:rsidR="00641BE9" w:rsidRPr="005360B1" w:rsidRDefault="00641BE9">
                                        <w:pPr>
                                          <w:pStyle w:val="Paragraph"/>
                                          <w:spacing w:before="0" w:after="0"/>
                                          <w:jc w:val="right"/>
                                          <w:rPr>
                                            <w:rFonts w:cs="Arial"/>
                                            <w:sz w:val="16"/>
                                            <w:szCs w:val="16"/>
                                          </w:rPr>
                                        </w:pPr>
                                        <w:r w:rsidRPr="005360B1">
                                          <w:rPr>
                                            <w:rFonts w:cs="Arial"/>
                                            <w:sz w:val="16"/>
                                            <w:szCs w:val="16"/>
                                          </w:rPr>
                                          <w:t>3</w:t>
                                        </w:r>
                                        <w:r>
                                          <w:rPr>
                                            <w:rFonts w:cs="Arial"/>
                                            <w:sz w:val="16"/>
                                            <w:szCs w:val="16"/>
                                          </w:rPr>
                                          <w:t>.</w:t>
                                        </w:r>
                                        <w:r w:rsidRPr="005360B1">
                                          <w:rPr>
                                            <w:rFonts w:cs="Arial"/>
                                            <w:sz w:val="16"/>
                                            <w:szCs w:val="16"/>
                                          </w:rPr>
                                          <w:t>421</w:t>
                                        </w:r>
                                      </w:p>
                                    </w:tc>
                                    <w:tc>
                                      <w:tcPr>
                                        <w:tcW w:w="914" w:type="dxa"/>
                                        <w:shd w:val="clear" w:color="auto" w:fill="auto"/>
                                        <w:tcMar>
                                          <w:left w:w="78" w:type="dxa"/>
                                        </w:tcMar>
                                        <w:vAlign w:val="bottom"/>
                                      </w:tcPr>
                                      <w:p w14:paraId="35F1C854" w14:textId="1AB6E1EF" w:rsidR="00641BE9" w:rsidRPr="005360B1" w:rsidRDefault="00641BE9">
                                        <w:pPr>
                                          <w:pStyle w:val="Paragraph"/>
                                          <w:spacing w:before="0" w:after="0"/>
                                          <w:jc w:val="right"/>
                                          <w:rPr>
                                            <w:rFonts w:cs="Arial"/>
                                            <w:sz w:val="16"/>
                                            <w:szCs w:val="16"/>
                                          </w:rPr>
                                        </w:pPr>
                                        <w:r w:rsidRPr="005360B1">
                                          <w:rPr>
                                            <w:rFonts w:cs="Arial"/>
                                            <w:sz w:val="16"/>
                                            <w:szCs w:val="16"/>
                                          </w:rPr>
                                          <w:t>3</w:t>
                                        </w:r>
                                        <w:r>
                                          <w:rPr>
                                            <w:rFonts w:cs="Arial"/>
                                            <w:sz w:val="16"/>
                                            <w:szCs w:val="16"/>
                                          </w:rPr>
                                          <w:t>.</w:t>
                                        </w:r>
                                        <w:r w:rsidRPr="005360B1">
                                          <w:rPr>
                                            <w:rFonts w:cs="Arial"/>
                                            <w:sz w:val="16"/>
                                            <w:szCs w:val="16"/>
                                          </w:rPr>
                                          <w:t>937</w:t>
                                        </w:r>
                                      </w:p>
                                    </w:tc>
                                    <w:tc>
                                      <w:tcPr>
                                        <w:tcW w:w="995" w:type="dxa"/>
                                        <w:tcBorders>
                                          <w:left w:val="single" w:sz="4" w:space="0" w:color="BFBFBF"/>
                                          <w:right w:val="single" w:sz="4" w:space="0" w:color="BFBFBF"/>
                                        </w:tcBorders>
                                        <w:shd w:val="clear" w:color="auto" w:fill="auto"/>
                                        <w:tcMar>
                                          <w:left w:w="78" w:type="dxa"/>
                                        </w:tcMar>
                                        <w:vAlign w:val="bottom"/>
                                      </w:tcPr>
                                      <w:p w14:paraId="179F0F24" w14:textId="75065980" w:rsidR="00641BE9" w:rsidRPr="005360B1" w:rsidRDefault="00641BE9">
                                        <w:pPr>
                                          <w:pStyle w:val="Paragraph"/>
                                          <w:spacing w:before="0" w:after="0"/>
                                          <w:jc w:val="right"/>
                                          <w:rPr>
                                            <w:rFonts w:cs="Arial"/>
                                            <w:color w:val="000000"/>
                                            <w:sz w:val="16"/>
                                            <w:szCs w:val="16"/>
                                          </w:rPr>
                                        </w:pPr>
                                        <w:r w:rsidRPr="005360B1">
                                          <w:rPr>
                                            <w:rFonts w:cs="Arial"/>
                                            <w:color w:val="000000"/>
                                            <w:sz w:val="16"/>
                                            <w:szCs w:val="16"/>
                                          </w:rPr>
                                          <w:t>3</w:t>
                                        </w:r>
                                        <w:r>
                                          <w:rPr>
                                            <w:rFonts w:cs="Arial"/>
                                            <w:color w:val="000000"/>
                                            <w:sz w:val="16"/>
                                            <w:szCs w:val="16"/>
                                          </w:rPr>
                                          <w:t>.</w:t>
                                        </w:r>
                                        <w:r w:rsidRPr="005360B1">
                                          <w:rPr>
                                            <w:rFonts w:cs="Arial"/>
                                            <w:color w:val="000000"/>
                                            <w:sz w:val="16"/>
                                            <w:szCs w:val="16"/>
                                          </w:rPr>
                                          <w:t>363</w:t>
                                        </w:r>
                                      </w:p>
                                    </w:tc>
                                  </w:tr>
                                  <w:tr w:rsidR="00641BE9" w14:paraId="3BEFBE49" w14:textId="77777777" w:rsidTr="00A922E5">
                                    <w:trPr>
                                      <w:trHeight w:val="170"/>
                                    </w:trPr>
                                    <w:tc>
                                      <w:tcPr>
                                        <w:tcW w:w="2310" w:type="dxa"/>
                                        <w:tcBorders>
                                          <w:left w:val="single" w:sz="4" w:space="0" w:color="BFBFBF"/>
                                        </w:tcBorders>
                                        <w:shd w:val="clear" w:color="auto" w:fill="auto"/>
                                        <w:tcMar>
                                          <w:left w:w="78" w:type="dxa"/>
                                        </w:tcMar>
                                        <w:vAlign w:val="bottom"/>
                                      </w:tcPr>
                                      <w:p w14:paraId="4DC9FAC5" w14:textId="77777777" w:rsidR="00641BE9" w:rsidRDefault="00641BE9">
                                        <w:pPr>
                                          <w:pStyle w:val="Paragraph"/>
                                          <w:spacing w:before="0" w:after="0"/>
                                          <w:rPr>
                                            <w:rFonts w:ascii="Calibri Light" w:hAnsi="Calibri Light" w:cs="Arial"/>
                                            <w:sz w:val="16"/>
                                            <w:szCs w:val="16"/>
                                          </w:rPr>
                                        </w:pPr>
                                        <w:r>
                                          <w:rPr>
                                            <w:rFonts w:ascii="Calibri Light" w:hAnsi="Calibri Light" w:cs="Arial"/>
                                            <w:sz w:val="16"/>
                                            <w:szCs w:val="16"/>
                                          </w:rPr>
                                          <w:t>*eliminazioni</w:t>
                                        </w:r>
                                      </w:p>
                                    </w:tc>
                                    <w:tc>
                                      <w:tcPr>
                                        <w:tcW w:w="1016" w:type="dxa"/>
                                        <w:shd w:val="clear" w:color="auto" w:fill="auto"/>
                                        <w:tcMar>
                                          <w:left w:w="78" w:type="dxa"/>
                                        </w:tcMar>
                                      </w:tcPr>
                                      <w:p w14:paraId="58A64470" w14:textId="20C9FB16" w:rsidR="00641BE9" w:rsidRPr="005360B1" w:rsidRDefault="00641BE9">
                                        <w:pPr>
                                          <w:pStyle w:val="Paragraph"/>
                                          <w:spacing w:before="0" w:after="0"/>
                                          <w:jc w:val="right"/>
                                          <w:rPr>
                                            <w:sz w:val="16"/>
                                            <w:szCs w:val="16"/>
                                          </w:rPr>
                                        </w:pPr>
                                        <w:r>
                                          <w:rPr>
                                            <w:sz w:val="16"/>
                                            <w:szCs w:val="16"/>
                                          </w:rPr>
                                          <w:t>- 234</w:t>
                                        </w:r>
                                      </w:p>
                                    </w:tc>
                                    <w:tc>
                                      <w:tcPr>
                                        <w:tcW w:w="914" w:type="dxa"/>
                                        <w:gridSpan w:val="2"/>
                                        <w:shd w:val="clear" w:color="auto" w:fill="auto"/>
                                        <w:tcMar>
                                          <w:left w:w="78" w:type="dxa"/>
                                        </w:tcMar>
                                      </w:tcPr>
                                      <w:p w14:paraId="7D9C539A" w14:textId="653DECED" w:rsidR="00641BE9" w:rsidRPr="005360B1" w:rsidRDefault="00641BE9">
                                        <w:pPr>
                                          <w:pStyle w:val="Paragraph"/>
                                          <w:spacing w:before="0" w:after="0"/>
                                          <w:jc w:val="right"/>
                                          <w:rPr>
                                            <w:sz w:val="16"/>
                                            <w:szCs w:val="16"/>
                                          </w:rPr>
                                        </w:pPr>
                                        <w:r>
                                          <w:rPr>
                                            <w:sz w:val="16"/>
                                            <w:szCs w:val="16"/>
                                          </w:rPr>
                                          <w:t>- 244</w:t>
                                        </w:r>
                                      </w:p>
                                    </w:tc>
                                    <w:tc>
                                      <w:tcPr>
                                        <w:tcW w:w="1076" w:type="dxa"/>
                                        <w:shd w:val="clear" w:color="auto" w:fill="auto"/>
                                        <w:tcMar>
                                          <w:left w:w="78" w:type="dxa"/>
                                        </w:tcMar>
                                        <w:vAlign w:val="bottom"/>
                                      </w:tcPr>
                                      <w:p w14:paraId="71402FC1" w14:textId="6BE02519" w:rsidR="00641BE9" w:rsidRPr="005360B1" w:rsidRDefault="00641BE9">
                                        <w:pPr>
                                          <w:pStyle w:val="Paragraph"/>
                                          <w:spacing w:before="0" w:after="0"/>
                                          <w:jc w:val="right"/>
                                          <w:rPr>
                                            <w:rFonts w:cs="Arial"/>
                                            <w:sz w:val="16"/>
                                            <w:szCs w:val="16"/>
                                          </w:rPr>
                                        </w:pPr>
                                        <w:r>
                                          <w:rPr>
                                            <w:rFonts w:cs="Arial"/>
                                            <w:sz w:val="16"/>
                                            <w:szCs w:val="16"/>
                                          </w:rPr>
                                          <w:t>- 1,052</w:t>
                                        </w:r>
                                      </w:p>
                                    </w:tc>
                                    <w:tc>
                                      <w:tcPr>
                                        <w:tcW w:w="914" w:type="dxa"/>
                                        <w:shd w:val="clear" w:color="auto" w:fill="auto"/>
                                        <w:tcMar>
                                          <w:left w:w="78" w:type="dxa"/>
                                        </w:tcMar>
                                        <w:vAlign w:val="bottom"/>
                                      </w:tcPr>
                                      <w:p w14:paraId="46750635" w14:textId="7B96282A" w:rsidR="00641BE9" w:rsidRPr="005360B1" w:rsidRDefault="00641BE9">
                                        <w:pPr>
                                          <w:pStyle w:val="Paragraph"/>
                                          <w:spacing w:before="0" w:after="0"/>
                                          <w:jc w:val="right"/>
                                          <w:rPr>
                                            <w:rFonts w:cs="Arial"/>
                                            <w:sz w:val="16"/>
                                            <w:szCs w:val="16"/>
                                          </w:rPr>
                                        </w:pPr>
                                        <w:r>
                                          <w:rPr>
                                            <w:rFonts w:cs="Arial"/>
                                            <w:sz w:val="16"/>
                                            <w:szCs w:val="16"/>
                                          </w:rPr>
                                          <w:t>- 829</w:t>
                                        </w:r>
                                      </w:p>
                                    </w:tc>
                                    <w:tc>
                                      <w:tcPr>
                                        <w:tcW w:w="995" w:type="dxa"/>
                                        <w:tcBorders>
                                          <w:left w:val="single" w:sz="4" w:space="0" w:color="BFBFBF"/>
                                          <w:right w:val="single" w:sz="4" w:space="0" w:color="BFBFBF"/>
                                        </w:tcBorders>
                                        <w:shd w:val="clear" w:color="auto" w:fill="auto"/>
                                        <w:tcMar>
                                          <w:left w:w="78" w:type="dxa"/>
                                        </w:tcMar>
                                        <w:vAlign w:val="bottom"/>
                                      </w:tcPr>
                                      <w:p w14:paraId="127C0C47" w14:textId="4C3B73FB" w:rsidR="00641BE9" w:rsidRPr="005360B1" w:rsidRDefault="00641BE9">
                                        <w:pPr>
                                          <w:pStyle w:val="Paragraph"/>
                                          <w:spacing w:before="0" w:after="0"/>
                                          <w:jc w:val="right"/>
                                          <w:rPr>
                                            <w:rFonts w:cs="Arial"/>
                                            <w:color w:val="000000"/>
                                            <w:sz w:val="16"/>
                                            <w:szCs w:val="16"/>
                                          </w:rPr>
                                        </w:pPr>
                                        <w:r>
                                          <w:rPr>
                                            <w:rFonts w:cs="Arial"/>
                                            <w:color w:val="000000"/>
                                            <w:sz w:val="16"/>
                                            <w:szCs w:val="16"/>
                                          </w:rPr>
                                          <w:t>- 807</w:t>
                                        </w:r>
                                      </w:p>
                                    </w:tc>
                                  </w:tr>
                                  <w:tr w:rsidR="00641BE9" w14:paraId="484C0CFA" w14:textId="77777777" w:rsidTr="00A922E5">
                                    <w:trPr>
                                      <w:trHeight w:val="170"/>
                                    </w:trPr>
                                    <w:tc>
                                      <w:tcPr>
                                        <w:tcW w:w="7225" w:type="dxa"/>
                                        <w:gridSpan w:val="7"/>
                                        <w:tcBorders>
                                          <w:top w:val="single" w:sz="4" w:space="0" w:color="BFBFBF"/>
                                          <w:left w:val="single" w:sz="4" w:space="0" w:color="BFBFBF"/>
                                          <w:bottom w:val="single" w:sz="4" w:space="0" w:color="BFBFBF"/>
                                        </w:tcBorders>
                                        <w:shd w:val="clear" w:color="auto" w:fill="auto"/>
                                        <w:tcMar>
                                          <w:left w:w="78" w:type="dxa"/>
                                        </w:tcMar>
                                        <w:vAlign w:val="bottom"/>
                                      </w:tcPr>
                                      <w:p w14:paraId="7763BCB9" w14:textId="77777777" w:rsidR="00641BE9" w:rsidRDefault="00641BE9">
                                        <w:pPr>
                                          <w:pStyle w:val="Paragraph"/>
                                          <w:spacing w:before="0" w:after="0"/>
                                        </w:pPr>
                                        <w:r>
                                          <w:rPr>
                                            <w:rFonts w:ascii="Calibri Light" w:hAnsi="Calibri Light" w:cs="Arial"/>
                                            <w:i/>
                                            <w:color w:val="000000" w:themeColor="text1"/>
                                            <w:sz w:val="16"/>
                                            <w:szCs w:val="16"/>
                                          </w:rPr>
                                          <w:t>Fonte</w:t>
                                        </w:r>
                                        <w:r w:rsidRPr="000C3AB8">
                                          <w:rPr>
                                            <w:rFonts w:ascii="Calibri Light" w:hAnsi="Calibri Light" w:cs="Arial"/>
                                            <w:i/>
                                            <w:color w:val="000000" w:themeColor="text1"/>
                                            <w:sz w:val="16"/>
                                            <w:szCs w:val="16"/>
                                          </w:rPr>
                                          <w:t>: Bilanci, la S</w:t>
                                        </w:r>
                                        <w:r>
                                          <w:rPr>
                                            <w:rFonts w:ascii="Calibri Light" w:hAnsi="Calibri Light" w:cs="Arial"/>
                                            <w:i/>
                                            <w:color w:val="000000" w:themeColor="text1"/>
                                            <w:sz w:val="16"/>
                                            <w:szCs w:val="16"/>
                                          </w:rPr>
                                          <w:t>ocietà</w:t>
                                        </w:r>
                                      </w:p>
                                    </w:tc>
                                  </w:tr>
                                </w:tbl>
                                <w:p w14:paraId="289AB1C2" w14:textId="77777777" w:rsidR="00641BE9" w:rsidRDefault="00641BE9" w:rsidP="004976E9">
                                  <w:pPr>
                                    <w:pStyle w:val="FrameContents"/>
                                  </w:pP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4D5D0030" id="_x0000_t202" coordsize="21600,21600" o:spt="202" path="m,l,21600r21600,l21600,xe">
                      <v:stroke joinstyle="miter"/>
                      <v:path gradientshapeok="t" o:connecttype="rect"/>
                    </v:shapetype>
                    <v:shape id="Frame1" o:spid="_x0000_s1026" type="#_x0000_t202" style="position:absolute;left:0;text-align:left;margin-left:-2.65pt;margin-top:2.1pt;width:361.25pt;height:124.65pt;z-index:251659264;visibility:visible;mso-wrap-style:square;mso-width-percent:0;mso-height-percent:0;mso-wrap-distance-left:7.05pt;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" filled="f" stroked="f">
                      <v:textbox style="mso-fit-shape-to-text:t" inset="0,0,0,0">
                        <w:txbxContent>
                          <w:tbl>
                            <w:tblPr>
                              <w:tblStyle w:val="TableGrid"/>
                              <w:tblW w:w="7225" w:type="dxa"/>
                              <w:tblInd w:w="83" w:type="dxa"/>
                              <w:tblBorders>
                                <w:top w:val="single" w:sz="4" w:space="0" w:color="BFBFBF"/>
                                <w:left w:val="single" w:sz="4" w:space="0" w:color="BFBFBF"/>
                              </w:tblBorders>
                              <w:tblCellMar>
                                <w:left w:w="78" w:type="dxa"/>
                              </w:tblCellMar>
                              <w:tblLook w:val="04A0" w:firstRow="1" w:lastRow="0" w:firstColumn="1" w:lastColumn="0" w:noHBand="0" w:noVBand="1"/>
                            </w:tblPr>
                            <w:tblGrid>
                              <w:gridCol w:w="2310"/>
                              <w:gridCol w:w="1016"/>
                              <w:gridCol w:w="890"/>
                              <w:gridCol w:w="24"/>
                              <w:gridCol w:w="1076"/>
                              <w:gridCol w:w="914"/>
                              <w:gridCol w:w="995"/>
                            </w:tblGrid>
                            <w:tr w:rsidR="00641BE9" w14:paraId="5B4C9507" w14:textId="77777777" w:rsidTr="00A922E5">
                              <w:trPr>
                                <w:trHeight w:val="170"/>
                              </w:trPr>
                              <w:tc>
                                <w:tcPr>
                                  <w:tcW w:w="2310" w:type="dxa"/>
                                  <w:tcBorders>
                                    <w:top w:val="single" w:sz="4" w:space="0" w:color="BFBFBF"/>
                                    <w:left w:val="single" w:sz="4" w:space="0" w:color="BFBFBF"/>
                                  </w:tcBorders>
                                  <w:shd w:val="clear" w:color="auto" w:fill="C8501E"/>
                                  <w:tcMar>
                                    <w:left w:w="78" w:type="dxa"/>
                                  </w:tcMar>
                                  <w:vAlign w:val="bottom"/>
                                </w:tcPr>
                                <w:p w14:paraId="6D615D00" w14:textId="77777777" w:rsidR="00641BE9" w:rsidRDefault="00641BE9">
                                  <w:pPr>
                                    <w:pStyle w:val="Paragraph"/>
                                    <w:spacing w:before="0" w:after="0"/>
                                    <w:jc w:val="left"/>
                                  </w:pPr>
                                  <w:r>
                                    <w:rPr>
                                      <w:rFonts w:ascii="Calibri Light" w:hAnsi="Calibri Light" w:cs="Arial"/>
                                      <w:i/>
                                      <w:iCs/>
                                      <w:color w:val="FFFFFF" w:themeColor="background1"/>
                                      <w:sz w:val="16"/>
                                      <w:szCs w:val="16"/>
                                    </w:rPr>
                                    <w:t xml:space="preserve">in </w:t>
                                  </w:r>
                                  <w:bookmarkStart w:id="64" w:name="__UnoMark__304_763504500"/>
                                  <w:bookmarkEnd w:id="64"/>
                                  <w:r>
                                    <w:rPr>
                                      <w:rFonts w:ascii="Calibri Light" w:hAnsi="Calibri Light" w:cs="Arial"/>
                                      <w:i/>
                                      <w:iCs/>
                                      <w:color w:val="FFFFFF" w:themeColor="background1"/>
                                      <w:sz w:val="16"/>
                                      <w:szCs w:val="16"/>
                                    </w:rPr>
                                    <w:t>migliaia di Euro</w:t>
                                  </w:r>
                                </w:p>
                              </w:tc>
                              <w:tc>
                                <w:tcPr>
                                  <w:tcW w:w="1906" w:type="dxa"/>
                                  <w:gridSpan w:val="2"/>
                                  <w:tcBorders>
                                    <w:top w:val="single" w:sz="4" w:space="0" w:color="BFBFBF"/>
                                  </w:tcBorders>
                                  <w:shd w:val="clear" w:color="auto" w:fill="C8501E"/>
                                  <w:tcMar>
                                    <w:left w:w="78" w:type="dxa"/>
                                  </w:tcMar>
                                  <w:vAlign w:val="bottom"/>
                                </w:tcPr>
                                <w:p w14:paraId="4B39AFCD" w14:textId="77777777" w:rsidR="00641BE9" w:rsidRDefault="00641BE9">
                                  <w:pPr>
                                    <w:pStyle w:val="Paragraph"/>
                                    <w:spacing w:before="0" w:after="0"/>
                                    <w:jc w:val="center"/>
                                  </w:pPr>
                                  <w:bookmarkStart w:id="65" w:name="__UnoMark__305_763504500"/>
                                  <w:bookmarkEnd w:id="65"/>
                                  <w:r>
                                    <w:rPr>
                                      <w:rFonts w:ascii="Calibri Light" w:hAnsi="Calibri Light" w:cs="Arial"/>
                                      <w:color w:val="FFFFFF" w:themeColor="background1"/>
                                      <w:sz w:val="16"/>
                                      <w:szCs w:val="16"/>
                                    </w:rPr>
                                    <w:t xml:space="preserve">6 mesi conclusosi il 30 </w:t>
                                  </w:r>
                                  <w:bookmarkStart w:id="66" w:name="__UnoMark__306_763504500"/>
                                  <w:bookmarkEnd w:id="66"/>
                                  <w:r>
                                    <w:rPr>
                                      <w:rFonts w:ascii="Calibri Light" w:hAnsi="Calibri Light" w:cs="Arial"/>
                                      <w:color w:val="FFFFFF" w:themeColor="background1"/>
                                      <w:sz w:val="16"/>
                                      <w:szCs w:val="16"/>
                                    </w:rPr>
                                    <w:t>giugno</w:t>
                                  </w:r>
                                </w:p>
                              </w:tc>
                              <w:tc>
                                <w:tcPr>
                                  <w:tcW w:w="3009" w:type="dxa"/>
                                  <w:gridSpan w:val="4"/>
                                  <w:tcBorders>
                                    <w:top w:val="single" w:sz="4" w:space="0" w:color="BFBFBF"/>
                                    <w:left w:val="single" w:sz="4" w:space="0" w:color="BFBFBF"/>
                                    <w:right w:val="single" w:sz="4" w:space="0" w:color="BFBFBF"/>
                                  </w:tcBorders>
                                  <w:shd w:val="clear" w:color="auto" w:fill="C8501E"/>
                                  <w:tcMar>
                                    <w:left w:w="78" w:type="dxa"/>
                                  </w:tcMar>
                                  <w:vAlign w:val="bottom"/>
                                </w:tcPr>
                                <w:p w14:paraId="7F1A2D67" w14:textId="77777777" w:rsidR="00641BE9" w:rsidRDefault="00641BE9">
                                  <w:pPr>
                                    <w:pStyle w:val="Paragraph"/>
                                    <w:spacing w:before="0" w:after="0"/>
                                    <w:jc w:val="center"/>
                                  </w:pPr>
                                  <w:bookmarkStart w:id="67" w:name="__UnoMark__307_763504500"/>
                                  <w:bookmarkEnd w:id="67"/>
                                  <w:r>
                                    <w:rPr>
                                      <w:rFonts w:ascii="Calibri Light" w:hAnsi="Calibri Light" w:cs="Arial"/>
                                      <w:color w:val="FFFFFF" w:themeColor="background1"/>
                                      <w:sz w:val="16"/>
                                      <w:szCs w:val="16"/>
                                    </w:rPr>
                                    <w:t>12 mesi conclusosi il</w:t>
                                  </w:r>
                                </w:p>
                                <w:p w14:paraId="2A4CB1C5" w14:textId="77777777" w:rsidR="00641BE9" w:rsidRDefault="00641BE9">
                                  <w:pPr>
                                    <w:pStyle w:val="Paragraph"/>
                                    <w:spacing w:before="0" w:after="0"/>
                                    <w:jc w:val="center"/>
                                  </w:pPr>
                                  <w:r>
                                    <w:rPr>
                                      <w:rFonts w:ascii="Calibri Light" w:hAnsi="Calibri Light" w:cs="Arial"/>
                                      <w:color w:val="FFFFFF" w:themeColor="background1"/>
                                      <w:sz w:val="16"/>
                                      <w:szCs w:val="16"/>
                                    </w:rPr>
                                    <w:t xml:space="preserve">31 </w:t>
                                  </w:r>
                                  <w:bookmarkStart w:id="68" w:name="__UnoMark__308_763504500"/>
                                  <w:bookmarkEnd w:id="68"/>
                                  <w:r>
                                    <w:rPr>
                                      <w:rFonts w:ascii="Calibri Light" w:hAnsi="Calibri Light" w:cs="Arial"/>
                                      <w:color w:val="FFFFFF" w:themeColor="background1"/>
                                      <w:sz w:val="16"/>
                                      <w:szCs w:val="16"/>
                                    </w:rPr>
                                    <w:t>dicembre</w:t>
                                  </w:r>
                                </w:p>
                              </w:tc>
                            </w:tr>
                            <w:tr w:rsidR="00641BE9" w14:paraId="4F9CF3B1" w14:textId="77777777" w:rsidTr="00A922E5">
                              <w:trPr>
                                <w:trHeight w:val="170"/>
                              </w:trPr>
                              <w:tc>
                                <w:tcPr>
                                  <w:tcW w:w="2310" w:type="dxa"/>
                                  <w:tcBorders>
                                    <w:left w:val="single" w:sz="4" w:space="0" w:color="BFBFBF"/>
                                  </w:tcBorders>
                                  <w:shd w:val="clear" w:color="auto" w:fill="C8501E"/>
                                  <w:tcMar>
                                    <w:left w:w="78" w:type="dxa"/>
                                  </w:tcMar>
                                </w:tcPr>
                                <w:p w14:paraId="23FE0BCE" w14:textId="77777777" w:rsidR="00641BE9" w:rsidRDefault="00641BE9">
                                  <w:pPr>
                                    <w:pStyle w:val="Paragraph"/>
                                    <w:spacing w:before="0" w:after="0"/>
                                    <w:rPr>
                                      <w:rFonts w:asciiTheme="majorHAnsi" w:hAnsiTheme="majorHAnsi" w:cs="Arial"/>
                                      <w:color w:val="FFFFFF"/>
                                      <w:sz w:val="16"/>
                                    </w:rPr>
                                  </w:pPr>
                                  <w:bookmarkStart w:id="69" w:name="__UnoMark__309_763504500"/>
                                  <w:bookmarkStart w:id="70" w:name="__UnoMark__310_763504500"/>
                                  <w:bookmarkEnd w:id="69"/>
                                  <w:bookmarkEnd w:id="70"/>
                                </w:p>
                              </w:tc>
                              <w:tc>
                                <w:tcPr>
                                  <w:tcW w:w="1016" w:type="dxa"/>
                                  <w:shd w:val="clear" w:color="auto" w:fill="C8501E"/>
                                  <w:tcMar>
                                    <w:left w:w="78" w:type="dxa"/>
                                  </w:tcMar>
                                </w:tcPr>
                                <w:p w14:paraId="6417A4A4" w14:textId="77777777" w:rsidR="00641BE9" w:rsidRDefault="00641BE9">
                                  <w:pPr>
                                    <w:pStyle w:val="Paragraph"/>
                                    <w:spacing w:before="0" w:after="0"/>
                                    <w:jc w:val="right"/>
                                  </w:pPr>
                                  <w:bookmarkStart w:id="71" w:name="__UnoMark__311_763504500"/>
                                  <w:bookmarkStart w:id="72" w:name="__UnoMark__312_763504500"/>
                                  <w:bookmarkEnd w:id="71"/>
                                  <w:bookmarkEnd w:id="72"/>
                                  <w:r>
                                    <w:rPr>
                                      <w:rFonts w:ascii="Calibri Light" w:hAnsi="Calibri Light" w:cs="Arial"/>
                                      <w:color w:val="FFFFFF" w:themeColor="background1"/>
                                      <w:sz w:val="16"/>
                                      <w:szCs w:val="16"/>
                                    </w:rPr>
                                    <w:t>2017</w:t>
                                  </w:r>
                                </w:p>
                              </w:tc>
                              <w:tc>
                                <w:tcPr>
                                  <w:tcW w:w="914" w:type="dxa"/>
                                  <w:gridSpan w:val="2"/>
                                  <w:shd w:val="clear" w:color="auto" w:fill="C8501E"/>
                                  <w:tcMar>
                                    <w:left w:w="78" w:type="dxa"/>
                                  </w:tcMar>
                                </w:tcPr>
                                <w:p w14:paraId="7A141A5D" w14:textId="77777777" w:rsidR="00641BE9" w:rsidRDefault="00641BE9">
                                  <w:pPr>
                                    <w:pStyle w:val="Paragraph"/>
                                    <w:spacing w:before="0" w:after="0"/>
                                    <w:jc w:val="right"/>
                                  </w:pPr>
                                  <w:bookmarkStart w:id="73" w:name="__UnoMark__313_763504500"/>
                                  <w:bookmarkStart w:id="74" w:name="__UnoMark__314_763504500"/>
                                  <w:bookmarkEnd w:id="73"/>
                                  <w:bookmarkEnd w:id="74"/>
                                  <w:r>
                                    <w:rPr>
                                      <w:rFonts w:ascii="Calibri Light" w:hAnsi="Calibri Light" w:cs="Arial"/>
                                      <w:color w:val="FFFFFF" w:themeColor="background1"/>
                                      <w:sz w:val="16"/>
                                      <w:szCs w:val="16"/>
                                    </w:rPr>
                                    <w:t>2016</w:t>
                                  </w:r>
                                </w:p>
                              </w:tc>
                              <w:tc>
                                <w:tcPr>
                                  <w:tcW w:w="1076" w:type="dxa"/>
                                  <w:shd w:val="clear" w:color="auto" w:fill="C8501E"/>
                                  <w:tcMar>
                                    <w:left w:w="78" w:type="dxa"/>
                                  </w:tcMar>
                                </w:tcPr>
                                <w:p w14:paraId="70446C7A" w14:textId="77777777" w:rsidR="00641BE9" w:rsidRDefault="00641BE9">
                                  <w:pPr>
                                    <w:pStyle w:val="Paragraph"/>
                                    <w:spacing w:before="0" w:after="0"/>
                                    <w:jc w:val="right"/>
                                  </w:pPr>
                                  <w:bookmarkStart w:id="75" w:name="__UnoMark__316_763504500"/>
                                  <w:bookmarkStart w:id="76" w:name="__UnoMark__315_763504500"/>
                                  <w:bookmarkEnd w:id="75"/>
                                  <w:bookmarkEnd w:id="76"/>
                                  <w:r>
                                    <w:rPr>
                                      <w:rFonts w:ascii="Calibri Light" w:hAnsi="Calibri Light" w:cs="Arial"/>
                                      <w:color w:val="FFFFFF" w:themeColor="background1"/>
                                      <w:sz w:val="16"/>
                                      <w:szCs w:val="16"/>
                                    </w:rPr>
                                    <w:t>2016</w:t>
                                  </w:r>
                                </w:p>
                              </w:tc>
                              <w:tc>
                                <w:tcPr>
                                  <w:tcW w:w="914" w:type="dxa"/>
                                  <w:shd w:val="clear" w:color="auto" w:fill="C8501E"/>
                                  <w:tcMar>
                                    <w:left w:w="78" w:type="dxa"/>
                                  </w:tcMar>
                                </w:tcPr>
                                <w:p w14:paraId="0C02668E" w14:textId="77777777" w:rsidR="00641BE9" w:rsidRDefault="00641BE9">
                                  <w:pPr>
                                    <w:pStyle w:val="Paragraph"/>
                                    <w:spacing w:before="0" w:after="0"/>
                                    <w:jc w:val="right"/>
                                  </w:pPr>
                                  <w:bookmarkStart w:id="77" w:name="__UnoMark__318_763504500"/>
                                  <w:bookmarkStart w:id="78" w:name="__UnoMark__317_763504500"/>
                                  <w:bookmarkEnd w:id="77"/>
                                  <w:bookmarkEnd w:id="78"/>
                                  <w:r>
                                    <w:rPr>
                                      <w:rFonts w:ascii="Calibri Light" w:hAnsi="Calibri Light" w:cs="Arial"/>
                                      <w:color w:val="FFFFFF" w:themeColor="background1"/>
                                      <w:sz w:val="16"/>
                                      <w:szCs w:val="16"/>
                                    </w:rPr>
                                    <w:t>2015</w:t>
                                  </w:r>
                                </w:p>
                              </w:tc>
                              <w:tc>
                                <w:tcPr>
                                  <w:tcW w:w="995" w:type="dxa"/>
                                  <w:tcBorders>
                                    <w:left w:val="single" w:sz="4" w:space="0" w:color="BFBFBF"/>
                                    <w:right w:val="single" w:sz="4" w:space="0" w:color="BFBFBF"/>
                                  </w:tcBorders>
                                  <w:shd w:val="clear" w:color="auto" w:fill="C8501E"/>
                                  <w:tcMar>
                                    <w:left w:w="78" w:type="dxa"/>
                                  </w:tcMar>
                                </w:tcPr>
                                <w:p w14:paraId="53250E28" w14:textId="77777777" w:rsidR="00641BE9" w:rsidRDefault="00641BE9">
                                  <w:pPr>
                                    <w:pStyle w:val="Paragraph"/>
                                    <w:spacing w:before="0" w:after="0"/>
                                    <w:jc w:val="right"/>
                                  </w:pPr>
                                  <w:bookmarkStart w:id="79" w:name="__UnoMark__319_763504500"/>
                                  <w:bookmarkStart w:id="80" w:name="__UnoMark__320_763504500"/>
                                  <w:bookmarkEnd w:id="79"/>
                                  <w:bookmarkEnd w:id="80"/>
                                  <w:r>
                                    <w:rPr>
                                      <w:rFonts w:ascii="Calibri Light" w:hAnsi="Calibri Light" w:cs="Arial"/>
                                      <w:color w:val="FFFFFF" w:themeColor="background1"/>
                                      <w:sz w:val="16"/>
                                      <w:szCs w:val="16"/>
                                    </w:rPr>
                                    <w:t>2014</w:t>
                                  </w:r>
                                </w:p>
                              </w:tc>
                            </w:tr>
                            <w:tr w:rsidR="00641BE9" w14:paraId="0A8A11B0" w14:textId="77777777" w:rsidTr="00A922E5">
                              <w:trPr>
                                <w:trHeight w:val="170"/>
                              </w:trPr>
                              <w:tc>
                                <w:tcPr>
                                  <w:tcW w:w="2310" w:type="dxa"/>
                                  <w:tcBorders>
                                    <w:left w:val="single" w:sz="4" w:space="0" w:color="BFBFBF"/>
                                  </w:tcBorders>
                                  <w:shd w:val="clear" w:color="auto" w:fill="auto"/>
                                  <w:tcMar>
                                    <w:left w:w="78" w:type="dxa"/>
                                  </w:tcMar>
                                  <w:vAlign w:val="bottom"/>
                                </w:tcPr>
                                <w:p w14:paraId="533D9B00" w14:textId="4C5BEB1D" w:rsidR="00641BE9" w:rsidRDefault="00641BE9">
                                  <w:pPr>
                                    <w:pStyle w:val="Paragraph"/>
                                    <w:spacing w:before="0" w:after="0"/>
                                  </w:pPr>
                                  <w:bookmarkStart w:id="81" w:name="__UnoMark__322_763504500"/>
                                  <w:bookmarkEnd w:id="81"/>
                                  <w:r>
                                    <w:rPr>
                                      <w:rFonts w:ascii="Calibri Light" w:hAnsi="Calibri Light" w:cs="Arial"/>
                                      <w:sz w:val="16"/>
                                      <w:szCs w:val="16"/>
                                    </w:rPr>
                                    <w:t>Ricavi consolidati</w:t>
                                  </w:r>
                                </w:p>
                              </w:tc>
                              <w:tc>
                                <w:tcPr>
                                  <w:tcW w:w="1016" w:type="dxa"/>
                                  <w:shd w:val="clear" w:color="auto" w:fill="auto"/>
                                  <w:tcMar>
                                    <w:left w:w="78" w:type="dxa"/>
                                  </w:tcMar>
                                  <w:vAlign w:val="center"/>
                                </w:tcPr>
                                <w:p w14:paraId="7D7036B3" w14:textId="7D578289" w:rsidR="00641BE9" w:rsidRPr="001F2ABF" w:rsidRDefault="00641BE9">
                                  <w:pPr>
                                    <w:pStyle w:val="Paragraph"/>
                                    <w:spacing w:before="0" w:after="0"/>
                                    <w:jc w:val="right"/>
                                  </w:pPr>
                                  <w:bookmarkStart w:id="82" w:name="__UnoMark__323_763504500"/>
                                  <w:bookmarkStart w:id="83" w:name="__UnoMark__324_763504500"/>
                                  <w:bookmarkEnd w:id="82"/>
                                  <w:bookmarkEnd w:id="83"/>
                                  <w:r>
                                    <w:rPr>
                                      <w:rFonts w:ascii="Calibri Light" w:hAnsi="Calibri Light" w:cs="Arial"/>
                                      <w:sz w:val="16"/>
                                      <w:szCs w:val="16"/>
                                      <w:lang w:eastAsia="lt-LT"/>
                                    </w:rPr>
                                    <w:t>7.566</w:t>
                                  </w:r>
                                </w:p>
                              </w:tc>
                              <w:tc>
                                <w:tcPr>
                                  <w:tcW w:w="914" w:type="dxa"/>
                                  <w:gridSpan w:val="2"/>
                                  <w:shd w:val="clear" w:color="auto" w:fill="auto"/>
                                  <w:tcMar>
                                    <w:left w:w="78" w:type="dxa"/>
                                  </w:tcMar>
                                  <w:vAlign w:val="center"/>
                                </w:tcPr>
                                <w:p w14:paraId="54EF59DA" w14:textId="2137BB28" w:rsidR="00641BE9" w:rsidRPr="001F2ABF" w:rsidRDefault="00641BE9">
                                  <w:pPr>
                                    <w:pStyle w:val="Paragraph"/>
                                    <w:spacing w:before="0" w:after="0"/>
                                    <w:jc w:val="right"/>
                                  </w:pPr>
                                  <w:bookmarkStart w:id="84" w:name="__UnoMark__325_763504500"/>
                                  <w:bookmarkStart w:id="85" w:name="__UnoMark__326_763504500"/>
                                  <w:bookmarkEnd w:id="84"/>
                                  <w:bookmarkEnd w:id="85"/>
                                  <w:r>
                                    <w:rPr>
                                      <w:rFonts w:ascii="Calibri Light" w:hAnsi="Calibri Light" w:cs="Arial"/>
                                      <w:sz w:val="16"/>
                                      <w:szCs w:val="16"/>
                                      <w:lang w:eastAsia="lt-LT"/>
                                    </w:rPr>
                                    <w:t>8.203</w:t>
                                  </w:r>
                                </w:p>
                              </w:tc>
                              <w:tc>
                                <w:tcPr>
                                  <w:tcW w:w="1076" w:type="dxa"/>
                                  <w:shd w:val="clear" w:color="auto" w:fill="auto"/>
                                  <w:tcMar>
                                    <w:left w:w="78" w:type="dxa"/>
                                  </w:tcMar>
                                  <w:vAlign w:val="bottom"/>
                                </w:tcPr>
                                <w:p w14:paraId="7D56DE87" w14:textId="6BE90B29" w:rsidR="00641BE9" w:rsidRDefault="00641BE9">
                                  <w:pPr>
                                    <w:pStyle w:val="Paragraph"/>
                                    <w:spacing w:before="0" w:after="0"/>
                                    <w:jc w:val="right"/>
                                  </w:pPr>
                                  <w:bookmarkStart w:id="86" w:name="__UnoMark__328_763504500"/>
                                  <w:bookmarkStart w:id="87" w:name="__UnoMark__327_763504500"/>
                                  <w:bookmarkEnd w:id="86"/>
                                  <w:bookmarkEnd w:id="87"/>
                                  <w:r>
                                    <w:rPr>
                                      <w:rFonts w:ascii="Calibri Light" w:hAnsi="Calibri Light" w:cs="Arial"/>
                                      <w:color w:val="000000" w:themeColor="text1"/>
                                      <w:sz w:val="16"/>
                                      <w:szCs w:val="16"/>
                                    </w:rPr>
                                    <w:t>20.652</w:t>
                                  </w:r>
                                </w:p>
                              </w:tc>
                              <w:tc>
                                <w:tcPr>
                                  <w:tcW w:w="914" w:type="dxa"/>
                                  <w:shd w:val="clear" w:color="auto" w:fill="auto"/>
                                  <w:tcMar>
                                    <w:left w:w="78" w:type="dxa"/>
                                  </w:tcMar>
                                  <w:vAlign w:val="bottom"/>
                                </w:tcPr>
                                <w:p w14:paraId="08A3D52F" w14:textId="665E0B38" w:rsidR="00641BE9" w:rsidRDefault="00641BE9">
                                  <w:pPr>
                                    <w:pStyle w:val="Paragraph"/>
                                    <w:spacing w:before="0" w:after="0"/>
                                    <w:jc w:val="right"/>
                                  </w:pPr>
                                  <w:bookmarkStart w:id="88" w:name="__UnoMark__329_763504500"/>
                                  <w:bookmarkStart w:id="89" w:name="__UnoMark__330_763504500"/>
                                  <w:bookmarkEnd w:id="88"/>
                                  <w:bookmarkEnd w:id="89"/>
                                  <w:r>
                                    <w:rPr>
                                      <w:rFonts w:ascii="Calibri Light" w:hAnsi="Calibri Light" w:cs="Arial"/>
                                      <w:color w:val="000000" w:themeColor="text1"/>
                                      <w:sz w:val="16"/>
                                      <w:szCs w:val="16"/>
                                    </w:rPr>
                                    <w:t>18.322</w:t>
                                  </w:r>
                                </w:p>
                              </w:tc>
                              <w:tc>
                                <w:tcPr>
                                  <w:tcW w:w="995" w:type="dxa"/>
                                  <w:tcBorders>
                                    <w:left w:val="single" w:sz="4" w:space="0" w:color="BFBFBF"/>
                                    <w:right w:val="single" w:sz="4" w:space="0" w:color="BFBFBF"/>
                                  </w:tcBorders>
                                  <w:shd w:val="clear" w:color="auto" w:fill="auto"/>
                                  <w:tcMar>
                                    <w:left w:w="78" w:type="dxa"/>
                                  </w:tcMar>
                                  <w:vAlign w:val="bottom"/>
                                </w:tcPr>
                                <w:p w14:paraId="10363488" w14:textId="40E14FC4" w:rsidR="00641BE9" w:rsidRDefault="00641BE9">
                                  <w:pPr>
                                    <w:pStyle w:val="Paragraph"/>
                                    <w:spacing w:before="0" w:after="0"/>
                                    <w:jc w:val="right"/>
                                  </w:pPr>
                                  <w:bookmarkStart w:id="90" w:name="__UnoMark__332_763504500"/>
                                  <w:bookmarkStart w:id="91" w:name="__UnoMark__331_763504500"/>
                                  <w:bookmarkEnd w:id="90"/>
                                  <w:bookmarkEnd w:id="91"/>
                                  <w:r>
                                    <w:rPr>
                                      <w:rFonts w:ascii="Calibri Light" w:hAnsi="Calibri Light" w:cs="Arial"/>
                                      <w:color w:val="000000" w:themeColor="text1"/>
                                      <w:sz w:val="16"/>
                                      <w:szCs w:val="16"/>
                                    </w:rPr>
                                    <w:t>10.335</w:t>
                                  </w:r>
                                </w:p>
                              </w:tc>
                            </w:tr>
                            <w:tr w:rsidR="00641BE9" w14:paraId="7B53EB7D" w14:textId="77777777" w:rsidTr="00A922E5">
                              <w:trPr>
                                <w:trHeight w:val="170"/>
                              </w:trPr>
                              <w:tc>
                                <w:tcPr>
                                  <w:tcW w:w="2310" w:type="dxa"/>
                                  <w:tcBorders>
                                    <w:left w:val="single" w:sz="4" w:space="0" w:color="BFBFBF"/>
                                  </w:tcBorders>
                                  <w:shd w:val="clear" w:color="auto" w:fill="auto"/>
                                  <w:tcMar>
                                    <w:left w:w="78" w:type="dxa"/>
                                  </w:tcMar>
                                  <w:vAlign w:val="bottom"/>
                                </w:tcPr>
                                <w:p w14:paraId="6DD53CF7" w14:textId="1EBDE5AD" w:rsidR="00641BE9" w:rsidRDefault="00641BE9">
                                  <w:pPr>
                                    <w:pStyle w:val="Paragraph"/>
                                    <w:spacing w:before="0" w:after="0"/>
                                  </w:pPr>
                                  <w:bookmarkStart w:id="92" w:name="__UnoMark__334_763504500"/>
                                  <w:bookmarkEnd w:id="92"/>
                                  <w:r>
                                    <w:rPr>
                                      <w:rFonts w:ascii="Calibri Light" w:hAnsi="Calibri Light" w:cs="Arial"/>
                                      <w:sz w:val="16"/>
                                      <w:szCs w:val="16"/>
                                    </w:rPr>
                                    <w:t>Holding PKG</w:t>
                                  </w:r>
                                </w:p>
                              </w:tc>
                              <w:tc>
                                <w:tcPr>
                                  <w:tcW w:w="1016" w:type="dxa"/>
                                  <w:shd w:val="clear" w:color="auto" w:fill="auto"/>
                                  <w:tcMar>
                                    <w:left w:w="78" w:type="dxa"/>
                                  </w:tcMar>
                                  <w:vAlign w:val="center"/>
                                </w:tcPr>
                                <w:p w14:paraId="2890BA21" w14:textId="7620DEA8" w:rsidR="00641BE9" w:rsidRPr="001F2ABF" w:rsidRDefault="00641BE9">
                                  <w:pPr>
                                    <w:pStyle w:val="Paragraph"/>
                                    <w:spacing w:before="0" w:after="0"/>
                                    <w:jc w:val="right"/>
                                  </w:pPr>
                                  <w:bookmarkStart w:id="93" w:name="__UnoMark__335_763504500"/>
                                  <w:bookmarkStart w:id="94" w:name="__UnoMark__336_763504500"/>
                                  <w:bookmarkEnd w:id="93"/>
                                  <w:bookmarkEnd w:id="94"/>
                                  <w:r>
                                    <w:rPr>
                                      <w:rFonts w:ascii="Calibri Light" w:hAnsi="Calibri Light" w:cs="Arial"/>
                                      <w:sz w:val="16"/>
                                      <w:szCs w:val="16"/>
                                      <w:lang w:eastAsia="lt-LT"/>
                                    </w:rPr>
                                    <w:t>12</w:t>
                                  </w:r>
                                </w:p>
                              </w:tc>
                              <w:tc>
                                <w:tcPr>
                                  <w:tcW w:w="914" w:type="dxa"/>
                                  <w:gridSpan w:val="2"/>
                                  <w:shd w:val="clear" w:color="auto" w:fill="auto"/>
                                  <w:tcMar>
                                    <w:left w:w="78" w:type="dxa"/>
                                  </w:tcMar>
                                  <w:vAlign w:val="center"/>
                                </w:tcPr>
                                <w:p w14:paraId="53415B21" w14:textId="660AD7CD" w:rsidR="00641BE9" w:rsidRPr="001F2ABF" w:rsidRDefault="00641BE9">
                                  <w:pPr>
                                    <w:pStyle w:val="Paragraph"/>
                                    <w:spacing w:before="0" w:after="0"/>
                                    <w:jc w:val="right"/>
                                  </w:pPr>
                                  <w:bookmarkStart w:id="95" w:name="__UnoMark__337_763504500"/>
                                  <w:bookmarkStart w:id="96" w:name="__UnoMark__338_763504500"/>
                                  <w:bookmarkEnd w:id="95"/>
                                  <w:bookmarkEnd w:id="96"/>
                                  <w:r w:rsidRPr="00764199">
                                    <w:rPr>
                                      <w:rFonts w:ascii="Calibri Light" w:hAnsi="Calibri Light" w:cs="Arial"/>
                                      <w:sz w:val="16"/>
                                      <w:szCs w:val="16"/>
                                      <w:lang w:eastAsia="lt-LT"/>
                                    </w:rPr>
                                    <w:t>0</w:t>
                                  </w:r>
                                </w:p>
                              </w:tc>
                              <w:tc>
                                <w:tcPr>
                                  <w:tcW w:w="1076" w:type="dxa"/>
                                  <w:shd w:val="clear" w:color="auto" w:fill="auto"/>
                                  <w:tcMar>
                                    <w:left w:w="78" w:type="dxa"/>
                                  </w:tcMar>
                                  <w:vAlign w:val="bottom"/>
                                </w:tcPr>
                                <w:p w14:paraId="0D51E459" w14:textId="4905CE94" w:rsidR="00641BE9" w:rsidRDefault="00641BE9">
                                  <w:pPr>
                                    <w:pStyle w:val="Paragraph"/>
                                    <w:spacing w:before="0" w:after="0"/>
                                    <w:jc w:val="right"/>
                                  </w:pPr>
                                  <w:bookmarkStart w:id="97" w:name="__UnoMark__339_763504500"/>
                                  <w:bookmarkStart w:id="98" w:name="__UnoMark__340_763504500"/>
                                  <w:bookmarkEnd w:id="97"/>
                                  <w:bookmarkEnd w:id="98"/>
                                  <w:r>
                                    <w:rPr>
                                      <w:rFonts w:ascii="Calibri Light" w:hAnsi="Calibri Light" w:cs="Arial"/>
                                      <w:color w:val="000000" w:themeColor="text1"/>
                                      <w:sz w:val="16"/>
                                      <w:szCs w:val="16"/>
                                    </w:rPr>
                                    <w:t>523</w:t>
                                  </w:r>
                                </w:p>
                              </w:tc>
                              <w:tc>
                                <w:tcPr>
                                  <w:tcW w:w="914" w:type="dxa"/>
                                  <w:shd w:val="clear" w:color="auto" w:fill="auto"/>
                                  <w:tcMar>
                                    <w:left w:w="78" w:type="dxa"/>
                                  </w:tcMar>
                                  <w:vAlign w:val="bottom"/>
                                </w:tcPr>
                                <w:p w14:paraId="19B1D844" w14:textId="7ED2EE4F" w:rsidR="00641BE9" w:rsidRDefault="00641BE9">
                                  <w:pPr>
                                    <w:pStyle w:val="Paragraph"/>
                                    <w:spacing w:before="0" w:after="0"/>
                                    <w:jc w:val="right"/>
                                  </w:pPr>
                                  <w:bookmarkStart w:id="99" w:name="__UnoMark__342_763504500"/>
                                  <w:bookmarkStart w:id="100" w:name="__UnoMark__341_763504500"/>
                                  <w:bookmarkEnd w:id="99"/>
                                  <w:bookmarkEnd w:id="100"/>
                                  <w:r>
                                    <w:rPr>
                                      <w:rFonts w:ascii="Calibri Light" w:hAnsi="Calibri Light" w:cs="Arial"/>
                                      <w:color w:val="000000" w:themeColor="text1"/>
                                      <w:sz w:val="16"/>
                                      <w:szCs w:val="16"/>
                                    </w:rPr>
                                    <w:t>386</w:t>
                                  </w:r>
                                </w:p>
                              </w:tc>
                              <w:tc>
                                <w:tcPr>
                                  <w:tcW w:w="995" w:type="dxa"/>
                                  <w:tcBorders>
                                    <w:left w:val="single" w:sz="4" w:space="0" w:color="BFBFBF"/>
                                    <w:right w:val="single" w:sz="4" w:space="0" w:color="BFBFBF"/>
                                  </w:tcBorders>
                                  <w:shd w:val="clear" w:color="auto" w:fill="auto"/>
                                  <w:tcMar>
                                    <w:left w:w="78" w:type="dxa"/>
                                  </w:tcMar>
                                  <w:vAlign w:val="bottom"/>
                                </w:tcPr>
                                <w:p w14:paraId="56C26971" w14:textId="7D0D5823" w:rsidR="00641BE9" w:rsidRDefault="00641BE9">
                                  <w:pPr>
                                    <w:pStyle w:val="Paragraph"/>
                                    <w:spacing w:before="0" w:after="0"/>
                                    <w:jc w:val="right"/>
                                  </w:pPr>
                                  <w:bookmarkStart w:id="101" w:name="__UnoMark__343_763504500"/>
                                  <w:bookmarkStart w:id="102" w:name="__UnoMark__344_763504500"/>
                                  <w:bookmarkEnd w:id="101"/>
                                  <w:bookmarkEnd w:id="102"/>
                                  <w:r>
                                    <w:rPr>
                                      <w:rFonts w:ascii="Calibri Light" w:hAnsi="Calibri Light" w:cs="Arial"/>
                                      <w:color w:val="000000" w:themeColor="text1"/>
                                      <w:sz w:val="16"/>
                                      <w:szCs w:val="16"/>
                                    </w:rPr>
                                    <w:t>371</w:t>
                                  </w:r>
                                </w:p>
                              </w:tc>
                            </w:tr>
                            <w:tr w:rsidR="00641BE9" w14:paraId="0312F563" w14:textId="77777777" w:rsidTr="00A922E5">
                              <w:trPr>
                                <w:trHeight w:val="170"/>
                              </w:trPr>
                              <w:tc>
                                <w:tcPr>
                                  <w:tcW w:w="2310" w:type="dxa"/>
                                  <w:tcBorders>
                                    <w:left w:val="single" w:sz="4" w:space="0" w:color="BFBFBF"/>
                                  </w:tcBorders>
                                  <w:shd w:val="clear" w:color="auto" w:fill="auto"/>
                                  <w:tcMar>
                                    <w:left w:w="78" w:type="dxa"/>
                                  </w:tcMar>
                                  <w:vAlign w:val="bottom"/>
                                </w:tcPr>
                                <w:p w14:paraId="5D7E19A3" w14:textId="03FB3845" w:rsidR="00641BE9" w:rsidRDefault="00641BE9">
                                  <w:pPr>
                                    <w:pStyle w:val="Paragraph"/>
                                    <w:spacing w:before="0" w:after="0"/>
                                  </w:pPr>
                                  <w:bookmarkStart w:id="103" w:name="__UnoMark__346_763504500"/>
                                  <w:bookmarkStart w:id="104" w:name="__UnoMark__345_763504500"/>
                                  <w:bookmarkEnd w:id="103"/>
                                  <w:bookmarkEnd w:id="104"/>
                                  <w:r>
                                    <w:rPr>
                                      <w:rFonts w:ascii="Calibri Light" w:hAnsi="Calibri Light" w:cs="Arial"/>
                                      <w:sz w:val="16"/>
                                      <w:szCs w:val="16"/>
                                    </w:rPr>
                                    <w:t>Estonia</w:t>
                                  </w:r>
                                </w:p>
                              </w:tc>
                              <w:tc>
                                <w:tcPr>
                                  <w:tcW w:w="1016" w:type="dxa"/>
                                  <w:shd w:val="clear" w:color="auto" w:fill="auto"/>
                                  <w:tcMar>
                                    <w:left w:w="78" w:type="dxa"/>
                                  </w:tcMar>
                                  <w:vAlign w:val="center"/>
                                </w:tcPr>
                                <w:p w14:paraId="49AA6C8A" w14:textId="57AA64CA" w:rsidR="00641BE9" w:rsidRPr="001F2ABF" w:rsidRDefault="00641BE9" w:rsidP="00101D08">
                                  <w:pPr>
                                    <w:pStyle w:val="Paragraph"/>
                                    <w:spacing w:before="0" w:after="0"/>
                                    <w:jc w:val="center"/>
                                  </w:pPr>
                                  <w:bookmarkStart w:id="105" w:name="__UnoMark__347_763504500"/>
                                  <w:bookmarkStart w:id="106" w:name="__UnoMark__348_763504500"/>
                                  <w:bookmarkEnd w:id="105"/>
                                  <w:bookmarkEnd w:id="106"/>
                                  <w:r>
                                    <w:rPr>
                                      <w:rFonts w:ascii="Calibri Light" w:hAnsi="Calibri Light" w:cs="Arial"/>
                                      <w:sz w:val="16"/>
                                      <w:szCs w:val="16"/>
                                      <w:lang w:eastAsia="lt-LT"/>
                                    </w:rPr>
                                    <w:t>3.612</w:t>
                                  </w:r>
                                </w:p>
                              </w:tc>
                              <w:tc>
                                <w:tcPr>
                                  <w:tcW w:w="914" w:type="dxa"/>
                                  <w:gridSpan w:val="2"/>
                                  <w:shd w:val="clear" w:color="auto" w:fill="auto"/>
                                  <w:tcMar>
                                    <w:left w:w="78" w:type="dxa"/>
                                  </w:tcMar>
                                  <w:vAlign w:val="center"/>
                                </w:tcPr>
                                <w:p w14:paraId="2A12BA4F" w14:textId="3EE97C4A" w:rsidR="00641BE9" w:rsidRPr="001F2ABF" w:rsidRDefault="00641BE9">
                                  <w:pPr>
                                    <w:pStyle w:val="Paragraph"/>
                                    <w:spacing w:before="0" w:after="0"/>
                                    <w:jc w:val="right"/>
                                  </w:pPr>
                                  <w:bookmarkStart w:id="107" w:name="__UnoMark__349_763504500"/>
                                  <w:bookmarkStart w:id="108" w:name="__UnoMark__350_763504500"/>
                                  <w:bookmarkEnd w:id="107"/>
                                  <w:bookmarkEnd w:id="108"/>
                                  <w:r>
                                    <w:rPr>
                                      <w:rFonts w:ascii="Calibri Light" w:hAnsi="Calibri Light" w:cs="Arial"/>
                                      <w:sz w:val="16"/>
                                      <w:szCs w:val="16"/>
                                      <w:lang w:eastAsia="lt-LT"/>
                                    </w:rPr>
                                    <w:t>4.602</w:t>
                                  </w:r>
                                </w:p>
                              </w:tc>
                              <w:tc>
                                <w:tcPr>
                                  <w:tcW w:w="1076" w:type="dxa"/>
                                  <w:shd w:val="clear" w:color="auto" w:fill="auto"/>
                                  <w:tcMar>
                                    <w:left w:w="78" w:type="dxa"/>
                                  </w:tcMar>
                                  <w:vAlign w:val="bottom"/>
                                </w:tcPr>
                                <w:p w14:paraId="2B8229D0" w14:textId="1E51F3BC" w:rsidR="00641BE9" w:rsidRDefault="00641BE9">
                                  <w:pPr>
                                    <w:pStyle w:val="Paragraph"/>
                                    <w:spacing w:before="0" w:after="0"/>
                                    <w:jc w:val="right"/>
                                  </w:pPr>
                                  <w:bookmarkStart w:id="109" w:name="__UnoMark__352_763504500"/>
                                  <w:bookmarkStart w:id="110" w:name="__UnoMark__351_763504500"/>
                                  <w:bookmarkEnd w:id="109"/>
                                  <w:bookmarkEnd w:id="110"/>
                                  <w:r>
                                    <w:rPr>
                                      <w:rFonts w:ascii="Calibri Light" w:hAnsi="Calibri Light" w:cs="Arial"/>
                                      <w:color w:val="000000" w:themeColor="text1"/>
                                      <w:sz w:val="16"/>
                                      <w:szCs w:val="16"/>
                                    </w:rPr>
                                    <w:t>7.230</w:t>
                                  </w:r>
                                </w:p>
                              </w:tc>
                              <w:tc>
                                <w:tcPr>
                                  <w:tcW w:w="914" w:type="dxa"/>
                                  <w:shd w:val="clear" w:color="auto" w:fill="auto"/>
                                  <w:tcMar>
                                    <w:left w:w="78" w:type="dxa"/>
                                  </w:tcMar>
                                  <w:vAlign w:val="bottom"/>
                                </w:tcPr>
                                <w:p w14:paraId="3B8AE47C" w14:textId="49002666" w:rsidR="00641BE9" w:rsidRDefault="00641BE9">
                                  <w:pPr>
                                    <w:pStyle w:val="Paragraph"/>
                                    <w:spacing w:before="0" w:after="0"/>
                                    <w:jc w:val="right"/>
                                  </w:pPr>
                                  <w:bookmarkStart w:id="111" w:name="__UnoMark__353_763504500"/>
                                  <w:bookmarkStart w:id="112" w:name="__UnoMark__354_763504500"/>
                                  <w:bookmarkEnd w:id="111"/>
                                  <w:bookmarkEnd w:id="112"/>
                                  <w:r>
                                    <w:rPr>
                                      <w:rFonts w:ascii="Calibri Light" w:hAnsi="Calibri Light" w:cs="Arial"/>
                                      <w:color w:val="000000" w:themeColor="text1"/>
                                      <w:sz w:val="16"/>
                                      <w:szCs w:val="16"/>
                                    </w:rPr>
                                    <w:t>8.279</w:t>
                                  </w:r>
                                </w:p>
                              </w:tc>
                              <w:tc>
                                <w:tcPr>
                                  <w:tcW w:w="995" w:type="dxa"/>
                                  <w:tcBorders>
                                    <w:left w:val="single" w:sz="4" w:space="0" w:color="BFBFBF"/>
                                    <w:right w:val="single" w:sz="4" w:space="0" w:color="BFBFBF"/>
                                  </w:tcBorders>
                                  <w:shd w:val="clear" w:color="auto" w:fill="auto"/>
                                  <w:tcMar>
                                    <w:left w:w="78" w:type="dxa"/>
                                  </w:tcMar>
                                  <w:vAlign w:val="bottom"/>
                                </w:tcPr>
                                <w:p w14:paraId="5A6C2D4E" w14:textId="25CDEC40" w:rsidR="00641BE9" w:rsidRDefault="00641BE9">
                                  <w:pPr>
                                    <w:pStyle w:val="Paragraph"/>
                                    <w:spacing w:before="0" w:after="0"/>
                                    <w:jc w:val="right"/>
                                  </w:pPr>
                                  <w:bookmarkStart w:id="113" w:name="__UnoMark__356_763504500"/>
                                  <w:bookmarkStart w:id="114" w:name="__UnoMark__355_763504500"/>
                                  <w:bookmarkEnd w:id="113"/>
                                  <w:bookmarkEnd w:id="114"/>
                                  <w:r>
                                    <w:rPr>
                                      <w:rFonts w:ascii="Calibri Light" w:hAnsi="Calibri Light" w:cs="Arial"/>
                                      <w:color w:val="000000" w:themeColor="text1"/>
                                      <w:sz w:val="16"/>
                                      <w:szCs w:val="16"/>
                                    </w:rPr>
                                    <w:t>3.382</w:t>
                                  </w:r>
                                </w:p>
                              </w:tc>
                            </w:tr>
                            <w:tr w:rsidR="00641BE9" w14:paraId="1ACA64B3" w14:textId="77777777" w:rsidTr="00A922E5">
                              <w:trPr>
                                <w:trHeight w:val="170"/>
                              </w:trPr>
                              <w:tc>
                                <w:tcPr>
                                  <w:tcW w:w="2310" w:type="dxa"/>
                                  <w:tcBorders>
                                    <w:left w:val="single" w:sz="4" w:space="0" w:color="BFBFBF"/>
                                  </w:tcBorders>
                                  <w:shd w:val="clear" w:color="auto" w:fill="auto"/>
                                  <w:tcMar>
                                    <w:left w:w="78" w:type="dxa"/>
                                  </w:tcMar>
                                  <w:vAlign w:val="bottom"/>
                                </w:tcPr>
                                <w:p w14:paraId="095C8799" w14:textId="67ED1AE1" w:rsidR="00641BE9" w:rsidRDefault="00641BE9">
                                  <w:pPr>
                                    <w:pStyle w:val="Paragraph"/>
                                    <w:spacing w:before="0" w:after="0"/>
                                  </w:pPr>
                                  <w:bookmarkStart w:id="115" w:name="__UnoMark__357_763504500"/>
                                  <w:bookmarkStart w:id="116" w:name="__UnoMark__358_763504500"/>
                                  <w:bookmarkEnd w:id="115"/>
                                  <w:bookmarkEnd w:id="116"/>
                                  <w:r>
                                    <w:rPr>
                                      <w:rFonts w:ascii="Calibri Light" w:hAnsi="Calibri Light" w:cs="Arial"/>
                                      <w:sz w:val="16"/>
                                      <w:szCs w:val="16"/>
                                    </w:rPr>
                                    <w:t>Lettonia</w:t>
                                  </w:r>
                                </w:p>
                              </w:tc>
                              <w:tc>
                                <w:tcPr>
                                  <w:tcW w:w="1016" w:type="dxa"/>
                                  <w:shd w:val="clear" w:color="auto" w:fill="auto"/>
                                  <w:tcMar>
                                    <w:left w:w="78" w:type="dxa"/>
                                  </w:tcMar>
                                  <w:vAlign w:val="center"/>
                                </w:tcPr>
                                <w:p w14:paraId="3DCAA7A4" w14:textId="73A96B80" w:rsidR="00641BE9" w:rsidRPr="001F2ABF" w:rsidRDefault="00641BE9">
                                  <w:pPr>
                                    <w:pStyle w:val="Paragraph"/>
                                    <w:spacing w:before="0" w:after="0"/>
                                    <w:jc w:val="right"/>
                                  </w:pPr>
                                  <w:bookmarkStart w:id="117" w:name="__UnoMark__359_763504500"/>
                                  <w:bookmarkStart w:id="118" w:name="__UnoMark__360_763504500"/>
                                  <w:bookmarkEnd w:id="117"/>
                                  <w:bookmarkEnd w:id="118"/>
                                  <w:r>
                                    <w:rPr>
                                      <w:rFonts w:ascii="Calibri Light" w:hAnsi="Calibri Light" w:cs="Arial"/>
                                      <w:sz w:val="16"/>
                                      <w:szCs w:val="16"/>
                                      <w:lang w:eastAsia="lt-LT"/>
                                    </w:rPr>
                                    <w:t>789</w:t>
                                  </w:r>
                                </w:p>
                              </w:tc>
                              <w:tc>
                                <w:tcPr>
                                  <w:tcW w:w="914" w:type="dxa"/>
                                  <w:gridSpan w:val="2"/>
                                  <w:shd w:val="clear" w:color="auto" w:fill="auto"/>
                                  <w:tcMar>
                                    <w:left w:w="78" w:type="dxa"/>
                                  </w:tcMar>
                                  <w:vAlign w:val="center"/>
                                </w:tcPr>
                                <w:p w14:paraId="228E0BBF" w14:textId="458DF3C7" w:rsidR="00641BE9" w:rsidRPr="001F2ABF" w:rsidRDefault="00641BE9">
                                  <w:pPr>
                                    <w:pStyle w:val="Paragraph"/>
                                    <w:spacing w:before="0" w:after="0"/>
                                    <w:jc w:val="right"/>
                                  </w:pPr>
                                  <w:bookmarkStart w:id="119" w:name="__UnoMark__361_763504500"/>
                                  <w:bookmarkStart w:id="120" w:name="__UnoMark__362_763504500"/>
                                  <w:bookmarkEnd w:id="119"/>
                                  <w:bookmarkEnd w:id="120"/>
                                  <w:r>
                                    <w:rPr>
                                      <w:rFonts w:ascii="Calibri Light" w:hAnsi="Calibri Light" w:cs="Arial"/>
                                      <w:sz w:val="16"/>
                                      <w:szCs w:val="16"/>
                                      <w:lang w:eastAsia="lt-LT"/>
                                    </w:rPr>
                                    <w:t>735</w:t>
                                  </w:r>
                                </w:p>
                              </w:tc>
                              <w:tc>
                                <w:tcPr>
                                  <w:tcW w:w="1076" w:type="dxa"/>
                                  <w:shd w:val="clear" w:color="auto" w:fill="auto"/>
                                  <w:tcMar>
                                    <w:left w:w="78" w:type="dxa"/>
                                  </w:tcMar>
                                  <w:vAlign w:val="center"/>
                                </w:tcPr>
                                <w:p w14:paraId="3E656C63" w14:textId="71CDF0E2" w:rsidR="00641BE9" w:rsidRDefault="00641BE9">
                                  <w:pPr>
                                    <w:pStyle w:val="Paragraph"/>
                                    <w:spacing w:before="0" w:after="0"/>
                                    <w:jc w:val="right"/>
                                  </w:pPr>
                                  <w:bookmarkStart w:id="121" w:name="__UnoMark__364_763504500"/>
                                  <w:bookmarkStart w:id="122" w:name="__UnoMark__363_763504500"/>
                                  <w:bookmarkEnd w:id="121"/>
                                  <w:bookmarkEnd w:id="122"/>
                                  <w:r>
                                    <w:rPr>
                                      <w:rFonts w:ascii="Calibri Light" w:hAnsi="Calibri Light" w:cs="Arial"/>
                                      <w:color w:val="000000" w:themeColor="text1"/>
                                      <w:sz w:val="16"/>
                                      <w:szCs w:val="16"/>
                                    </w:rPr>
                                    <w:t>1.565</w:t>
                                  </w:r>
                                </w:p>
                              </w:tc>
                              <w:tc>
                                <w:tcPr>
                                  <w:tcW w:w="914" w:type="dxa"/>
                                  <w:shd w:val="clear" w:color="auto" w:fill="auto"/>
                                  <w:tcMar>
                                    <w:left w:w="78" w:type="dxa"/>
                                  </w:tcMar>
                                  <w:vAlign w:val="center"/>
                                </w:tcPr>
                                <w:p w14:paraId="53FBEF2D" w14:textId="049EF4E8" w:rsidR="00641BE9" w:rsidRDefault="00641BE9">
                                  <w:pPr>
                                    <w:pStyle w:val="Paragraph"/>
                                    <w:spacing w:before="0" w:after="0"/>
                                    <w:jc w:val="right"/>
                                  </w:pPr>
                                  <w:bookmarkStart w:id="123" w:name="__UnoMark__366_763504500"/>
                                  <w:bookmarkStart w:id="124" w:name="__UnoMark__365_763504500"/>
                                  <w:bookmarkEnd w:id="123"/>
                                  <w:bookmarkEnd w:id="124"/>
                                  <w:r>
                                    <w:rPr>
                                      <w:rFonts w:ascii="Calibri Light" w:hAnsi="Calibri Light" w:cs="Arial"/>
                                      <w:color w:val="000000" w:themeColor="text1"/>
                                      <w:sz w:val="16"/>
                                      <w:szCs w:val="16"/>
                                    </w:rPr>
                                    <w:t>1.624</w:t>
                                  </w:r>
                                </w:p>
                              </w:tc>
                              <w:tc>
                                <w:tcPr>
                                  <w:tcW w:w="995" w:type="dxa"/>
                                  <w:tcBorders>
                                    <w:left w:val="single" w:sz="4" w:space="0" w:color="BFBFBF"/>
                                    <w:right w:val="single" w:sz="4" w:space="0" w:color="BFBFBF"/>
                                  </w:tcBorders>
                                  <w:shd w:val="clear" w:color="auto" w:fill="auto"/>
                                  <w:tcMar>
                                    <w:left w:w="78" w:type="dxa"/>
                                  </w:tcMar>
                                  <w:vAlign w:val="center"/>
                                </w:tcPr>
                                <w:p w14:paraId="031369B1" w14:textId="612623D9" w:rsidR="00641BE9" w:rsidRDefault="00641BE9">
                                  <w:pPr>
                                    <w:pStyle w:val="Paragraph"/>
                                    <w:spacing w:before="0" w:after="0"/>
                                    <w:jc w:val="right"/>
                                  </w:pPr>
                                  <w:bookmarkStart w:id="125" w:name="__UnoMark__367_763504500"/>
                                  <w:bookmarkStart w:id="126" w:name="__UnoMark__368_763504500"/>
                                  <w:bookmarkEnd w:id="125"/>
                                  <w:bookmarkEnd w:id="126"/>
                                  <w:r>
                                    <w:rPr>
                                      <w:rFonts w:ascii="Calibri Light" w:hAnsi="Calibri Light" w:cs="Arial"/>
                                      <w:color w:val="000000" w:themeColor="text1"/>
                                      <w:sz w:val="16"/>
                                      <w:szCs w:val="16"/>
                                    </w:rPr>
                                    <w:t>1.585</w:t>
                                  </w:r>
                                </w:p>
                              </w:tc>
                            </w:tr>
                            <w:tr w:rsidR="00641BE9" w14:paraId="2D085FD3" w14:textId="77777777" w:rsidTr="00A922E5">
                              <w:trPr>
                                <w:trHeight w:val="170"/>
                              </w:trPr>
                              <w:tc>
                                <w:tcPr>
                                  <w:tcW w:w="2310" w:type="dxa"/>
                                  <w:tcBorders>
                                    <w:left w:val="single" w:sz="4" w:space="0" w:color="BFBFBF"/>
                                  </w:tcBorders>
                                  <w:shd w:val="clear" w:color="auto" w:fill="auto"/>
                                  <w:tcMar>
                                    <w:left w:w="78" w:type="dxa"/>
                                  </w:tcMar>
                                  <w:vAlign w:val="bottom"/>
                                </w:tcPr>
                                <w:p w14:paraId="6185DFC0" w14:textId="77777777" w:rsidR="00641BE9" w:rsidDel="00A922E5" w:rsidRDefault="00641BE9">
                                  <w:pPr>
                                    <w:pStyle w:val="Paragraph"/>
                                    <w:spacing w:before="0" w:after="0"/>
                                    <w:rPr>
                                      <w:rFonts w:ascii="Calibri Light" w:hAnsi="Calibri Light" w:cs="Arial"/>
                                      <w:sz w:val="16"/>
                                      <w:szCs w:val="16"/>
                                    </w:rPr>
                                  </w:pPr>
                                  <w:r>
                                    <w:rPr>
                                      <w:rFonts w:ascii="Calibri Light" w:hAnsi="Calibri Light" w:cs="Arial"/>
                                      <w:sz w:val="16"/>
                                      <w:szCs w:val="16"/>
                                    </w:rPr>
                                    <w:t>*Lituania</w:t>
                                  </w:r>
                                </w:p>
                              </w:tc>
                              <w:tc>
                                <w:tcPr>
                                  <w:tcW w:w="1016" w:type="dxa"/>
                                  <w:shd w:val="clear" w:color="auto" w:fill="auto"/>
                                  <w:tcMar>
                                    <w:left w:w="78" w:type="dxa"/>
                                  </w:tcMar>
                                </w:tcPr>
                                <w:p w14:paraId="67E5A67C" w14:textId="77777777" w:rsidR="00641BE9" w:rsidRDefault="00641BE9">
                                  <w:pPr>
                                    <w:pStyle w:val="Paragraph"/>
                                    <w:spacing w:before="0" w:after="0"/>
                                    <w:jc w:val="right"/>
                                    <w:rPr>
                                      <w:rFonts w:ascii="Calibri Light" w:hAnsi="Calibri Light" w:cs="Arial"/>
                                      <w:sz w:val="16"/>
                                      <w:szCs w:val="16"/>
                                      <w:lang w:eastAsia="lt-LT"/>
                                    </w:rPr>
                                  </w:pPr>
                                  <w:r w:rsidRPr="005360B1">
                                    <w:rPr>
                                      <w:sz w:val="16"/>
                                      <w:szCs w:val="16"/>
                                    </w:rPr>
                                    <w:t>1,546</w:t>
                                  </w:r>
                                </w:p>
                              </w:tc>
                              <w:tc>
                                <w:tcPr>
                                  <w:tcW w:w="914" w:type="dxa"/>
                                  <w:gridSpan w:val="2"/>
                                  <w:shd w:val="clear" w:color="auto" w:fill="auto"/>
                                  <w:tcMar>
                                    <w:left w:w="78" w:type="dxa"/>
                                  </w:tcMar>
                                </w:tcPr>
                                <w:p w14:paraId="7030C5CD" w14:textId="77777777" w:rsidR="00641BE9" w:rsidRDefault="00641BE9">
                                  <w:pPr>
                                    <w:pStyle w:val="Paragraph"/>
                                    <w:spacing w:before="0" w:after="0"/>
                                    <w:jc w:val="right"/>
                                    <w:rPr>
                                      <w:rFonts w:ascii="Calibri Light" w:hAnsi="Calibri Light" w:cs="Arial"/>
                                      <w:sz w:val="16"/>
                                      <w:szCs w:val="16"/>
                                      <w:lang w:eastAsia="lt-LT"/>
                                    </w:rPr>
                                  </w:pPr>
                                  <w:r w:rsidRPr="005360B1">
                                    <w:rPr>
                                      <w:sz w:val="16"/>
                                      <w:szCs w:val="16"/>
                                    </w:rPr>
                                    <w:t>1,335</w:t>
                                  </w:r>
                                </w:p>
                              </w:tc>
                              <w:tc>
                                <w:tcPr>
                                  <w:tcW w:w="1076" w:type="dxa"/>
                                  <w:shd w:val="clear" w:color="auto" w:fill="auto"/>
                                  <w:tcMar>
                                    <w:left w:w="78" w:type="dxa"/>
                                  </w:tcMar>
                                  <w:vAlign w:val="bottom"/>
                                </w:tcPr>
                                <w:p w14:paraId="1A2132C0" w14:textId="77777777" w:rsidR="00641BE9" w:rsidRDefault="00641BE9">
                                  <w:pPr>
                                    <w:pStyle w:val="Paragraph"/>
                                    <w:spacing w:before="0" w:after="0"/>
                                    <w:jc w:val="right"/>
                                    <w:rPr>
                                      <w:rFonts w:ascii="Calibri Light" w:hAnsi="Calibri Light" w:cs="Arial"/>
                                      <w:color w:val="000000" w:themeColor="text1"/>
                                      <w:sz w:val="16"/>
                                      <w:szCs w:val="16"/>
                                    </w:rPr>
                                  </w:pPr>
                                  <w:r w:rsidRPr="005360B1">
                                    <w:rPr>
                                      <w:rFonts w:cs="Arial"/>
                                      <w:sz w:val="16"/>
                                      <w:szCs w:val="16"/>
                                    </w:rPr>
                                    <w:t>8,965</w:t>
                                  </w:r>
                                </w:p>
                              </w:tc>
                              <w:tc>
                                <w:tcPr>
                                  <w:tcW w:w="914" w:type="dxa"/>
                                  <w:shd w:val="clear" w:color="auto" w:fill="auto"/>
                                  <w:tcMar>
                                    <w:left w:w="78" w:type="dxa"/>
                                  </w:tcMar>
                                  <w:vAlign w:val="bottom"/>
                                </w:tcPr>
                                <w:p w14:paraId="06A4AB2C" w14:textId="77777777" w:rsidR="00641BE9" w:rsidRDefault="00641BE9">
                                  <w:pPr>
                                    <w:pStyle w:val="Paragraph"/>
                                    <w:spacing w:before="0" w:after="0"/>
                                    <w:jc w:val="right"/>
                                    <w:rPr>
                                      <w:rFonts w:ascii="Calibri Light" w:hAnsi="Calibri Light" w:cs="Arial"/>
                                      <w:color w:val="000000" w:themeColor="text1"/>
                                      <w:sz w:val="16"/>
                                      <w:szCs w:val="16"/>
                                    </w:rPr>
                                  </w:pPr>
                                  <w:r w:rsidRPr="005360B1">
                                    <w:rPr>
                                      <w:rFonts w:cs="Arial"/>
                                      <w:sz w:val="16"/>
                                      <w:szCs w:val="16"/>
                                    </w:rPr>
                                    <w:t>4,925</w:t>
                                  </w:r>
                                </w:p>
                              </w:tc>
                              <w:tc>
                                <w:tcPr>
                                  <w:tcW w:w="995" w:type="dxa"/>
                                  <w:tcBorders>
                                    <w:left w:val="single" w:sz="4" w:space="0" w:color="BFBFBF"/>
                                    <w:right w:val="single" w:sz="4" w:space="0" w:color="BFBFBF"/>
                                  </w:tcBorders>
                                  <w:shd w:val="clear" w:color="auto" w:fill="auto"/>
                                  <w:tcMar>
                                    <w:left w:w="78" w:type="dxa"/>
                                  </w:tcMar>
                                  <w:vAlign w:val="bottom"/>
                                </w:tcPr>
                                <w:p w14:paraId="76476C08" w14:textId="77777777" w:rsidR="00641BE9" w:rsidRDefault="00641BE9">
                                  <w:pPr>
                                    <w:pStyle w:val="Paragraph"/>
                                    <w:spacing w:before="0" w:after="0"/>
                                    <w:jc w:val="right"/>
                                    <w:rPr>
                                      <w:rFonts w:ascii="Calibri Light" w:hAnsi="Calibri Light" w:cs="Arial"/>
                                      <w:color w:val="000000" w:themeColor="text1"/>
                                      <w:sz w:val="16"/>
                                      <w:szCs w:val="16"/>
                                    </w:rPr>
                                  </w:pPr>
                                  <w:r w:rsidRPr="005360B1">
                                    <w:rPr>
                                      <w:rFonts w:cs="Arial"/>
                                      <w:color w:val="000000"/>
                                      <w:sz w:val="16"/>
                                      <w:szCs w:val="16"/>
                                    </w:rPr>
                                    <w:t>2,441</w:t>
                                  </w:r>
                                </w:p>
                              </w:tc>
                            </w:tr>
                            <w:tr w:rsidR="00641BE9" w14:paraId="4C149CA3" w14:textId="77777777" w:rsidTr="00A922E5">
                              <w:trPr>
                                <w:trHeight w:val="170"/>
                              </w:trPr>
                              <w:tc>
                                <w:tcPr>
                                  <w:tcW w:w="2310" w:type="dxa"/>
                                  <w:tcBorders>
                                    <w:left w:val="single" w:sz="4" w:space="0" w:color="BFBFBF"/>
                                  </w:tcBorders>
                                  <w:shd w:val="clear" w:color="auto" w:fill="auto"/>
                                  <w:tcMar>
                                    <w:left w:w="78" w:type="dxa"/>
                                  </w:tcMar>
                                  <w:vAlign w:val="bottom"/>
                                </w:tcPr>
                                <w:p w14:paraId="3550F14D" w14:textId="77777777" w:rsidR="00641BE9" w:rsidRDefault="00641BE9">
                                  <w:pPr>
                                    <w:pStyle w:val="Paragraph"/>
                                    <w:spacing w:before="0" w:after="0"/>
                                    <w:rPr>
                                      <w:rFonts w:ascii="Calibri Light" w:hAnsi="Calibri Light" w:cs="Arial"/>
                                      <w:sz w:val="16"/>
                                      <w:szCs w:val="16"/>
                                    </w:rPr>
                                  </w:pPr>
                                  <w:r>
                                    <w:rPr>
                                      <w:rFonts w:ascii="Calibri Light" w:hAnsi="Calibri Light" w:cs="Arial"/>
                                      <w:sz w:val="16"/>
                                      <w:szCs w:val="16"/>
                                    </w:rPr>
                                    <w:t>*Germania</w:t>
                                  </w:r>
                                </w:p>
                              </w:tc>
                              <w:tc>
                                <w:tcPr>
                                  <w:tcW w:w="1016" w:type="dxa"/>
                                  <w:shd w:val="clear" w:color="auto" w:fill="auto"/>
                                  <w:tcMar>
                                    <w:left w:w="78" w:type="dxa"/>
                                  </w:tcMar>
                                </w:tcPr>
                                <w:p w14:paraId="7D45F408" w14:textId="0F3A252F" w:rsidR="00641BE9" w:rsidRPr="005360B1" w:rsidRDefault="00641BE9">
                                  <w:pPr>
                                    <w:pStyle w:val="Paragraph"/>
                                    <w:spacing w:before="0" w:after="0"/>
                                    <w:jc w:val="right"/>
                                    <w:rPr>
                                      <w:sz w:val="16"/>
                                      <w:szCs w:val="16"/>
                                    </w:rPr>
                                  </w:pPr>
                                  <w:r w:rsidRPr="005360B1">
                                    <w:rPr>
                                      <w:sz w:val="16"/>
                                      <w:szCs w:val="16"/>
                                    </w:rPr>
                                    <w:t>1</w:t>
                                  </w:r>
                                  <w:r>
                                    <w:rPr>
                                      <w:sz w:val="16"/>
                                      <w:szCs w:val="16"/>
                                    </w:rPr>
                                    <w:t>.</w:t>
                                  </w:r>
                                  <w:r w:rsidRPr="005360B1">
                                    <w:rPr>
                                      <w:sz w:val="16"/>
                                      <w:szCs w:val="16"/>
                                    </w:rPr>
                                    <w:t>841</w:t>
                                  </w:r>
                                </w:p>
                              </w:tc>
                              <w:tc>
                                <w:tcPr>
                                  <w:tcW w:w="914" w:type="dxa"/>
                                  <w:gridSpan w:val="2"/>
                                  <w:shd w:val="clear" w:color="auto" w:fill="auto"/>
                                  <w:tcMar>
                                    <w:left w:w="78" w:type="dxa"/>
                                  </w:tcMar>
                                </w:tcPr>
                                <w:p w14:paraId="7FAFC7AB" w14:textId="44B13E63" w:rsidR="00641BE9" w:rsidRPr="005360B1" w:rsidRDefault="00641BE9">
                                  <w:pPr>
                                    <w:pStyle w:val="Paragraph"/>
                                    <w:spacing w:before="0" w:after="0"/>
                                    <w:jc w:val="right"/>
                                    <w:rPr>
                                      <w:sz w:val="16"/>
                                      <w:szCs w:val="16"/>
                                    </w:rPr>
                                  </w:pPr>
                                  <w:r w:rsidRPr="005360B1">
                                    <w:rPr>
                                      <w:sz w:val="16"/>
                                      <w:szCs w:val="16"/>
                                    </w:rPr>
                                    <w:t>1</w:t>
                                  </w:r>
                                  <w:r>
                                    <w:rPr>
                                      <w:sz w:val="16"/>
                                      <w:szCs w:val="16"/>
                                    </w:rPr>
                                    <w:t>.</w:t>
                                  </w:r>
                                  <w:r w:rsidRPr="005360B1">
                                    <w:rPr>
                                      <w:sz w:val="16"/>
                                      <w:szCs w:val="16"/>
                                    </w:rPr>
                                    <w:t>775</w:t>
                                  </w:r>
                                </w:p>
                              </w:tc>
                              <w:tc>
                                <w:tcPr>
                                  <w:tcW w:w="1076" w:type="dxa"/>
                                  <w:shd w:val="clear" w:color="auto" w:fill="auto"/>
                                  <w:tcMar>
                                    <w:left w:w="78" w:type="dxa"/>
                                  </w:tcMar>
                                  <w:vAlign w:val="bottom"/>
                                </w:tcPr>
                                <w:p w14:paraId="158BF990" w14:textId="5EB32C49" w:rsidR="00641BE9" w:rsidRPr="005360B1" w:rsidRDefault="00641BE9">
                                  <w:pPr>
                                    <w:pStyle w:val="Paragraph"/>
                                    <w:spacing w:before="0" w:after="0"/>
                                    <w:jc w:val="right"/>
                                    <w:rPr>
                                      <w:rFonts w:cs="Arial"/>
                                      <w:sz w:val="16"/>
                                      <w:szCs w:val="16"/>
                                    </w:rPr>
                                  </w:pPr>
                                  <w:r w:rsidRPr="005360B1">
                                    <w:rPr>
                                      <w:rFonts w:cs="Arial"/>
                                      <w:sz w:val="16"/>
                                      <w:szCs w:val="16"/>
                                    </w:rPr>
                                    <w:t>3</w:t>
                                  </w:r>
                                  <w:r>
                                    <w:rPr>
                                      <w:rFonts w:cs="Arial"/>
                                      <w:sz w:val="16"/>
                                      <w:szCs w:val="16"/>
                                    </w:rPr>
                                    <w:t>.</w:t>
                                  </w:r>
                                  <w:r w:rsidRPr="005360B1">
                                    <w:rPr>
                                      <w:rFonts w:cs="Arial"/>
                                      <w:sz w:val="16"/>
                                      <w:szCs w:val="16"/>
                                    </w:rPr>
                                    <w:t>421</w:t>
                                  </w:r>
                                </w:p>
                              </w:tc>
                              <w:tc>
                                <w:tcPr>
                                  <w:tcW w:w="914" w:type="dxa"/>
                                  <w:shd w:val="clear" w:color="auto" w:fill="auto"/>
                                  <w:tcMar>
                                    <w:left w:w="78" w:type="dxa"/>
                                  </w:tcMar>
                                  <w:vAlign w:val="bottom"/>
                                </w:tcPr>
                                <w:p w14:paraId="35F1C854" w14:textId="1AB6E1EF" w:rsidR="00641BE9" w:rsidRPr="005360B1" w:rsidRDefault="00641BE9">
                                  <w:pPr>
                                    <w:pStyle w:val="Paragraph"/>
                                    <w:spacing w:before="0" w:after="0"/>
                                    <w:jc w:val="right"/>
                                    <w:rPr>
                                      <w:rFonts w:cs="Arial"/>
                                      <w:sz w:val="16"/>
                                      <w:szCs w:val="16"/>
                                    </w:rPr>
                                  </w:pPr>
                                  <w:r w:rsidRPr="005360B1">
                                    <w:rPr>
                                      <w:rFonts w:cs="Arial"/>
                                      <w:sz w:val="16"/>
                                      <w:szCs w:val="16"/>
                                    </w:rPr>
                                    <w:t>3</w:t>
                                  </w:r>
                                  <w:r>
                                    <w:rPr>
                                      <w:rFonts w:cs="Arial"/>
                                      <w:sz w:val="16"/>
                                      <w:szCs w:val="16"/>
                                    </w:rPr>
                                    <w:t>.</w:t>
                                  </w:r>
                                  <w:r w:rsidRPr="005360B1">
                                    <w:rPr>
                                      <w:rFonts w:cs="Arial"/>
                                      <w:sz w:val="16"/>
                                      <w:szCs w:val="16"/>
                                    </w:rPr>
                                    <w:t>937</w:t>
                                  </w:r>
                                </w:p>
                              </w:tc>
                              <w:tc>
                                <w:tcPr>
                                  <w:tcW w:w="995" w:type="dxa"/>
                                  <w:tcBorders>
                                    <w:left w:val="single" w:sz="4" w:space="0" w:color="BFBFBF"/>
                                    <w:right w:val="single" w:sz="4" w:space="0" w:color="BFBFBF"/>
                                  </w:tcBorders>
                                  <w:shd w:val="clear" w:color="auto" w:fill="auto"/>
                                  <w:tcMar>
                                    <w:left w:w="78" w:type="dxa"/>
                                  </w:tcMar>
                                  <w:vAlign w:val="bottom"/>
                                </w:tcPr>
                                <w:p w14:paraId="179F0F24" w14:textId="75065980" w:rsidR="00641BE9" w:rsidRPr="005360B1" w:rsidRDefault="00641BE9">
                                  <w:pPr>
                                    <w:pStyle w:val="Paragraph"/>
                                    <w:spacing w:before="0" w:after="0"/>
                                    <w:jc w:val="right"/>
                                    <w:rPr>
                                      <w:rFonts w:cs="Arial"/>
                                      <w:color w:val="000000"/>
                                      <w:sz w:val="16"/>
                                      <w:szCs w:val="16"/>
                                    </w:rPr>
                                  </w:pPr>
                                  <w:r w:rsidRPr="005360B1">
                                    <w:rPr>
                                      <w:rFonts w:cs="Arial"/>
                                      <w:color w:val="000000"/>
                                      <w:sz w:val="16"/>
                                      <w:szCs w:val="16"/>
                                    </w:rPr>
                                    <w:t>3</w:t>
                                  </w:r>
                                  <w:r>
                                    <w:rPr>
                                      <w:rFonts w:cs="Arial"/>
                                      <w:color w:val="000000"/>
                                      <w:sz w:val="16"/>
                                      <w:szCs w:val="16"/>
                                    </w:rPr>
                                    <w:t>.</w:t>
                                  </w:r>
                                  <w:r w:rsidRPr="005360B1">
                                    <w:rPr>
                                      <w:rFonts w:cs="Arial"/>
                                      <w:color w:val="000000"/>
                                      <w:sz w:val="16"/>
                                      <w:szCs w:val="16"/>
                                    </w:rPr>
                                    <w:t>363</w:t>
                                  </w:r>
                                </w:p>
                              </w:tc>
                            </w:tr>
                            <w:tr w:rsidR="00641BE9" w14:paraId="3BEFBE49" w14:textId="77777777" w:rsidTr="00A922E5">
                              <w:trPr>
                                <w:trHeight w:val="170"/>
                              </w:trPr>
                              <w:tc>
                                <w:tcPr>
                                  <w:tcW w:w="2310" w:type="dxa"/>
                                  <w:tcBorders>
                                    <w:left w:val="single" w:sz="4" w:space="0" w:color="BFBFBF"/>
                                  </w:tcBorders>
                                  <w:shd w:val="clear" w:color="auto" w:fill="auto"/>
                                  <w:tcMar>
                                    <w:left w:w="78" w:type="dxa"/>
                                  </w:tcMar>
                                  <w:vAlign w:val="bottom"/>
                                </w:tcPr>
                                <w:p w14:paraId="4DC9FAC5" w14:textId="77777777" w:rsidR="00641BE9" w:rsidRDefault="00641BE9">
                                  <w:pPr>
                                    <w:pStyle w:val="Paragraph"/>
                                    <w:spacing w:before="0" w:after="0"/>
                                    <w:rPr>
                                      <w:rFonts w:ascii="Calibri Light" w:hAnsi="Calibri Light" w:cs="Arial"/>
                                      <w:sz w:val="16"/>
                                      <w:szCs w:val="16"/>
                                    </w:rPr>
                                  </w:pPr>
                                  <w:r>
                                    <w:rPr>
                                      <w:rFonts w:ascii="Calibri Light" w:hAnsi="Calibri Light" w:cs="Arial"/>
                                      <w:sz w:val="16"/>
                                      <w:szCs w:val="16"/>
                                    </w:rPr>
                                    <w:t>*eliminazioni</w:t>
                                  </w:r>
                                </w:p>
                              </w:tc>
                              <w:tc>
                                <w:tcPr>
                                  <w:tcW w:w="1016" w:type="dxa"/>
                                  <w:shd w:val="clear" w:color="auto" w:fill="auto"/>
                                  <w:tcMar>
                                    <w:left w:w="78" w:type="dxa"/>
                                  </w:tcMar>
                                </w:tcPr>
                                <w:p w14:paraId="58A64470" w14:textId="20C9FB16" w:rsidR="00641BE9" w:rsidRPr="005360B1" w:rsidRDefault="00641BE9">
                                  <w:pPr>
                                    <w:pStyle w:val="Paragraph"/>
                                    <w:spacing w:before="0" w:after="0"/>
                                    <w:jc w:val="right"/>
                                    <w:rPr>
                                      <w:sz w:val="16"/>
                                      <w:szCs w:val="16"/>
                                    </w:rPr>
                                  </w:pPr>
                                  <w:r>
                                    <w:rPr>
                                      <w:sz w:val="16"/>
                                      <w:szCs w:val="16"/>
                                    </w:rPr>
                                    <w:t>- 234</w:t>
                                  </w:r>
                                </w:p>
                              </w:tc>
                              <w:tc>
                                <w:tcPr>
                                  <w:tcW w:w="914" w:type="dxa"/>
                                  <w:gridSpan w:val="2"/>
                                  <w:shd w:val="clear" w:color="auto" w:fill="auto"/>
                                  <w:tcMar>
                                    <w:left w:w="78" w:type="dxa"/>
                                  </w:tcMar>
                                </w:tcPr>
                                <w:p w14:paraId="7D9C539A" w14:textId="653DECED" w:rsidR="00641BE9" w:rsidRPr="005360B1" w:rsidRDefault="00641BE9">
                                  <w:pPr>
                                    <w:pStyle w:val="Paragraph"/>
                                    <w:spacing w:before="0" w:after="0"/>
                                    <w:jc w:val="right"/>
                                    <w:rPr>
                                      <w:sz w:val="16"/>
                                      <w:szCs w:val="16"/>
                                    </w:rPr>
                                  </w:pPr>
                                  <w:r>
                                    <w:rPr>
                                      <w:sz w:val="16"/>
                                      <w:szCs w:val="16"/>
                                    </w:rPr>
                                    <w:t>- 244</w:t>
                                  </w:r>
                                </w:p>
                              </w:tc>
                              <w:tc>
                                <w:tcPr>
                                  <w:tcW w:w="1076" w:type="dxa"/>
                                  <w:shd w:val="clear" w:color="auto" w:fill="auto"/>
                                  <w:tcMar>
                                    <w:left w:w="78" w:type="dxa"/>
                                  </w:tcMar>
                                  <w:vAlign w:val="bottom"/>
                                </w:tcPr>
                                <w:p w14:paraId="71402FC1" w14:textId="6BE02519" w:rsidR="00641BE9" w:rsidRPr="005360B1" w:rsidRDefault="00641BE9">
                                  <w:pPr>
                                    <w:pStyle w:val="Paragraph"/>
                                    <w:spacing w:before="0" w:after="0"/>
                                    <w:jc w:val="right"/>
                                    <w:rPr>
                                      <w:rFonts w:cs="Arial"/>
                                      <w:sz w:val="16"/>
                                      <w:szCs w:val="16"/>
                                    </w:rPr>
                                  </w:pPr>
                                  <w:r>
                                    <w:rPr>
                                      <w:rFonts w:cs="Arial"/>
                                      <w:sz w:val="16"/>
                                      <w:szCs w:val="16"/>
                                    </w:rPr>
                                    <w:t>- 1,052</w:t>
                                  </w:r>
                                </w:p>
                              </w:tc>
                              <w:tc>
                                <w:tcPr>
                                  <w:tcW w:w="914" w:type="dxa"/>
                                  <w:shd w:val="clear" w:color="auto" w:fill="auto"/>
                                  <w:tcMar>
                                    <w:left w:w="78" w:type="dxa"/>
                                  </w:tcMar>
                                  <w:vAlign w:val="bottom"/>
                                </w:tcPr>
                                <w:p w14:paraId="46750635" w14:textId="7B96282A" w:rsidR="00641BE9" w:rsidRPr="005360B1" w:rsidRDefault="00641BE9">
                                  <w:pPr>
                                    <w:pStyle w:val="Paragraph"/>
                                    <w:spacing w:before="0" w:after="0"/>
                                    <w:jc w:val="right"/>
                                    <w:rPr>
                                      <w:rFonts w:cs="Arial"/>
                                      <w:sz w:val="16"/>
                                      <w:szCs w:val="16"/>
                                    </w:rPr>
                                  </w:pPr>
                                  <w:r>
                                    <w:rPr>
                                      <w:rFonts w:cs="Arial"/>
                                      <w:sz w:val="16"/>
                                      <w:szCs w:val="16"/>
                                    </w:rPr>
                                    <w:t>- 829</w:t>
                                  </w:r>
                                </w:p>
                              </w:tc>
                              <w:tc>
                                <w:tcPr>
                                  <w:tcW w:w="995" w:type="dxa"/>
                                  <w:tcBorders>
                                    <w:left w:val="single" w:sz="4" w:space="0" w:color="BFBFBF"/>
                                    <w:right w:val="single" w:sz="4" w:space="0" w:color="BFBFBF"/>
                                  </w:tcBorders>
                                  <w:shd w:val="clear" w:color="auto" w:fill="auto"/>
                                  <w:tcMar>
                                    <w:left w:w="78" w:type="dxa"/>
                                  </w:tcMar>
                                  <w:vAlign w:val="bottom"/>
                                </w:tcPr>
                                <w:p w14:paraId="127C0C47" w14:textId="4C3B73FB" w:rsidR="00641BE9" w:rsidRPr="005360B1" w:rsidRDefault="00641BE9">
                                  <w:pPr>
                                    <w:pStyle w:val="Paragraph"/>
                                    <w:spacing w:before="0" w:after="0"/>
                                    <w:jc w:val="right"/>
                                    <w:rPr>
                                      <w:rFonts w:cs="Arial"/>
                                      <w:color w:val="000000"/>
                                      <w:sz w:val="16"/>
                                      <w:szCs w:val="16"/>
                                    </w:rPr>
                                  </w:pPr>
                                  <w:r>
                                    <w:rPr>
                                      <w:rFonts w:cs="Arial"/>
                                      <w:color w:val="000000"/>
                                      <w:sz w:val="16"/>
                                      <w:szCs w:val="16"/>
                                    </w:rPr>
                                    <w:t>- 807</w:t>
                                  </w:r>
                                </w:p>
                              </w:tc>
                            </w:tr>
                            <w:tr w:rsidR="00641BE9" w14:paraId="484C0CFA" w14:textId="77777777" w:rsidTr="00A922E5">
                              <w:trPr>
                                <w:trHeight w:val="170"/>
                              </w:trPr>
                              <w:tc>
                                <w:tcPr>
                                  <w:tcW w:w="7225" w:type="dxa"/>
                                  <w:gridSpan w:val="7"/>
                                  <w:tcBorders>
                                    <w:top w:val="single" w:sz="4" w:space="0" w:color="BFBFBF"/>
                                    <w:left w:val="single" w:sz="4" w:space="0" w:color="BFBFBF"/>
                                    <w:bottom w:val="single" w:sz="4" w:space="0" w:color="BFBFBF"/>
                                  </w:tcBorders>
                                  <w:shd w:val="clear" w:color="auto" w:fill="auto"/>
                                  <w:tcMar>
                                    <w:left w:w="78" w:type="dxa"/>
                                  </w:tcMar>
                                  <w:vAlign w:val="bottom"/>
                                </w:tcPr>
                                <w:p w14:paraId="7763BCB9" w14:textId="77777777" w:rsidR="00641BE9" w:rsidRDefault="00641BE9">
                                  <w:pPr>
                                    <w:pStyle w:val="Paragraph"/>
                                    <w:spacing w:before="0" w:after="0"/>
                                  </w:pPr>
                                  <w:r>
                                    <w:rPr>
                                      <w:rFonts w:ascii="Calibri Light" w:hAnsi="Calibri Light" w:cs="Arial"/>
                                      <w:i/>
                                      <w:color w:val="000000" w:themeColor="text1"/>
                                      <w:sz w:val="16"/>
                                      <w:szCs w:val="16"/>
                                    </w:rPr>
                                    <w:t>Fonte</w:t>
                                  </w:r>
                                  <w:r w:rsidRPr="000C3AB8">
                                    <w:rPr>
                                      <w:rFonts w:ascii="Calibri Light" w:hAnsi="Calibri Light" w:cs="Arial"/>
                                      <w:i/>
                                      <w:color w:val="000000" w:themeColor="text1"/>
                                      <w:sz w:val="16"/>
                                      <w:szCs w:val="16"/>
                                    </w:rPr>
                                    <w:t>: Bilanci, la S</w:t>
                                  </w:r>
                                  <w:r>
                                    <w:rPr>
                                      <w:rFonts w:ascii="Calibri Light" w:hAnsi="Calibri Light" w:cs="Arial"/>
                                      <w:i/>
                                      <w:color w:val="000000" w:themeColor="text1"/>
                                      <w:sz w:val="16"/>
                                      <w:szCs w:val="16"/>
                                    </w:rPr>
                                    <w:t>ocietà</w:t>
                                  </w:r>
                                </w:p>
                              </w:tc>
                            </w:tr>
                          </w:tbl>
                          <w:p w14:paraId="289AB1C2" w14:textId="77777777" w:rsidR="00641BE9" w:rsidRDefault="00641BE9" w:rsidP="004976E9">
                            <w:pPr>
                              <w:pStyle w:val="FrameContents"/>
                            </w:pPr>
                          </w:p>
                        </w:txbxContent>
                      </v:textbox>
                      <w10:wrap type="square"/>
                    </v:shape>
                  </w:pict>
                </mc:Fallback>
              </mc:AlternateContent>
            </w:r>
          </w:p>
        </w:tc>
      </w:tr>
      <w:tr w:rsidR="004976E9" w:rsidRPr="00273ED1" w14:paraId="55CFF08E" w14:textId="77777777" w:rsidTr="00E31E69">
        <w:tc>
          <w:tcPr>
            <w:tcW w:w="706" w:type="dxa"/>
            <w:tcBorders>
              <w:top w:val="single" w:sz="4" w:space="0" w:color="808080"/>
              <w:left w:val="single" w:sz="4" w:space="0" w:color="BFBFBF"/>
              <w:bottom w:val="single" w:sz="4" w:space="0" w:color="808080"/>
              <w:right w:val="single" w:sz="4" w:space="0" w:color="808080"/>
            </w:tcBorders>
            <w:shd w:val="clear" w:color="auto" w:fill="auto"/>
            <w:tcMar>
              <w:left w:w="83" w:type="dxa"/>
            </w:tcMar>
          </w:tcPr>
          <w:p w14:paraId="7F98122F" w14:textId="77777777" w:rsidR="004976E9" w:rsidRPr="00273ED1" w:rsidRDefault="004976E9" w:rsidP="00E31E69">
            <w:pPr>
              <w:rPr>
                <w:rFonts w:ascii="Arial" w:hAnsi="Arial" w:cs="Arial"/>
                <w:sz w:val="15"/>
                <w:szCs w:val="15"/>
              </w:rPr>
            </w:pPr>
            <w:r w:rsidRPr="00273ED1">
              <w:rPr>
                <w:rFonts w:ascii="Arial" w:hAnsi="Arial" w:cs="Arial"/>
                <w:sz w:val="15"/>
                <w:szCs w:val="15"/>
              </w:rPr>
              <w:t>B.4a</w:t>
            </w:r>
          </w:p>
        </w:tc>
        <w:tc>
          <w:tcPr>
            <w:tcW w:w="1553" w:type="dxa"/>
            <w:tcBorders>
              <w:top w:val="single" w:sz="4" w:space="0" w:color="808080"/>
              <w:left w:val="single" w:sz="4" w:space="0" w:color="808080"/>
              <w:bottom w:val="single" w:sz="4" w:space="0" w:color="808080"/>
              <w:right w:val="single" w:sz="4" w:space="0" w:color="808080"/>
            </w:tcBorders>
            <w:shd w:val="clear" w:color="auto" w:fill="auto"/>
            <w:tcMar>
              <w:left w:w="83" w:type="dxa"/>
            </w:tcMar>
          </w:tcPr>
          <w:p w14:paraId="07FE97FA" w14:textId="77777777" w:rsidR="004976E9" w:rsidRPr="00273ED1" w:rsidRDefault="004976E9" w:rsidP="00E31E69">
            <w:pPr>
              <w:rPr>
                <w:sz w:val="15"/>
                <w:szCs w:val="15"/>
              </w:rPr>
            </w:pPr>
            <w:bookmarkStart w:id="127" w:name="_Hlk488764268"/>
            <w:bookmarkEnd w:id="127"/>
            <w:r w:rsidRPr="00273ED1">
              <w:rPr>
                <w:rFonts w:ascii="Arial" w:hAnsi="Arial" w:cs="Arial"/>
                <w:sz w:val="15"/>
                <w:szCs w:val="15"/>
              </w:rPr>
              <w:t>Principali tendenze recenti riguardanti il settore</w:t>
            </w:r>
          </w:p>
        </w:tc>
        <w:tc>
          <w:tcPr>
            <w:tcW w:w="7493" w:type="dxa"/>
            <w:tcBorders>
              <w:top w:val="single" w:sz="4" w:space="0" w:color="00000A"/>
              <w:left w:val="single" w:sz="4" w:space="0" w:color="808080"/>
              <w:bottom w:val="single" w:sz="4" w:space="0" w:color="808080"/>
              <w:right w:val="single" w:sz="4" w:space="0" w:color="BFBFBF"/>
            </w:tcBorders>
            <w:shd w:val="clear" w:color="auto" w:fill="auto"/>
            <w:tcMar>
              <w:left w:w="83" w:type="dxa"/>
            </w:tcMar>
          </w:tcPr>
          <w:p w14:paraId="4D1911E2" w14:textId="77777777" w:rsidR="004976E9" w:rsidRPr="00273ED1" w:rsidRDefault="00A213B1" w:rsidP="00E31E69">
            <w:pPr>
              <w:jc w:val="both"/>
              <w:rPr>
                <w:rFonts w:ascii="Arial" w:hAnsi="Arial" w:cs="Arial"/>
                <w:sz w:val="15"/>
                <w:szCs w:val="15"/>
                <w:lang w:eastAsia="lt-LT"/>
              </w:rPr>
            </w:pPr>
            <w:r w:rsidRPr="00273ED1">
              <w:rPr>
                <w:rFonts w:ascii="Arial" w:hAnsi="Arial" w:cs="Arial"/>
                <w:sz w:val="15"/>
                <w:szCs w:val="15"/>
                <w:lang w:eastAsia="lt-LT"/>
              </w:rPr>
              <w:t>nessuna</w:t>
            </w:r>
          </w:p>
        </w:tc>
      </w:tr>
      <w:tr w:rsidR="004976E9" w:rsidRPr="00273ED1" w14:paraId="3DCBB394" w14:textId="77777777" w:rsidTr="00E31E69">
        <w:tc>
          <w:tcPr>
            <w:tcW w:w="706" w:type="dxa"/>
            <w:tcBorders>
              <w:top w:val="single" w:sz="4" w:space="0" w:color="808080"/>
              <w:left w:val="single" w:sz="4" w:space="0" w:color="BFBFBF"/>
              <w:bottom w:val="single" w:sz="4" w:space="0" w:color="808080"/>
              <w:right w:val="single" w:sz="4" w:space="0" w:color="808080"/>
            </w:tcBorders>
            <w:shd w:val="clear" w:color="auto" w:fill="auto"/>
            <w:tcMar>
              <w:left w:w="83" w:type="dxa"/>
            </w:tcMar>
          </w:tcPr>
          <w:p w14:paraId="254C4F2E" w14:textId="77777777" w:rsidR="004976E9" w:rsidRPr="00273ED1" w:rsidRDefault="004976E9" w:rsidP="00E31E69">
            <w:pPr>
              <w:rPr>
                <w:rFonts w:ascii="Arial" w:hAnsi="Arial" w:cs="Arial"/>
                <w:sz w:val="15"/>
                <w:szCs w:val="15"/>
              </w:rPr>
            </w:pPr>
            <w:r w:rsidRPr="00273ED1">
              <w:rPr>
                <w:rFonts w:ascii="Arial" w:hAnsi="Arial" w:cs="Arial"/>
                <w:sz w:val="15"/>
                <w:szCs w:val="15"/>
              </w:rPr>
              <w:t>B.5</w:t>
            </w:r>
          </w:p>
        </w:tc>
        <w:tc>
          <w:tcPr>
            <w:tcW w:w="1553" w:type="dxa"/>
            <w:tcBorders>
              <w:top w:val="single" w:sz="4" w:space="0" w:color="808080"/>
              <w:left w:val="single" w:sz="4" w:space="0" w:color="808080"/>
              <w:bottom w:val="single" w:sz="4" w:space="0" w:color="808080"/>
              <w:right w:val="single" w:sz="4" w:space="0" w:color="808080"/>
            </w:tcBorders>
            <w:shd w:val="clear" w:color="auto" w:fill="auto"/>
            <w:tcMar>
              <w:left w:w="83" w:type="dxa"/>
            </w:tcMar>
          </w:tcPr>
          <w:p w14:paraId="7B865825" w14:textId="77777777" w:rsidR="004976E9" w:rsidRPr="00273ED1" w:rsidRDefault="004976E9" w:rsidP="00E31E69">
            <w:pPr>
              <w:rPr>
                <w:sz w:val="15"/>
                <w:szCs w:val="15"/>
              </w:rPr>
            </w:pPr>
            <w:r w:rsidRPr="00273ED1">
              <w:rPr>
                <w:rFonts w:ascii="Arial" w:hAnsi="Arial" w:cs="Arial"/>
                <w:sz w:val="15"/>
                <w:szCs w:val="15"/>
              </w:rPr>
              <w:t>Descrizione del Gruppo.</w:t>
            </w:r>
          </w:p>
          <w:p w14:paraId="6BF08BBC" w14:textId="77777777" w:rsidR="004976E9" w:rsidRPr="00273ED1" w:rsidRDefault="004976E9" w:rsidP="00E31E69">
            <w:pPr>
              <w:rPr>
                <w:sz w:val="15"/>
                <w:szCs w:val="15"/>
              </w:rPr>
            </w:pPr>
            <w:r w:rsidRPr="00273ED1">
              <w:rPr>
                <w:rFonts w:ascii="Arial" w:hAnsi="Arial" w:cs="Arial"/>
                <w:sz w:val="15"/>
                <w:szCs w:val="15"/>
              </w:rPr>
              <w:lastRenderedPageBreak/>
              <w:t>Posizione della Società all'interno del Gruppo</w:t>
            </w:r>
          </w:p>
        </w:tc>
        <w:tc>
          <w:tcPr>
            <w:tcW w:w="7493" w:type="dxa"/>
            <w:tcBorders>
              <w:top w:val="single" w:sz="4" w:space="0" w:color="808080"/>
              <w:left w:val="single" w:sz="4" w:space="0" w:color="808080"/>
              <w:bottom w:val="single" w:sz="4" w:space="0" w:color="808080"/>
              <w:right w:val="single" w:sz="4" w:space="0" w:color="BFBFBF"/>
            </w:tcBorders>
            <w:shd w:val="clear" w:color="auto" w:fill="auto"/>
            <w:tcMar>
              <w:left w:w="83" w:type="dxa"/>
            </w:tcMar>
          </w:tcPr>
          <w:p w14:paraId="062D94BA" w14:textId="165B4A49" w:rsidR="004976E9" w:rsidRPr="00273ED1" w:rsidRDefault="004976E9" w:rsidP="00E31E69">
            <w:pPr>
              <w:jc w:val="both"/>
              <w:rPr>
                <w:sz w:val="15"/>
                <w:szCs w:val="15"/>
              </w:rPr>
            </w:pPr>
            <w:r w:rsidRPr="00273ED1">
              <w:rPr>
                <w:rFonts w:ascii="Arial" w:hAnsi="Arial" w:cs="Arial"/>
                <w:sz w:val="15"/>
                <w:szCs w:val="15"/>
              </w:rPr>
              <w:lastRenderedPageBreak/>
              <w:t>La Società è la controllante operativa del Gruppo. Alla data del presente Prosp</w:t>
            </w:r>
            <w:r w:rsidR="00A213B1" w:rsidRPr="00273ED1">
              <w:rPr>
                <w:rFonts w:ascii="Arial" w:hAnsi="Arial" w:cs="Arial"/>
                <w:sz w:val="15"/>
                <w:szCs w:val="15"/>
              </w:rPr>
              <w:t>etto, fanno parte del Gruppo 1</w:t>
            </w:r>
            <w:r w:rsidR="00A922E5" w:rsidRPr="00273ED1">
              <w:rPr>
                <w:rFonts w:ascii="Arial" w:hAnsi="Arial" w:cs="Arial"/>
                <w:sz w:val="15"/>
                <w:szCs w:val="15"/>
              </w:rPr>
              <w:t xml:space="preserve">7 </w:t>
            </w:r>
            <w:r w:rsidRPr="00273ED1">
              <w:rPr>
                <w:rFonts w:ascii="Arial" w:hAnsi="Arial" w:cs="Arial"/>
                <w:sz w:val="15"/>
                <w:szCs w:val="15"/>
              </w:rPr>
              <w:t>controllate della Società (le “</w:t>
            </w:r>
            <w:r w:rsidRPr="00273ED1">
              <w:rPr>
                <w:rFonts w:ascii="Arial" w:hAnsi="Arial" w:cs="Arial"/>
                <w:b/>
                <w:bCs/>
                <w:sz w:val="15"/>
                <w:szCs w:val="15"/>
              </w:rPr>
              <w:t>Controllate</w:t>
            </w:r>
            <w:r w:rsidRPr="00273ED1">
              <w:rPr>
                <w:rFonts w:ascii="Arial" w:hAnsi="Arial" w:cs="Arial"/>
                <w:sz w:val="15"/>
                <w:szCs w:val="15"/>
              </w:rPr>
              <w:t xml:space="preserve">”), comprendenti: </w:t>
            </w:r>
          </w:p>
          <w:p w14:paraId="1DAF4690" w14:textId="77777777" w:rsidR="004976E9" w:rsidRPr="00273ED1" w:rsidRDefault="00A213B1" w:rsidP="00E31E69">
            <w:pPr>
              <w:pStyle w:val="ListParagraph"/>
              <w:numPr>
                <w:ilvl w:val="0"/>
                <w:numId w:val="6"/>
              </w:numPr>
              <w:spacing w:after="0" w:line="240" w:lineRule="auto"/>
              <w:ind w:left="315" w:hanging="284"/>
              <w:jc w:val="both"/>
              <w:rPr>
                <w:sz w:val="15"/>
                <w:szCs w:val="15"/>
              </w:rPr>
            </w:pPr>
            <w:r w:rsidRPr="00273ED1">
              <w:rPr>
                <w:rFonts w:ascii="Arial" w:hAnsi="Arial" w:cs="Arial"/>
                <w:sz w:val="15"/>
                <w:szCs w:val="15"/>
                <w:lang w:val="it-IT"/>
              </w:rPr>
              <w:t>sette</w:t>
            </w:r>
            <w:r w:rsidR="004976E9" w:rsidRPr="00273ED1">
              <w:rPr>
                <w:rFonts w:ascii="Arial" w:hAnsi="Arial" w:cs="Arial"/>
                <w:sz w:val="15"/>
                <w:szCs w:val="15"/>
                <w:lang w:val="it-IT"/>
              </w:rPr>
              <w:t xml:space="preserve"> controllate in Estonia: AS Pro Kapital Eesti, OÜ Ilmarise Kvartal, AS Tondi Kvartal, OÜ Marsi Elu, OÜ Pro Haldus</w:t>
            </w:r>
            <w:r w:rsidRPr="00273ED1">
              <w:rPr>
                <w:rFonts w:ascii="Arial" w:hAnsi="Arial" w:cs="Arial"/>
                <w:sz w:val="15"/>
                <w:szCs w:val="15"/>
                <w:lang w:val="it-IT"/>
              </w:rPr>
              <w:t>e</w:t>
            </w:r>
            <w:r w:rsidR="004976E9" w:rsidRPr="00273ED1">
              <w:rPr>
                <w:rFonts w:ascii="Arial" w:hAnsi="Arial" w:cs="Arial"/>
                <w:sz w:val="15"/>
                <w:szCs w:val="15"/>
                <w:lang w:val="it-IT"/>
              </w:rPr>
              <w:t>, AS Tallinna Moekombinaat e Pro Kapital Germany Holdings OÜ;</w:t>
            </w:r>
          </w:p>
          <w:p w14:paraId="6832D57B" w14:textId="1F5B507D" w:rsidR="00A213B1" w:rsidRPr="00273ED1" w:rsidRDefault="00A922E5" w:rsidP="00E31E69">
            <w:pPr>
              <w:pStyle w:val="ListParagraph"/>
              <w:numPr>
                <w:ilvl w:val="0"/>
                <w:numId w:val="6"/>
              </w:numPr>
              <w:spacing w:after="0" w:line="240" w:lineRule="auto"/>
              <w:ind w:left="315" w:hanging="284"/>
              <w:jc w:val="both"/>
              <w:rPr>
                <w:sz w:val="15"/>
                <w:szCs w:val="15"/>
              </w:rPr>
            </w:pPr>
            <w:r w:rsidRPr="00273ED1">
              <w:rPr>
                <w:rFonts w:ascii="Arial" w:hAnsi="Arial" w:cs="Arial"/>
                <w:sz w:val="15"/>
                <w:szCs w:val="15"/>
                <w:lang w:val="it-IT"/>
              </w:rPr>
              <w:lastRenderedPageBreak/>
              <w:t>quattro</w:t>
            </w:r>
            <w:r w:rsidR="004976E9" w:rsidRPr="00273ED1">
              <w:rPr>
                <w:rFonts w:ascii="Arial" w:hAnsi="Arial" w:cs="Arial"/>
                <w:sz w:val="15"/>
                <w:szCs w:val="15"/>
                <w:lang w:val="it-IT"/>
              </w:rPr>
              <w:t xml:space="preserve"> controllate i</w:t>
            </w:r>
            <w:r w:rsidR="00A213B1" w:rsidRPr="00273ED1">
              <w:rPr>
                <w:rFonts w:ascii="Arial" w:hAnsi="Arial" w:cs="Arial"/>
                <w:sz w:val="15"/>
                <w:szCs w:val="15"/>
                <w:lang w:val="it-IT"/>
              </w:rPr>
              <w:t xml:space="preserve">n Lettonia: Pro Kapital Latvia </w:t>
            </w:r>
            <w:r w:rsidR="004976E9" w:rsidRPr="00273ED1">
              <w:rPr>
                <w:rFonts w:ascii="Arial" w:hAnsi="Arial" w:cs="Arial"/>
                <w:sz w:val="15"/>
                <w:szCs w:val="15"/>
                <w:lang w:val="it-IT"/>
              </w:rPr>
              <w:t xml:space="preserve">JSC, Klīversala SIA, Tallina nekustamie īpašumi SIA, </w:t>
            </w:r>
            <w:r w:rsidRPr="00273ED1">
              <w:rPr>
                <w:rFonts w:ascii="Arial" w:hAnsi="Arial" w:cs="Arial"/>
                <w:sz w:val="15"/>
                <w:szCs w:val="15"/>
                <w:lang w:val="it-IT"/>
              </w:rPr>
              <w:t xml:space="preserve">e </w:t>
            </w:r>
            <w:r w:rsidR="004976E9" w:rsidRPr="00273ED1">
              <w:rPr>
                <w:rFonts w:ascii="Arial" w:hAnsi="Arial" w:cs="Arial"/>
                <w:sz w:val="15"/>
                <w:szCs w:val="15"/>
                <w:lang w:val="it-IT"/>
              </w:rPr>
              <w:t>Nekustamo īpašumu s</w:t>
            </w:r>
            <w:r w:rsidR="00A213B1" w:rsidRPr="00273ED1">
              <w:rPr>
                <w:rFonts w:ascii="Arial" w:hAnsi="Arial" w:cs="Arial"/>
                <w:sz w:val="15"/>
                <w:szCs w:val="15"/>
                <w:lang w:val="it-IT"/>
              </w:rPr>
              <w:t>abiedrība Zvaigznes centrs SIA,”;</w:t>
            </w:r>
          </w:p>
          <w:p w14:paraId="0134C15B" w14:textId="77777777" w:rsidR="004976E9" w:rsidRPr="00273ED1" w:rsidRDefault="004976E9" w:rsidP="00E31E69">
            <w:pPr>
              <w:pStyle w:val="ListParagraph"/>
              <w:numPr>
                <w:ilvl w:val="0"/>
                <w:numId w:val="6"/>
              </w:numPr>
              <w:spacing w:after="0" w:line="240" w:lineRule="auto"/>
              <w:ind w:left="315" w:hanging="284"/>
              <w:jc w:val="both"/>
              <w:rPr>
                <w:sz w:val="15"/>
                <w:szCs w:val="15"/>
              </w:rPr>
            </w:pPr>
            <w:r w:rsidRPr="00273ED1">
              <w:rPr>
                <w:rFonts w:ascii="Arial" w:hAnsi="Arial" w:cs="Arial"/>
                <w:sz w:val="15"/>
                <w:szCs w:val="15"/>
                <w:lang w:val="it-IT"/>
              </w:rPr>
              <w:t xml:space="preserve">quattro controllate in Lituania: Pro Kapital Vilnius Real Estate UAB, PK Invest UAB, Pro Kapital Bonum UAB e In Vitam UAB </w:t>
            </w:r>
          </w:p>
          <w:p w14:paraId="5FEA6239" w14:textId="77777777" w:rsidR="004976E9" w:rsidRPr="00273ED1" w:rsidRDefault="004976E9" w:rsidP="00E31E69">
            <w:pPr>
              <w:pStyle w:val="ListParagraph"/>
              <w:numPr>
                <w:ilvl w:val="0"/>
                <w:numId w:val="6"/>
              </w:numPr>
              <w:spacing w:after="0" w:line="240" w:lineRule="auto"/>
              <w:ind w:left="315" w:hanging="284"/>
              <w:jc w:val="both"/>
              <w:rPr>
                <w:sz w:val="15"/>
                <w:szCs w:val="15"/>
              </w:rPr>
            </w:pPr>
            <w:r w:rsidRPr="00273ED1">
              <w:rPr>
                <w:rFonts w:ascii="Arial" w:hAnsi="Arial" w:cs="Arial"/>
                <w:sz w:val="15"/>
                <w:szCs w:val="15"/>
                <w:lang w:val="it-IT"/>
              </w:rPr>
              <w:t>due controllate in Germania: Pro Kapital Germany GmbH e PK Hotel Management Services GmbH.</w:t>
            </w:r>
          </w:p>
          <w:p w14:paraId="3DC71E51" w14:textId="0D2B7FDD" w:rsidR="00245502" w:rsidRPr="00273ED1" w:rsidRDefault="004976E9" w:rsidP="00E31E69">
            <w:pPr>
              <w:ind w:left="31"/>
              <w:jc w:val="both"/>
              <w:rPr>
                <w:rFonts w:ascii="Arial" w:hAnsi="Arial" w:cs="Arial"/>
                <w:sz w:val="15"/>
                <w:szCs w:val="15"/>
              </w:rPr>
            </w:pPr>
            <w:r w:rsidRPr="00273ED1">
              <w:rPr>
                <w:rFonts w:ascii="Arial" w:hAnsi="Arial" w:cs="Arial"/>
                <w:sz w:val="15"/>
                <w:szCs w:val="15"/>
              </w:rPr>
              <w:t>Eccettuata AS Tallinna Moekombinaat, il 100% delle azioni di tutte le controllate è posseduto dalla Società o da un'altra società facente parte del Gruppo. Il 9</w:t>
            </w:r>
            <w:r w:rsidR="00A922E5" w:rsidRPr="00273ED1">
              <w:rPr>
                <w:rFonts w:ascii="Arial" w:hAnsi="Arial" w:cs="Arial"/>
                <w:sz w:val="15"/>
                <w:szCs w:val="15"/>
              </w:rPr>
              <w:t>3.</w:t>
            </w:r>
            <w:r w:rsidRPr="00273ED1">
              <w:rPr>
                <w:rFonts w:ascii="Arial" w:hAnsi="Arial" w:cs="Arial"/>
                <w:sz w:val="15"/>
                <w:szCs w:val="15"/>
              </w:rPr>
              <w:t>,95% delle azioni di AS Tallinna Moekombinaat è di proprietà di AS Pro Kapital Eesti, una controllata della Società</w:t>
            </w:r>
          </w:p>
          <w:p w14:paraId="0DCAF2A7" w14:textId="77777777" w:rsidR="004976E9" w:rsidRPr="00273ED1" w:rsidRDefault="004976E9" w:rsidP="00A922E5">
            <w:pPr>
              <w:ind w:left="31"/>
              <w:jc w:val="both"/>
              <w:rPr>
                <w:rFonts w:ascii="Arial" w:hAnsi="Arial" w:cs="Arial"/>
                <w:sz w:val="15"/>
                <w:szCs w:val="15"/>
              </w:rPr>
            </w:pPr>
          </w:p>
        </w:tc>
      </w:tr>
      <w:tr w:rsidR="004976E9" w:rsidRPr="00273ED1" w14:paraId="04BA2634" w14:textId="77777777" w:rsidTr="00E31E69">
        <w:tc>
          <w:tcPr>
            <w:tcW w:w="706" w:type="dxa"/>
            <w:tcBorders>
              <w:top w:val="single" w:sz="4" w:space="0" w:color="808080"/>
              <w:left w:val="single" w:sz="4" w:space="0" w:color="BFBFBF"/>
              <w:bottom w:val="single" w:sz="4" w:space="0" w:color="808080"/>
              <w:right w:val="single" w:sz="4" w:space="0" w:color="808080"/>
            </w:tcBorders>
            <w:shd w:val="clear" w:color="auto" w:fill="auto"/>
            <w:tcMar>
              <w:left w:w="83" w:type="dxa"/>
            </w:tcMar>
          </w:tcPr>
          <w:p w14:paraId="4AB51679" w14:textId="77777777" w:rsidR="004976E9" w:rsidRPr="00273ED1" w:rsidRDefault="004976E9" w:rsidP="00E31E69">
            <w:pPr>
              <w:rPr>
                <w:rFonts w:ascii="Arial" w:hAnsi="Arial" w:cs="Arial"/>
                <w:sz w:val="15"/>
                <w:szCs w:val="15"/>
              </w:rPr>
            </w:pPr>
            <w:r w:rsidRPr="00273ED1">
              <w:rPr>
                <w:rFonts w:ascii="Arial" w:hAnsi="Arial" w:cs="Arial"/>
                <w:sz w:val="15"/>
                <w:szCs w:val="15"/>
              </w:rPr>
              <w:lastRenderedPageBreak/>
              <w:t>B.6</w:t>
            </w:r>
          </w:p>
        </w:tc>
        <w:tc>
          <w:tcPr>
            <w:tcW w:w="1553" w:type="dxa"/>
            <w:tcBorders>
              <w:top w:val="single" w:sz="4" w:space="0" w:color="808080"/>
              <w:left w:val="single" w:sz="4" w:space="0" w:color="808080"/>
              <w:bottom w:val="single" w:sz="4" w:space="0" w:color="808080"/>
              <w:right w:val="single" w:sz="4" w:space="0" w:color="808080"/>
            </w:tcBorders>
            <w:shd w:val="clear" w:color="auto" w:fill="auto"/>
            <w:tcMar>
              <w:left w:w="83" w:type="dxa"/>
            </w:tcMar>
          </w:tcPr>
          <w:p w14:paraId="202BF467" w14:textId="77777777" w:rsidR="004976E9" w:rsidRPr="00273ED1" w:rsidRDefault="004976E9" w:rsidP="00E31E69">
            <w:pPr>
              <w:rPr>
                <w:sz w:val="15"/>
                <w:szCs w:val="15"/>
              </w:rPr>
            </w:pPr>
            <w:r w:rsidRPr="00273ED1">
              <w:rPr>
                <w:rFonts w:ascii="Arial" w:hAnsi="Arial" w:cs="Arial"/>
                <w:sz w:val="15"/>
                <w:szCs w:val="15"/>
              </w:rPr>
              <w:t xml:space="preserve">Soggetti che, direttamente o indirettamente, detengono una partecipazione nel capitale o diritti di voto della Società soggetta a notifica ai sensi del diritto estone e indicazione dell'importo di tale partecipazione. Diritto di voto degli azionisti di maggioranza. Controllo diretto o indiretto della Società </w:t>
            </w:r>
          </w:p>
          <w:p w14:paraId="514BE218" w14:textId="77777777" w:rsidR="004976E9" w:rsidRPr="00273ED1" w:rsidRDefault="004976E9" w:rsidP="00E31E69">
            <w:pPr>
              <w:rPr>
                <w:rFonts w:ascii="Arial" w:hAnsi="Arial" w:cs="Arial"/>
                <w:sz w:val="15"/>
                <w:szCs w:val="15"/>
              </w:rPr>
            </w:pPr>
          </w:p>
          <w:p w14:paraId="672D81EA" w14:textId="77777777" w:rsidR="004976E9" w:rsidRPr="00273ED1" w:rsidRDefault="004976E9" w:rsidP="00E31E69">
            <w:pPr>
              <w:rPr>
                <w:rFonts w:ascii="Arial" w:hAnsi="Arial" w:cs="Arial"/>
                <w:sz w:val="15"/>
                <w:szCs w:val="15"/>
              </w:rPr>
            </w:pPr>
          </w:p>
        </w:tc>
        <w:tc>
          <w:tcPr>
            <w:tcW w:w="7493" w:type="dxa"/>
            <w:tcBorders>
              <w:top w:val="single" w:sz="4" w:space="0" w:color="808080"/>
              <w:left w:val="single" w:sz="4" w:space="0" w:color="808080"/>
              <w:bottom w:val="single" w:sz="4" w:space="0" w:color="808080"/>
              <w:right w:val="single" w:sz="4" w:space="0" w:color="BFBFBF"/>
            </w:tcBorders>
            <w:shd w:val="clear" w:color="auto" w:fill="auto"/>
            <w:tcMar>
              <w:left w:w="83" w:type="dxa"/>
            </w:tcMar>
          </w:tcPr>
          <w:p w14:paraId="57DDEDFC" w14:textId="1F1C9CED" w:rsidR="004976E9" w:rsidRPr="00273ED1" w:rsidRDefault="004976E9" w:rsidP="00E31E69">
            <w:pPr>
              <w:ind w:left="28"/>
              <w:jc w:val="both"/>
              <w:rPr>
                <w:sz w:val="15"/>
                <w:szCs w:val="15"/>
              </w:rPr>
            </w:pPr>
            <w:r w:rsidRPr="00273ED1">
              <w:rPr>
                <w:rFonts w:ascii="Arial" w:hAnsi="Arial" w:cs="Arial"/>
                <w:sz w:val="15"/>
                <w:szCs w:val="15"/>
                <w:lang w:eastAsia="lt-LT"/>
              </w:rPr>
              <w:t>Secondo i dati indicati nel</w:t>
            </w:r>
            <w:r w:rsidR="008D4E89" w:rsidRPr="00273ED1">
              <w:rPr>
                <w:rFonts w:ascii="Arial" w:hAnsi="Arial" w:cs="Arial"/>
                <w:sz w:val="15"/>
                <w:szCs w:val="15"/>
                <w:lang w:eastAsia="lt-LT"/>
              </w:rPr>
              <w:t>l’elenco dei</w:t>
            </w:r>
            <w:r w:rsidRPr="00273ED1">
              <w:rPr>
                <w:rFonts w:ascii="Arial" w:hAnsi="Arial" w:cs="Arial"/>
                <w:sz w:val="15"/>
                <w:szCs w:val="15"/>
                <w:lang w:eastAsia="lt-LT"/>
              </w:rPr>
              <w:t xml:space="preserve"> soci </w:t>
            </w:r>
            <w:r w:rsidR="008D4E89" w:rsidRPr="00273ED1">
              <w:rPr>
                <w:rFonts w:ascii="Arial" w:hAnsi="Arial" w:cs="Arial"/>
                <w:sz w:val="15"/>
                <w:szCs w:val="15"/>
                <w:lang w:eastAsia="lt-LT"/>
              </w:rPr>
              <w:t xml:space="preserve">della Società </w:t>
            </w:r>
            <w:r w:rsidRPr="00273ED1">
              <w:rPr>
                <w:rFonts w:ascii="Arial" w:hAnsi="Arial" w:cs="Arial"/>
                <w:sz w:val="15"/>
                <w:szCs w:val="15"/>
                <w:lang w:eastAsia="lt-LT"/>
              </w:rPr>
              <w:t xml:space="preserve">tenuto nel </w:t>
            </w:r>
            <w:r w:rsidR="006E2238" w:rsidRPr="00273ED1">
              <w:rPr>
                <w:rFonts w:ascii="Arial" w:hAnsi="Arial" w:cs="Arial"/>
                <w:sz w:val="15"/>
                <w:szCs w:val="15"/>
                <w:lang w:eastAsia="lt-LT"/>
              </w:rPr>
              <w:t>Registro degli</w:t>
            </w:r>
            <w:r w:rsidRPr="00273ED1">
              <w:rPr>
                <w:rFonts w:ascii="Arial" w:hAnsi="Arial" w:cs="Arial"/>
                <w:sz w:val="15"/>
                <w:szCs w:val="15"/>
                <w:lang w:eastAsia="lt-LT"/>
              </w:rPr>
              <w:t xml:space="preserve"> </w:t>
            </w:r>
            <w:r w:rsidR="008D4E89" w:rsidRPr="00273ED1">
              <w:rPr>
                <w:rFonts w:ascii="Arial" w:hAnsi="Arial" w:cs="Arial"/>
                <w:sz w:val="15"/>
                <w:szCs w:val="15"/>
                <w:lang w:eastAsia="lt-LT"/>
              </w:rPr>
              <w:t>S</w:t>
            </w:r>
            <w:r w:rsidRPr="00273ED1">
              <w:rPr>
                <w:rFonts w:ascii="Arial" w:hAnsi="Arial" w:cs="Arial"/>
                <w:sz w:val="15"/>
                <w:szCs w:val="15"/>
                <w:lang w:eastAsia="lt-LT"/>
              </w:rPr>
              <w:t xml:space="preserve">trumenti </w:t>
            </w:r>
            <w:r w:rsidR="006E2238" w:rsidRPr="00273ED1">
              <w:rPr>
                <w:rFonts w:ascii="Arial" w:hAnsi="Arial" w:cs="Arial"/>
                <w:sz w:val="15"/>
                <w:szCs w:val="15"/>
                <w:lang w:eastAsia="lt-LT"/>
              </w:rPr>
              <w:t>Finanziari alla</w:t>
            </w:r>
            <w:r w:rsidRPr="00273ED1">
              <w:rPr>
                <w:rFonts w:ascii="Arial" w:hAnsi="Arial" w:cs="Arial"/>
                <w:sz w:val="15"/>
                <w:szCs w:val="15"/>
                <w:lang w:eastAsia="lt-LT"/>
              </w:rPr>
              <w:t xml:space="preserve"> data del Prospetto, la Società ha emesso in totale 54.271.722 azioni aventi valore nominale di EURO 0,20</w:t>
            </w:r>
            <w:r w:rsidR="008D4E89" w:rsidRPr="00273ED1">
              <w:rPr>
                <w:rFonts w:ascii="Arial" w:hAnsi="Arial" w:cs="Arial"/>
                <w:sz w:val="15"/>
                <w:szCs w:val="15"/>
                <w:lang w:eastAsia="lt-LT"/>
              </w:rPr>
              <w:t xml:space="preserve"> ciascuna. Al 31 luglio 2017,</w:t>
            </w:r>
            <w:r w:rsidRPr="00273ED1">
              <w:rPr>
                <w:rFonts w:ascii="Arial" w:hAnsi="Arial" w:cs="Arial"/>
                <w:sz w:val="15"/>
                <w:szCs w:val="15"/>
                <w:lang w:eastAsia="lt-LT"/>
              </w:rPr>
              <w:t xml:space="preserve"> l</w:t>
            </w:r>
            <w:r w:rsidR="00245502" w:rsidRPr="00273ED1">
              <w:rPr>
                <w:rFonts w:ascii="Arial" w:hAnsi="Arial" w:cs="Arial"/>
                <w:sz w:val="15"/>
                <w:szCs w:val="15"/>
                <w:lang w:eastAsia="lt-LT"/>
              </w:rPr>
              <w:t xml:space="preserve">e azioni </w:t>
            </w:r>
            <w:r w:rsidR="008D4E89" w:rsidRPr="00273ED1">
              <w:rPr>
                <w:rFonts w:ascii="Arial" w:hAnsi="Arial" w:cs="Arial"/>
                <w:sz w:val="15"/>
                <w:szCs w:val="15"/>
                <w:lang w:eastAsia="lt-LT"/>
              </w:rPr>
              <w:t>erano</w:t>
            </w:r>
            <w:r w:rsidR="00245502" w:rsidRPr="00273ED1">
              <w:rPr>
                <w:rFonts w:ascii="Arial" w:hAnsi="Arial" w:cs="Arial"/>
                <w:sz w:val="15"/>
                <w:szCs w:val="15"/>
                <w:lang w:eastAsia="lt-LT"/>
              </w:rPr>
              <w:t xml:space="preserve"> detenute tramite 82</w:t>
            </w:r>
            <w:r w:rsidRPr="00273ED1">
              <w:rPr>
                <w:rFonts w:ascii="Arial" w:hAnsi="Arial" w:cs="Arial"/>
                <w:sz w:val="15"/>
                <w:szCs w:val="15"/>
                <w:lang w:eastAsia="lt-LT"/>
              </w:rPr>
              <w:t xml:space="preserve"> conti titoli aperti presso il Registro </w:t>
            </w:r>
            <w:r w:rsidR="008D4E89" w:rsidRPr="00273ED1">
              <w:rPr>
                <w:rFonts w:ascii="Arial" w:hAnsi="Arial" w:cs="Arial"/>
                <w:sz w:val="15"/>
                <w:szCs w:val="15"/>
                <w:lang w:eastAsia="lt-LT"/>
              </w:rPr>
              <w:t>degli Strumenti Finanziari</w:t>
            </w:r>
            <w:r w:rsidR="00245502" w:rsidRPr="00273ED1">
              <w:rPr>
                <w:rFonts w:ascii="Arial" w:hAnsi="Arial" w:cs="Arial"/>
                <w:sz w:val="15"/>
                <w:szCs w:val="15"/>
                <w:lang w:eastAsia="lt-LT"/>
              </w:rPr>
              <w:t>, compresi 15</w:t>
            </w:r>
            <w:r w:rsidRPr="00273ED1">
              <w:rPr>
                <w:rFonts w:ascii="Arial" w:hAnsi="Arial" w:cs="Arial"/>
                <w:sz w:val="15"/>
                <w:szCs w:val="15"/>
                <w:lang w:eastAsia="lt-LT"/>
              </w:rPr>
              <w:t xml:space="preserve"> conti fiduciari. La seguente tabella fornisce informazioni sugli azionisti della Società che detengono più del 5% del capital</w:t>
            </w:r>
            <w:r w:rsidR="00245502" w:rsidRPr="00273ED1">
              <w:rPr>
                <w:rFonts w:ascii="Arial" w:hAnsi="Arial" w:cs="Arial"/>
                <w:sz w:val="15"/>
                <w:szCs w:val="15"/>
                <w:lang w:eastAsia="lt-LT"/>
              </w:rPr>
              <w:t>e autorizzato nella Società al 31 luglio</w:t>
            </w:r>
            <w:r w:rsidRPr="00273ED1">
              <w:rPr>
                <w:rFonts w:ascii="Arial" w:hAnsi="Arial" w:cs="Arial"/>
                <w:sz w:val="15"/>
                <w:szCs w:val="15"/>
                <w:lang w:eastAsia="lt-LT"/>
              </w:rPr>
              <w:t xml:space="preserve"> 2017:</w:t>
            </w:r>
          </w:p>
          <w:tbl>
            <w:tblPr>
              <w:tblStyle w:val="TableGrid"/>
              <w:tblW w:w="7259" w:type="dxa"/>
              <w:tblBorders>
                <w:top w:val="single" w:sz="4" w:space="0" w:color="BFBFBF"/>
                <w:left w:val="single" w:sz="4" w:space="0" w:color="BFBFBF"/>
              </w:tblBorders>
              <w:tblCellMar>
                <w:left w:w="78" w:type="dxa"/>
              </w:tblCellMar>
              <w:tblLook w:val="04A0" w:firstRow="1" w:lastRow="0" w:firstColumn="1" w:lastColumn="0" w:noHBand="0" w:noVBand="1"/>
            </w:tblPr>
            <w:tblGrid>
              <w:gridCol w:w="2417"/>
              <w:gridCol w:w="2418"/>
              <w:gridCol w:w="2424"/>
            </w:tblGrid>
            <w:tr w:rsidR="004976E9" w:rsidRPr="00273ED1" w14:paraId="053EBC6C" w14:textId="77777777" w:rsidTr="00E31E69">
              <w:trPr>
                <w:trHeight w:val="170"/>
              </w:trPr>
              <w:tc>
                <w:tcPr>
                  <w:tcW w:w="2414" w:type="dxa"/>
                  <w:tcBorders>
                    <w:top w:val="single" w:sz="4" w:space="0" w:color="BFBFBF"/>
                    <w:left w:val="single" w:sz="4" w:space="0" w:color="BFBFBF"/>
                  </w:tcBorders>
                  <w:shd w:val="clear" w:color="auto" w:fill="C8501E"/>
                  <w:tcMar>
                    <w:left w:w="78" w:type="dxa"/>
                  </w:tcMar>
                  <w:vAlign w:val="bottom"/>
                </w:tcPr>
                <w:p w14:paraId="77FFBFAD" w14:textId="77777777" w:rsidR="004976E9" w:rsidRPr="00273ED1" w:rsidRDefault="004976E9" w:rsidP="00E31E69">
                  <w:pPr>
                    <w:pStyle w:val="Paragraph"/>
                    <w:spacing w:before="0" w:after="0"/>
                    <w:ind w:left="28"/>
                    <w:rPr>
                      <w:sz w:val="15"/>
                      <w:szCs w:val="15"/>
                    </w:rPr>
                  </w:pPr>
                  <w:r w:rsidRPr="00273ED1">
                    <w:rPr>
                      <w:rFonts w:ascii="Calibri Light" w:hAnsi="Calibri Light" w:cs="Arial"/>
                      <w:color w:val="FFFFFF" w:themeColor="background1"/>
                      <w:sz w:val="15"/>
                      <w:szCs w:val="15"/>
                    </w:rPr>
                    <w:t>Azionista</w:t>
                  </w:r>
                </w:p>
              </w:tc>
              <w:tc>
                <w:tcPr>
                  <w:tcW w:w="2419" w:type="dxa"/>
                  <w:tcBorders>
                    <w:top w:val="single" w:sz="4" w:space="0" w:color="BFBFBF"/>
                    <w:left w:val="single" w:sz="4" w:space="0" w:color="BFBFBF"/>
                    <w:right w:val="nil"/>
                  </w:tcBorders>
                  <w:shd w:val="clear" w:color="auto" w:fill="C8501E"/>
                  <w:tcMar>
                    <w:left w:w="78" w:type="dxa"/>
                  </w:tcMar>
                  <w:vAlign w:val="bottom"/>
                </w:tcPr>
                <w:p w14:paraId="2969359A" w14:textId="77777777" w:rsidR="004976E9" w:rsidRPr="00273ED1" w:rsidRDefault="004976E9" w:rsidP="00E31E69">
                  <w:pPr>
                    <w:pStyle w:val="Paragraph"/>
                    <w:spacing w:before="0" w:after="0"/>
                    <w:ind w:left="28"/>
                    <w:jc w:val="right"/>
                    <w:rPr>
                      <w:sz w:val="15"/>
                      <w:szCs w:val="15"/>
                    </w:rPr>
                  </w:pPr>
                  <w:r w:rsidRPr="00273ED1">
                    <w:rPr>
                      <w:rFonts w:ascii="Calibri Light" w:hAnsi="Calibri Light" w:cs="Arial"/>
                      <w:color w:val="FFFFFF" w:themeColor="background1"/>
                      <w:sz w:val="15"/>
                      <w:szCs w:val="15"/>
                    </w:rPr>
                    <w:t>Numero di azioni</w:t>
                  </w:r>
                </w:p>
              </w:tc>
              <w:tc>
                <w:tcPr>
                  <w:tcW w:w="2426" w:type="dxa"/>
                  <w:tcBorders>
                    <w:top w:val="single" w:sz="4" w:space="0" w:color="BFBFBF"/>
                    <w:left w:val="single" w:sz="4" w:space="0" w:color="BFBFBF"/>
                    <w:right w:val="single" w:sz="4" w:space="0" w:color="BFBFBF"/>
                  </w:tcBorders>
                  <w:shd w:val="clear" w:color="auto" w:fill="C8501E"/>
                  <w:tcMar>
                    <w:left w:w="78" w:type="dxa"/>
                  </w:tcMar>
                  <w:vAlign w:val="bottom"/>
                </w:tcPr>
                <w:p w14:paraId="443A2232" w14:textId="77777777" w:rsidR="004976E9" w:rsidRPr="00273ED1" w:rsidRDefault="004976E9" w:rsidP="00E31E69">
                  <w:pPr>
                    <w:pStyle w:val="Paragraph"/>
                    <w:spacing w:before="0" w:after="0"/>
                    <w:ind w:left="28"/>
                    <w:jc w:val="right"/>
                    <w:rPr>
                      <w:sz w:val="15"/>
                      <w:szCs w:val="15"/>
                    </w:rPr>
                  </w:pPr>
                  <w:r w:rsidRPr="00273ED1">
                    <w:rPr>
                      <w:rFonts w:ascii="Calibri Light" w:hAnsi="Calibri Light" w:cs="Arial"/>
                      <w:color w:val="FFFFFF" w:themeColor="background1"/>
                      <w:sz w:val="15"/>
                      <w:szCs w:val="15"/>
                    </w:rPr>
                    <w:t>Partecipazione</w:t>
                  </w:r>
                </w:p>
              </w:tc>
            </w:tr>
            <w:tr w:rsidR="004976E9" w:rsidRPr="00273ED1" w14:paraId="1416F8E2" w14:textId="77777777" w:rsidTr="00E31E69">
              <w:trPr>
                <w:trHeight w:val="170"/>
              </w:trPr>
              <w:tc>
                <w:tcPr>
                  <w:tcW w:w="2419" w:type="dxa"/>
                  <w:tcBorders>
                    <w:left w:val="single" w:sz="4" w:space="0" w:color="BFBFBF"/>
                  </w:tcBorders>
                  <w:shd w:val="clear" w:color="auto" w:fill="FFFFFF"/>
                  <w:tcMar>
                    <w:left w:w="78" w:type="dxa"/>
                  </w:tcMar>
                </w:tcPr>
                <w:p w14:paraId="52CF300F" w14:textId="77777777" w:rsidR="004976E9" w:rsidRPr="00273ED1" w:rsidRDefault="004976E9" w:rsidP="00E31E69">
                  <w:pPr>
                    <w:pStyle w:val="Paragraph"/>
                    <w:spacing w:before="0" w:after="0"/>
                    <w:ind w:left="28"/>
                    <w:rPr>
                      <w:sz w:val="15"/>
                      <w:szCs w:val="15"/>
                    </w:rPr>
                  </w:pPr>
                  <w:r w:rsidRPr="00273ED1">
                    <w:rPr>
                      <w:rFonts w:ascii="Calibri Light" w:hAnsi="Calibri Light" w:cs="Arial"/>
                      <w:sz w:val="15"/>
                      <w:szCs w:val="15"/>
                    </w:rPr>
                    <w:t xml:space="preserve">Nordea Bank Ab filiale finlandese-clienti </w:t>
                  </w:r>
                  <w:r w:rsidRPr="00273ED1">
                    <w:rPr>
                      <w:rFonts w:ascii="Calibri Light" w:hAnsi="Calibri Light" w:cs="Arial"/>
                      <w:i/>
                      <w:iCs/>
                      <w:sz w:val="15"/>
                      <w:szCs w:val="15"/>
                    </w:rPr>
                    <w:t>Non-Treaty</w:t>
                  </w:r>
                </w:p>
              </w:tc>
              <w:tc>
                <w:tcPr>
                  <w:tcW w:w="2420" w:type="dxa"/>
                  <w:shd w:val="clear" w:color="auto" w:fill="FFFFFF"/>
                  <w:tcMar>
                    <w:left w:w="78" w:type="dxa"/>
                  </w:tcMar>
                </w:tcPr>
                <w:p w14:paraId="71738B75" w14:textId="77777777" w:rsidR="004976E9" w:rsidRPr="00273ED1" w:rsidRDefault="00A368C1" w:rsidP="00A368C1">
                  <w:pPr>
                    <w:pStyle w:val="Paragraph"/>
                    <w:spacing w:before="0" w:after="0"/>
                    <w:jc w:val="right"/>
                    <w:rPr>
                      <w:sz w:val="15"/>
                      <w:szCs w:val="15"/>
                    </w:rPr>
                  </w:pPr>
                  <w:r w:rsidRPr="00273ED1">
                    <w:rPr>
                      <w:sz w:val="15"/>
                      <w:szCs w:val="15"/>
                    </w:rPr>
                    <w:t>25.135.425</w:t>
                  </w:r>
                </w:p>
              </w:tc>
              <w:tc>
                <w:tcPr>
                  <w:tcW w:w="2420" w:type="dxa"/>
                  <w:shd w:val="clear" w:color="auto" w:fill="FFFFFF"/>
                  <w:tcMar>
                    <w:left w:w="78" w:type="dxa"/>
                  </w:tcMar>
                </w:tcPr>
                <w:p w14:paraId="78BA09CD" w14:textId="77777777" w:rsidR="004976E9" w:rsidRPr="00273ED1" w:rsidRDefault="00A368C1" w:rsidP="00A368C1">
                  <w:pPr>
                    <w:pStyle w:val="Paragraph"/>
                    <w:spacing w:before="0" w:after="0"/>
                    <w:jc w:val="right"/>
                    <w:rPr>
                      <w:sz w:val="15"/>
                      <w:szCs w:val="15"/>
                    </w:rPr>
                  </w:pPr>
                  <w:r w:rsidRPr="00273ED1">
                    <w:rPr>
                      <w:sz w:val="15"/>
                      <w:szCs w:val="15"/>
                    </w:rPr>
                    <w:t>46,31%</w:t>
                  </w:r>
                </w:p>
              </w:tc>
            </w:tr>
            <w:tr w:rsidR="004976E9" w:rsidRPr="00273ED1" w14:paraId="66607C85" w14:textId="77777777" w:rsidTr="00E31E69">
              <w:trPr>
                <w:trHeight w:val="170"/>
              </w:trPr>
              <w:tc>
                <w:tcPr>
                  <w:tcW w:w="2419" w:type="dxa"/>
                  <w:tcBorders>
                    <w:top w:val="single" w:sz="2" w:space="0" w:color="000001"/>
                    <w:left w:val="single" w:sz="2" w:space="0" w:color="000001"/>
                    <w:bottom w:val="single" w:sz="2" w:space="0" w:color="000001"/>
                    <w:right w:val="nil"/>
                  </w:tcBorders>
                  <w:shd w:val="clear" w:color="auto" w:fill="auto"/>
                  <w:tcMar>
                    <w:left w:w="90" w:type="dxa"/>
                  </w:tcMar>
                </w:tcPr>
                <w:p w14:paraId="5056AFDF" w14:textId="77777777" w:rsidR="004976E9" w:rsidRPr="00273ED1" w:rsidRDefault="004976E9" w:rsidP="00E31E69">
                  <w:pPr>
                    <w:pStyle w:val="Paragraph"/>
                    <w:spacing w:before="0" w:after="0"/>
                    <w:ind w:left="28"/>
                    <w:rPr>
                      <w:rFonts w:cs="Arial"/>
                      <w:sz w:val="15"/>
                      <w:szCs w:val="15"/>
                      <w:lang w:val="en-US"/>
                    </w:rPr>
                  </w:pPr>
                  <w:r w:rsidRPr="00273ED1">
                    <w:rPr>
                      <w:rFonts w:ascii="Calibri Light" w:hAnsi="Calibri Light" w:cs="Arial"/>
                      <w:sz w:val="15"/>
                      <w:szCs w:val="15"/>
                    </w:rPr>
                    <w:t>Eurofiduciaria S.R.L.</w:t>
                  </w:r>
                </w:p>
              </w:tc>
              <w:tc>
                <w:tcPr>
                  <w:tcW w:w="2420" w:type="dxa"/>
                  <w:tcBorders>
                    <w:top w:val="single" w:sz="2" w:space="0" w:color="000001"/>
                    <w:left w:val="single" w:sz="2" w:space="0" w:color="000001"/>
                    <w:bottom w:val="single" w:sz="2" w:space="0" w:color="000001"/>
                    <w:right w:val="nil"/>
                  </w:tcBorders>
                  <w:shd w:val="clear" w:color="auto" w:fill="auto"/>
                  <w:tcMar>
                    <w:left w:w="90" w:type="dxa"/>
                  </w:tcMar>
                </w:tcPr>
                <w:p w14:paraId="28A5D993" w14:textId="77777777" w:rsidR="004976E9" w:rsidRPr="00273ED1" w:rsidRDefault="00A368C1" w:rsidP="004C0673">
                  <w:pPr>
                    <w:pStyle w:val="Paragraph"/>
                    <w:spacing w:before="0" w:after="0"/>
                    <w:jc w:val="right"/>
                    <w:rPr>
                      <w:rFonts w:cs="Arial"/>
                      <w:sz w:val="15"/>
                      <w:szCs w:val="15"/>
                    </w:rPr>
                  </w:pPr>
                  <w:r w:rsidRPr="00273ED1">
                    <w:rPr>
                      <w:rFonts w:cs="Arial"/>
                      <w:sz w:val="15"/>
                      <w:szCs w:val="15"/>
                    </w:rPr>
                    <w:t>6.</w:t>
                  </w:r>
                  <w:r w:rsidR="004C0673" w:rsidRPr="00273ED1">
                    <w:rPr>
                      <w:rFonts w:cs="Arial"/>
                      <w:sz w:val="15"/>
                      <w:szCs w:val="15"/>
                    </w:rPr>
                    <w:t>770.370</w:t>
                  </w:r>
                </w:p>
              </w:tc>
              <w:tc>
                <w:tcPr>
                  <w:tcW w:w="2420" w:type="dxa"/>
                  <w:tcBorders>
                    <w:top w:val="single" w:sz="2" w:space="0" w:color="000001"/>
                    <w:left w:val="single" w:sz="2" w:space="0" w:color="000001"/>
                    <w:bottom w:val="single" w:sz="2" w:space="0" w:color="000001"/>
                    <w:right w:val="single" w:sz="2" w:space="0" w:color="000001"/>
                  </w:tcBorders>
                  <w:shd w:val="clear" w:color="auto" w:fill="auto"/>
                  <w:tcMar>
                    <w:left w:w="90" w:type="dxa"/>
                  </w:tcMar>
                </w:tcPr>
                <w:p w14:paraId="7D98B4E4" w14:textId="77777777" w:rsidR="004976E9" w:rsidRPr="00273ED1" w:rsidRDefault="00245502" w:rsidP="00A368C1">
                  <w:pPr>
                    <w:pStyle w:val="Paragraph"/>
                    <w:spacing w:before="0" w:after="0"/>
                    <w:jc w:val="right"/>
                    <w:rPr>
                      <w:rFonts w:cs="Arial"/>
                      <w:sz w:val="15"/>
                      <w:szCs w:val="15"/>
                    </w:rPr>
                  </w:pPr>
                  <w:r w:rsidRPr="00273ED1">
                    <w:rPr>
                      <w:rFonts w:cs="Arial"/>
                      <w:sz w:val="15"/>
                      <w:szCs w:val="15"/>
                    </w:rPr>
                    <w:t>12,47</w:t>
                  </w:r>
                  <w:r w:rsidR="004976E9" w:rsidRPr="00273ED1">
                    <w:rPr>
                      <w:rFonts w:cs="Arial"/>
                      <w:sz w:val="15"/>
                      <w:szCs w:val="15"/>
                    </w:rPr>
                    <w:t>%</w:t>
                  </w:r>
                </w:p>
              </w:tc>
            </w:tr>
            <w:tr w:rsidR="004976E9" w:rsidRPr="00273ED1" w14:paraId="4E858029" w14:textId="77777777" w:rsidTr="00E31E69">
              <w:trPr>
                <w:trHeight w:val="170"/>
              </w:trPr>
              <w:tc>
                <w:tcPr>
                  <w:tcW w:w="2419" w:type="dxa"/>
                  <w:tcBorders>
                    <w:top w:val="nil"/>
                    <w:left w:val="single" w:sz="2" w:space="0" w:color="000001"/>
                    <w:bottom w:val="single" w:sz="2" w:space="0" w:color="000001"/>
                    <w:right w:val="nil"/>
                  </w:tcBorders>
                  <w:shd w:val="clear" w:color="auto" w:fill="auto"/>
                  <w:tcMar>
                    <w:left w:w="90" w:type="dxa"/>
                  </w:tcMar>
                </w:tcPr>
                <w:p w14:paraId="1E95F786" w14:textId="77777777" w:rsidR="004976E9" w:rsidRPr="00273ED1" w:rsidRDefault="004976E9" w:rsidP="00E31E69">
                  <w:pPr>
                    <w:pStyle w:val="Paragraph"/>
                    <w:spacing w:before="0" w:after="0"/>
                    <w:ind w:left="28"/>
                    <w:rPr>
                      <w:rFonts w:cs="Arial"/>
                      <w:sz w:val="15"/>
                      <w:szCs w:val="15"/>
                      <w:lang w:val="en-US"/>
                    </w:rPr>
                  </w:pPr>
                  <w:r w:rsidRPr="00273ED1">
                    <w:rPr>
                      <w:rFonts w:ascii="Calibri Light" w:hAnsi="Calibri Light" w:cs="Arial"/>
                      <w:sz w:val="15"/>
                      <w:szCs w:val="15"/>
                    </w:rPr>
                    <w:t>OÜ Svalbork Invest</w:t>
                  </w:r>
                </w:p>
              </w:tc>
              <w:tc>
                <w:tcPr>
                  <w:tcW w:w="2420" w:type="dxa"/>
                  <w:tcBorders>
                    <w:top w:val="nil"/>
                    <w:left w:val="single" w:sz="2" w:space="0" w:color="000001"/>
                    <w:bottom w:val="single" w:sz="2" w:space="0" w:color="000001"/>
                    <w:right w:val="nil"/>
                  </w:tcBorders>
                  <w:shd w:val="clear" w:color="auto" w:fill="auto"/>
                  <w:tcMar>
                    <w:left w:w="90" w:type="dxa"/>
                  </w:tcMar>
                </w:tcPr>
                <w:p w14:paraId="7A459728" w14:textId="77777777" w:rsidR="004976E9" w:rsidRPr="00273ED1" w:rsidRDefault="0067712A" w:rsidP="00A368C1">
                  <w:pPr>
                    <w:pStyle w:val="Paragraph"/>
                    <w:spacing w:before="0" w:after="0"/>
                    <w:jc w:val="right"/>
                    <w:rPr>
                      <w:rFonts w:asciiTheme="majorHAnsi" w:hAnsiTheme="majorHAnsi" w:cstheme="majorHAnsi"/>
                      <w:sz w:val="15"/>
                      <w:szCs w:val="15"/>
                    </w:rPr>
                  </w:pPr>
                  <w:r w:rsidRPr="00273ED1">
                    <w:rPr>
                      <w:rFonts w:cs="Arial"/>
                      <w:sz w:val="15"/>
                      <w:szCs w:val="15"/>
                    </w:rPr>
                    <w:t>5.994.</w:t>
                  </w:r>
                  <w:r w:rsidR="004976E9" w:rsidRPr="00273ED1">
                    <w:rPr>
                      <w:rFonts w:cs="Arial"/>
                      <w:sz w:val="15"/>
                      <w:szCs w:val="15"/>
                    </w:rPr>
                    <w:t>539</w:t>
                  </w:r>
                </w:p>
              </w:tc>
              <w:tc>
                <w:tcPr>
                  <w:tcW w:w="2420" w:type="dxa"/>
                  <w:tcBorders>
                    <w:top w:val="nil"/>
                    <w:left w:val="single" w:sz="2" w:space="0" w:color="000001"/>
                    <w:bottom w:val="single" w:sz="2" w:space="0" w:color="000001"/>
                    <w:right w:val="single" w:sz="2" w:space="0" w:color="000001"/>
                  </w:tcBorders>
                  <w:shd w:val="clear" w:color="auto" w:fill="auto"/>
                  <w:tcMar>
                    <w:left w:w="90" w:type="dxa"/>
                  </w:tcMar>
                </w:tcPr>
                <w:p w14:paraId="5AC4E4AC" w14:textId="77777777" w:rsidR="004976E9" w:rsidRPr="00273ED1" w:rsidRDefault="004976E9" w:rsidP="00A368C1">
                  <w:pPr>
                    <w:pStyle w:val="Paragraph"/>
                    <w:spacing w:before="0" w:after="0"/>
                    <w:jc w:val="right"/>
                    <w:rPr>
                      <w:rFonts w:cs="Arial"/>
                      <w:sz w:val="15"/>
                      <w:szCs w:val="15"/>
                    </w:rPr>
                  </w:pPr>
                  <w:r w:rsidRPr="00273ED1">
                    <w:rPr>
                      <w:rFonts w:cs="Arial"/>
                      <w:sz w:val="15"/>
                      <w:szCs w:val="15"/>
                    </w:rPr>
                    <w:t>11,05%</w:t>
                  </w:r>
                </w:p>
              </w:tc>
            </w:tr>
            <w:tr w:rsidR="004976E9" w:rsidRPr="00273ED1" w14:paraId="003D77B6" w14:textId="77777777" w:rsidTr="00E31E69">
              <w:trPr>
                <w:trHeight w:val="170"/>
              </w:trPr>
              <w:tc>
                <w:tcPr>
                  <w:tcW w:w="2419" w:type="dxa"/>
                  <w:tcBorders>
                    <w:top w:val="nil"/>
                    <w:left w:val="single" w:sz="2" w:space="0" w:color="000001"/>
                    <w:bottom w:val="single" w:sz="2" w:space="0" w:color="000001"/>
                    <w:right w:val="nil"/>
                  </w:tcBorders>
                  <w:shd w:val="clear" w:color="auto" w:fill="auto"/>
                  <w:tcMar>
                    <w:left w:w="90" w:type="dxa"/>
                  </w:tcMar>
                </w:tcPr>
                <w:p w14:paraId="72929163" w14:textId="77777777" w:rsidR="004976E9" w:rsidRPr="00273ED1" w:rsidRDefault="004976E9" w:rsidP="00E31E69">
                  <w:pPr>
                    <w:pStyle w:val="Paragraph"/>
                    <w:spacing w:before="0" w:after="0"/>
                    <w:ind w:left="28"/>
                    <w:rPr>
                      <w:rFonts w:cs="Arial"/>
                      <w:sz w:val="15"/>
                      <w:szCs w:val="15"/>
                      <w:lang w:val="en-US"/>
                    </w:rPr>
                  </w:pPr>
                  <w:r w:rsidRPr="00273ED1">
                    <w:rPr>
                      <w:rFonts w:ascii="Calibri Light" w:hAnsi="Calibri Light" w:cs="Arial"/>
                      <w:sz w:val="15"/>
                      <w:szCs w:val="15"/>
                      <w:lang w:val="en-US"/>
                    </w:rPr>
                    <w:t>Clearstream Banking Luxembourg S.A. Clients</w:t>
                  </w:r>
                </w:p>
              </w:tc>
              <w:tc>
                <w:tcPr>
                  <w:tcW w:w="2420" w:type="dxa"/>
                  <w:tcBorders>
                    <w:top w:val="nil"/>
                    <w:left w:val="single" w:sz="2" w:space="0" w:color="000001"/>
                    <w:bottom w:val="single" w:sz="2" w:space="0" w:color="000001"/>
                    <w:right w:val="nil"/>
                  </w:tcBorders>
                  <w:shd w:val="clear" w:color="auto" w:fill="auto"/>
                  <w:tcMar>
                    <w:left w:w="90" w:type="dxa"/>
                  </w:tcMar>
                </w:tcPr>
                <w:p w14:paraId="7BE083C3" w14:textId="77777777" w:rsidR="004976E9" w:rsidRPr="00273ED1" w:rsidRDefault="0067712A" w:rsidP="00A368C1">
                  <w:pPr>
                    <w:pStyle w:val="Paragraph"/>
                    <w:spacing w:before="0" w:after="0"/>
                    <w:jc w:val="right"/>
                    <w:rPr>
                      <w:sz w:val="15"/>
                      <w:szCs w:val="15"/>
                    </w:rPr>
                  </w:pPr>
                  <w:r w:rsidRPr="00273ED1">
                    <w:rPr>
                      <w:rFonts w:cs="Arial"/>
                      <w:sz w:val="15"/>
                      <w:szCs w:val="15"/>
                    </w:rPr>
                    <w:t>4.883.</w:t>
                  </w:r>
                  <w:r w:rsidR="00245502" w:rsidRPr="00273ED1">
                    <w:rPr>
                      <w:rFonts w:cs="Arial"/>
                      <w:sz w:val="15"/>
                      <w:szCs w:val="15"/>
                    </w:rPr>
                    <w:t>075</w:t>
                  </w:r>
                </w:p>
              </w:tc>
              <w:tc>
                <w:tcPr>
                  <w:tcW w:w="2420" w:type="dxa"/>
                  <w:tcBorders>
                    <w:top w:val="nil"/>
                    <w:left w:val="single" w:sz="2" w:space="0" w:color="000001"/>
                    <w:bottom w:val="single" w:sz="2" w:space="0" w:color="000001"/>
                    <w:right w:val="single" w:sz="2" w:space="0" w:color="000001"/>
                  </w:tcBorders>
                  <w:shd w:val="clear" w:color="auto" w:fill="auto"/>
                  <w:tcMar>
                    <w:left w:w="90" w:type="dxa"/>
                  </w:tcMar>
                </w:tcPr>
                <w:p w14:paraId="6F2BD955" w14:textId="77777777" w:rsidR="004976E9" w:rsidRPr="00273ED1" w:rsidRDefault="00245502" w:rsidP="00A368C1">
                  <w:pPr>
                    <w:pStyle w:val="Paragraph"/>
                    <w:spacing w:before="0" w:after="0"/>
                    <w:jc w:val="right"/>
                    <w:rPr>
                      <w:rFonts w:cs="Arial"/>
                      <w:sz w:val="15"/>
                      <w:szCs w:val="15"/>
                    </w:rPr>
                  </w:pPr>
                  <w:r w:rsidRPr="00273ED1">
                    <w:rPr>
                      <w:rFonts w:cs="Arial"/>
                      <w:sz w:val="15"/>
                      <w:szCs w:val="15"/>
                    </w:rPr>
                    <w:t>9,00</w:t>
                  </w:r>
                  <w:r w:rsidR="004976E9" w:rsidRPr="00273ED1">
                    <w:rPr>
                      <w:rFonts w:cs="Arial"/>
                      <w:sz w:val="15"/>
                      <w:szCs w:val="15"/>
                    </w:rPr>
                    <w:t xml:space="preserve">% </w:t>
                  </w:r>
                </w:p>
              </w:tc>
            </w:tr>
            <w:tr w:rsidR="004976E9" w:rsidRPr="00273ED1" w14:paraId="40E206B9" w14:textId="77777777" w:rsidTr="00E31E69">
              <w:trPr>
                <w:trHeight w:val="170"/>
              </w:trPr>
              <w:tc>
                <w:tcPr>
                  <w:tcW w:w="7259" w:type="dxa"/>
                  <w:gridSpan w:val="3"/>
                  <w:tcBorders>
                    <w:top w:val="single" w:sz="2" w:space="0" w:color="000001"/>
                    <w:left w:val="single" w:sz="2" w:space="0" w:color="000001"/>
                    <w:bottom w:val="single" w:sz="2" w:space="0" w:color="000001"/>
                    <w:right w:val="single" w:sz="2" w:space="0" w:color="000001"/>
                  </w:tcBorders>
                  <w:shd w:val="clear" w:color="auto" w:fill="auto"/>
                  <w:tcMar>
                    <w:left w:w="90" w:type="dxa"/>
                  </w:tcMar>
                </w:tcPr>
                <w:p w14:paraId="51262EE6" w14:textId="409D575D" w:rsidR="004976E9" w:rsidRPr="00273ED1" w:rsidRDefault="004976E9" w:rsidP="00E31E69">
                  <w:pPr>
                    <w:pStyle w:val="Paragraph"/>
                    <w:spacing w:before="0" w:after="0"/>
                    <w:rPr>
                      <w:sz w:val="15"/>
                      <w:szCs w:val="15"/>
                    </w:rPr>
                  </w:pPr>
                  <w:r w:rsidRPr="00273ED1">
                    <w:rPr>
                      <w:rFonts w:ascii="Calibri Light" w:hAnsi="Calibri Light" w:cs="Arial"/>
                      <w:i/>
                      <w:iCs/>
                      <w:color w:val="000000" w:themeColor="text1"/>
                      <w:sz w:val="15"/>
                      <w:szCs w:val="15"/>
                      <w:lang w:eastAsia="lt-LT"/>
                    </w:rPr>
                    <w:t xml:space="preserve">Fonte: </w:t>
                  </w:r>
                  <w:r w:rsidR="006E2238" w:rsidRPr="00273ED1">
                    <w:rPr>
                      <w:rFonts w:ascii="Calibri Light" w:hAnsi="Calibri Light" w:cs="Arial"/>
                      <w:i/>
                      <w:iCs/>
                      <w:color w:val="000000" w:themeColor="text1"/>
                      <w:sz w:val="15"/>
                      <w:szCs w:val="15"/>
                      <w:lang w:eastAsia="lt-LT"/>
                    </w:rPr>
                    <w:t>Registro degli</w:t>
                  </w:r>
                  <w:r w:rsidRPr="00273ED1">
                    <w:rPr>
                      <w:rFonts w:ascii="Calibri Light" w:hAnsi="Calibri Light" w:cs="Arial"/>
                      <w:i/>
                      <w:iCs/>
                      <w:color w:val="000000" w:themeColor="text1"/>
                      <w:sz w:val="15"/>
                      <w:szCs w:val="15"/>
                      <w:lang w:eastAsia="lt-LT"/>
                    </w:rPr>
                    <w:t xml:space="preserve"> </w:t>
                  </w:r>
                  <w:r w:rsidR="00645C62" w:rsidRPr="00273ED1">
                    <w:rPr>
                      <w:rFonts w:ascii="Calibri Light" w:hAnsi="Calibri Light" w:cs="Arial"/>
                      <w:i/>
                      <w:iCs/>
                      <w:color w:val="000000" w:themeColor="text1"/>
                      <w:sz w:val="15"/>
                      <w:szCs w:val="15"/>
                      <w:lang w:eastAsia="lt-LT"/>
                    </w:rPr>
                    <w:t>S</w:t>
                  </w:r>
                  <w:r w:rsidRPr="00273ED1">
                    <w:rPr>
                      <w:rFonts w:ascii="Calibri Light" w:hAnsi="Calibri Light" w:cs="Arial"/>
                      <w:i/>
                      <w:iCs/>
                      <w:color w:val="000000" w:themeColor="text1"/>
                      <w:sz w:val="15"/>
                      <w:szCs w:val="15"/>
                      <w:lang w:eastAsia="lt-LT"/>
                    </w:rPr>
                    <w:t xml:space="preserve">trumenti </w:t>
                  </w:r>
                  <w:r w:rsidR="00645C62" w:rsidRPr="00273ED1">
                    <w:rPr>
                      <w:rFonts w:ascii="Calibri Light" w:hAnsi="Calibri Light" w:cs="Arial"/>
                      <w:i/>
                      <w:iCs/>
                      <w:color w:val="000000" w:themeColor="text1"/>
                      <w:sz w:val="15"/>
                      <w:szCs w:val="15"/>
                      <w:lang w:eastAsia="lt-LT"/>
                    </w:rPr>
                    <w:t>F</w:t>
                  </w:r>
                  <w:r w:rsidRPr="00273ED1">
                    <w:rPr>
                      <w:rFonts w:ascii="Calibri Light" w:hAnsi="Calibri Light" w:cs="Arial"/>
                      <w:i/>
                      <w:iCs/>
                      <w:color w:val="000000" w:themeColor="text1"/>
                      <w:sz w:val="15"/>
                      <w:szCs w:val="15"/>
                      <w:lang w:eastAsia="lt-LT"/>
                    </w:rPr>
                    <w:t xml:space="preserve">inanziari  </w:t>
                  </w:r>
                </w:p>
              </w:tc>
            </w:tr>
          </w:tbl>
          <w:p w14:paraId="3A28AEEA" w14:textId="3C059391" w:rsidR="004976E9" w:rsidRPr="00273ED1" w:rsidRDefault="004976E9" w:rsidP="00E31E69">
            <w:pPr>
              <w:ind w:left="28"/>
              <w:jc w:val="both"/>
              <w:rPr>
                <w:rFonts w:ascii="Arial" w:hAnsi="Arial" w:cs="Arial"/>
                <w:sz w:val="15"/>
                <w:szCs w:val="15"/>
                <w:lang w:eastAsia="lt-LT"/>
              </w:rPr>
            </w:pPr>
            <w:r w:rsidRPr="00273ED1">
              <w:rPr>
                <w:rFonts w:ascii="Arial" w:hAnsi="Arial" w:cs="Arial"/>
                <w:sz w:val="15"/>
                <w:szCs w:val="15"/>
                <w:lang w:eastAsia="lt-LT"/>
              </w:rPr>
              <w:t>Per quanto a conoscenza del</w:t>
            </w:r>
            <w:r w:rsidR="009B74E5" w:rsidRPr="00273ED1">
              <w:rPr>
                <w:rFonts w:ascii="Arial" w:hAnsi="Arial" w:cs="Arial"/>
                <w:sz w:val="15"/>
                <w:szCs w:val="15"/>
                <w:lang w:eastAsia="lt-LT"/>
              </w:rPr>
              <w:t>l’organo amministrativo della Società</w:t>
            </w:r>
            <w:r w:rsidR="00093EFE" w:rsidRPr="00273ED1">
              <w:rPr>
                <w:rFonts w:ascii="Arial" w:hAnsi="Arial" w:cs="Arial"/>
                <w:sz w:val="15"/>
                <w:szCs w:val="15"/>
                <w:lang w:eastAsia="lt-LT"/>
              </w:rPr>
              <w:t xml:space="preserve"> (l</w:t>
            </w:r>
            <w:r w:rsidR="009B74E5" w:rsidRPr="00273ED1">
              <w:rPr>
                <w:rFonts w:ascii="Arial" w:hAnsi="Arial" w:cs="Arial"/>
                <w:sz w:val="15"/>
                <w:szCs w:val="15"/>
                <w:lang w:eastAsia="lt-LT"/>
              </w:rPr>
              <w:t>’</w:t>
            </w:r>
            <w:r w:rsidR="00093EFE" w:rsidRPr="00273ED1">
              <w:rPr>
                <w:rFonts w:ascii="Arial" w:hAnsi="Arial" w:cs="Arial"/>
                <w:sz w:val="15"/>
                <w:szCs w:val="15"/>
                <w:lang w:eastAsia="lt-LT"/>
              </w:rPr>
              <w:t>“</w:t>
            </w:r>
            <w:r w:rsidR="009B74E5" w:rsidRPr="00273ED1">
              <w:rPr>
                <w:rFonts w:ascii="Arial" w:hAnsi="Arial" w:cs="Arial"/>
                <w:b/>
                <w:sz w:val="15"/>
                <w:szCs w:val="15"/>
                <w:lang w:eastAsia="lt-LT"/>
              </w:rPr>
              <w:t>Organo Amministrativo</w:t>
            </w:r>
            <w:r w:rsidR="00093EFE" w:rsidRPr="00273ED1">
              <w:rPr>
                <w:rFonts w:ascii="Arial" w:hAnsi="Arial" w:cs="Arial"/>
                <w:sz w:val="15"/>
                <w:szCs w:val="15"/>
                <w:lang w:eastAsia="lt-LT"/>
              </w:rPr>
              <w:t>”)</w:t>
            </w:r>
            <w:r w:rsidRPr="00273ED1">
              <w:rPr>
                <w:rFonts w:ascii="Arial" w:hAnsi="Arial" w:cs="Arial"/>
                <w:sz w:val="15"/>
                <w:szCs w:val="15"/>
                <w:lang w:eastAsia="lt-LT"/>
              </w:rPr>
              <w:t>, nessuno degli azionisti della Società ha diritti di voto differenti rispetto agli altri azionisti della Società. Gli azionisti maggioritari della Società sono il Sig. Ernesto Preatoni e i suoi affiliati. Sulla base delle informazioni in possesso della</w:t>
            </w:r>
            <w:r w:rsidR="00136201" w:rsidRPr="00273ED1">
              <w:rPr>
                <w:rFonts w:ascii="Arial" w:hAnsi="Arial" w:cs="Arial"/>
                <w:sz w:val="15"/>
                <w:szCs w:val="15"/>
                <w:lang w:eastAsia="lt-LT"/>
              </w:rPr>
              <w:t xml:space="preserve"> Società alla data del 30 giugno 2017</w:t>
            </w:r>
            <w:r w:rsidRPr="00273ED1">
              <w:rPr>
                <w:rFonts w:ascii="Arial" w:hAnsi="Arial" w:cs="Arial"/>
                <w:sz w:val="15"/>
                <w:szCs w:val="15"/>
                <w:lang w:eastAsia="lt-LT"/>
              </w:rPr>
              <w:t xml:space="preserve">, il Sig. Ernesto Preatoni e i suoi affiliati controllano all'incirca il </w:t>
            </w:r>
            <w:r w:rsidR="0067712A" w:rsidRPr="00273ED1">
              <w:rPr>
                <w:rFonts w:ascii="Arial" w:hAnsi="Arial" w:cs="Arial"/>
                <w:sz w:val="15"/>
                <w:szCs w:val="15"/>
                <w:lang w:eastAsia="lt-LT"/>
              </w:rPr>
              <w:t>38,</w:t>
            </w:r>
            <w:r w:rsidR="00754531" w:rsidRPr="00273ED1">
              <w:rPr>
                <w:rFonts w:ascii="Arial" w:hAnsi="Arial" w:cs="Arial"/>
                <w:sz w:val="15"/>
                <w:szCs w:val="15"/>
                <w:lang w:eastAsia="lt-LT"/>
              </w:rPr>
              <w:t>94%</w:t>
            </w:r>
            <w:r w:rsidRPr="00273ED1">
              <w:rPr>
                <w:rFonts w:ascii="Arial" w:hAnsi="Arial" w:cs="Arial"/>
                <w:sz w:val="15"/>
                <w:szCs w:val="15"/>
                <w:lang w:eastAsia="lt-LT"/>
              </w:rPr>
              <w:t xml:space="preserve">delle azioni della Società. Le seguenti azioni sono considerate controllate dal Sig. Preatoni in quanto il Consiglio di Amministrazione ritiene che lo stesso possa controllare l'uso dei diritti di voto di tali soggetti: (a) OÜ Svalbork Invest, società estone controllata dal Sig. Ernesto Preatoni, la quale detiene 5.994.539 azioni rappresentanti l'11,05% delle azioni totali della Società; (b) Katmandu Stiftung, società del Liechtenstein controllata dal </w:t>
            </w:r>
            <w:r w:rsidR="00555C9F" w:rsidRPr="00273ED1">
              <w:rPr>
                <w:rFonts w:ascii="Arial" w:hAnsi="Arial" w:cs="Arial"/>
                <w:sz w:val="15"/>
                <w:szCs w:val="15"/>
                <w:lang w:eastAsia="lt-LT"/>
              </w:rPr>
              <w:t>Sig.</w:t>
            </w:r>
            <w:r w:rsidRPr="00273ED1">
              <w:rPr>
                <w:rFonts w:ascii="Arial" w:hAnsi="Arial" w:cs="Arial"/>
                <w:sz w:val="15"/>
                <w:szCs w:val="15"/>
                <w:lang w:eastAsia="lt-LT"/>
              </w:rPr>
              <w:t xml:space="preserve"> Ernesto Preatoni la quale detiene 2.149.681 azioni rappresentanti il 3.96% delle azioni totali dell</w:t>
            </w:r>
            <w:r w:rsidR="00754531" w:rsidRPr="00273ED1">
              <w:rPr>
                <w:rFonts w:ascii="Arial" w:hAnsi="Arial" w:cs="Arial"/>
                <w:sz w:val="15"/>
                <w:szCs w:val="15"/>
                <w:lang w:eastAsia="lt-LT"/>
              </w:rPr>
              <w:t xml:space="preserve">a Società; (c) </w:t>
            </w:r>
            <w:r w:rsidR="0067712A" w:rsidRPr="00273ED1">
              <w:rPr>
                <w:rFonts w:ascii="Arial" w:hAnsi="Arial" w:cs="Arial"/>
                <w:sz w:val="15"/>
                <w:szCs w:val="15"/>
                <w:lang w:eastAsia="lt-LT"/>
              </w:rPr>
              <w:t>12.</w:t>
            </w:r>
            <w:r w:rsidR="00394D4E" w:rsidRPr="00273ED1">
              <w:rPr>
                <w:rFonts w:ascii="Arial" w:hAnsi="Arial" w:cs="Arial"/>
                <w:sz w:val="15"/>
                <w:szCs w:val="15"/>
                <w:lang w:eastAsia="lt-LT"/>
              </w:rPr>
              <w:t>600.</w:t>
            </w:r>
            <w:r w:rsidR="00754531" w:rsidRPr="00273ED1">
              <w:rPr>
                <w:rFonts w:ascii="Arial" w:hAnsi="Arial" w:cs="Arial"/>
                <w:sz w:val="15"/>
                <w:szCs w:val="15"/>
                <w:lang w:eastAsia="lt-LT"/>
              </w:rPr>
              <w:t xml:space="preserve">885 azioni rappresentanti il </w:t>
            </w:r>
            <w:r w:rsidR="0067712A" w:rsidRPr="00273ED1">
              <w:rPr>
                <w:rFonts w:ascii="Arial" w:hAnsi="Arial" w:cs="Arial"/>
                <w:sz w:val="15"/>
                <w:szCs w:val="15"/>
                <w:lang w:eastAsia="lt-LT"/>
              </w:rPr>
              <w:t>23,</w:t>
            </w:r>
            <w:r w:rsidR="00754531" w:rsidRPr="00273ED1">
              <w:rPr>
                <w:rFonts w:ascii="Arial" w:hAnsi="Arial" w:cs="Arial"/>
                <w:sz w:val="15"/>
                <w:szCs w:val="15"/>
                <w:lang w:eastAsia="lt-LT"/>
              </w:rPr>
              <w:t>22</w:t>
            </w:r>
            <w:r w:rsidRPr="00273ED1">
              <w:rPr>
                <w:rFonts w:ascii="Arial" w:hAnsi="Arial" w:cs="Arial"/>
                <w:sz w:val="15"/>
                <w:szCs w:val="15"/>
                <w:lang w:eastAsia="lt-LT"/>
              </w:rPr>
              <w:t xml:space="preserve">% delle azioni totali della Società, le quali sono detenute tramite un conto fiduciario aperto presso Nordea Bank Finland PLC; (d) Eginvest Limited, società del Liechtenstein controllata dal Sig Ernesto Preatoni la quale detiene </w:t>
            </w:r>
            <w:r w:rsidR="0067712A" w:rsidRPr="00273ED1">
              <w:rPr>
                <w:rFonts w:ascii="Arial" w:hAnsi="Arial" w:cs="Arial"/>
                <w:sz w:val="15"/>
                <w:szCs w:val="15"/>
                <w:lang w:eastAsia="lt-LT"/>
              </w:rPr>
              <w:t>389.</w:t>
            </w:r>
            <w:r w:rsidR="00754531" w:rsidRPr="00273ED1">
              <w:rPr>
                <w:rFonts w:ascii="Arial" w:hAnsi="Arial" w:cs="Arial"/>
                <w:sz w:val="15"/>
                <w:szCs w:val="15"/>
                <w:lang w:eastAsia="lt-LT"/>
              </w:rPr>
              <w:t xml:space="preserve">980 azioni rappresentanti lo </w:t>
            </w:r>
            <w:r w:rsidR="0067712A" w:rsidRPr="00273ED1">
              <w:rPr>
                <w:rFonts w:ascii="Arial" w:hAnsi="Arial" w:cs="Arial"/>
                <w:sz w:val="15"/>
                <w:szCs w:val="15"/>
                <w:lang w:eastAsia="lt-LT"/>
              </w:rPr>
              <w:t>0,</w:t>
            </w:r>
            <w:r w:rsidR="00754531" w:rsidRPr="00273ED1">
              <w:rPr>
                <w:rFonts w:ascii="Arial" w:hAnsi="Arial" w:cs="Arial"/>
                <w:sz w:val="15"/>
                <w:szCs w:val="15"/>
                <w:lang w:eastAsia="lt-LT"/>
              </w:rPr>
              <w:t>72</w:t>
            </w:r>
            <w:r w:rsidRPr="00273ED1">
              <w:rPr>
                <w:rFonts w:ascii="Arial" w:hAnsi="Arial" w:cs="Arial"/>
                <w:sz w:val="15"/>
                <w:szCs w:val="15"/>
                <w:lang w:eastAsia="lt-LT"/>
              </w:rPr>
              <w:t>% delle azioni totali della Società.</w:t>
            </w:r>
          </w:p>
          <w:p w14:paraId="45CB1A54" w14:textId="00D5480E" w:rsidR="004976E9" w:rsidRPr="00273ED1" w:rsidRDefault="004976E9" w:rsidP="00E31E69">
            <w:pPr>
              <w:pStyle w:val="ListParagraph"/>
              <w:spacing w:after="0" w:line="240" w:lineRule="auto"/>
              <w:ind w:left="28"/>
              <w:jc w:val="both"/>
              <w:rPr>
                <w:sz w:val="15"/>
                <w:szCs w:val="15"/>
              </w:rPr>
            </w:pPr>
            <w:r w:rsidRPr="00273ED1">
              <w:rPr>
                <w:rFonts w:ascii="Arial" w:hAnsi="Arial" w:cs="Arial"/>
                <w:sz w:val="15"/>
                <w:szCs w:val="15"/>
                <w:lang w:val="it-IT" w:eastAsia="lt-LT"/>
              </w:rPr>
              <w:t>Per garantire che il controllo della Società non sia abusato, quest'ultima opera in conformità con il Codice Commerciale estone e la Legge estone sul mercato mobiliare. Inoltre, la Società opera in conformità con il regolamento del N</w:t>
            </w:r>
            <w:r w:rsidR="00093EFE" w:rsidRPr="00273ED1">
              <w:rPr>
                <w:rFonts w:ascii="Arial" w:hAnsi="Arial" w:cs="Arial"/>
                <w:sz w:val="15"/>
                <w:szCs w:val="15"/>
                <w:lang w:val="it-IT" w:eastAsia="lt-LT"/>
              </w:rPr>
              <w:t>asda</w:t>
            </w:r>
            <w:r w:rsidR="00645C62" w:rsidRPr="00273ED1">
              <w:rPr>
                <w:rFonts w:ascii="Arial" w:hAnsi="Arial" w:cs="Arial"/>
                <w:sz w:val="15"/>
                <w:szCs w:val="15"/>
                <w:lang w:val="it-IT" w:eastAsia="lt-LT"/>
              </w:rPr>
              <w:t>q</w:t>
            </w:r>
            <w:r w:rsidRPr="00273ED1">
              <w:rPr>
                <w:rFonts w:ascii="Arial" w:hAnsi="Arial" w:cs="Arial"/>
                <w:sz w:val="15"/>
                <w:szCs w:val="15"/>
                <w:lang w:val="it-IT" w:eastAsia="lt-LT"/>
              </w:rPr>
              <w:t xml:space="preserve"> Tallinn. Nessun'altra misura è adottata per garantire che non vi siano abusi nel summenzionato controllo. Alla data del Prospetto la Società non è a conoscenza dell'esistenza di alcun accordo tra gli azionisti della Società o di altri contratti, il cui risultato potrebbe comportare, in una data successiva, un cambio di controllo della Società.</w:t>
            </w:r>
          </w:p>
          <w:p w14:paraId="1BBDE1C2" w14:textId="77777777" w:rsidR="004976E9" w:rsidRPr="00273ED1" w:rsidRDefault="004976E9" w:rsidP="00E31E69">
            <w:pPr>
              <w:pStyle w:val="ListParagraph"/>
              <w:spacing w:after="0" w:line="240" w:lineRule="auto"/>
              <w:jc w:val="both"/>
              <w:rPr>
                <w:rFonts w:ascii="Arial" w:hAnsi="Arial" w:cs="Arial"/>
                <w:sz w:val="15"/>
                <w:szCs w:val="15"/>
                <w:lang w:eastAsia="lt-LT"/>
              </w:rPr>
            </w:pPr>
          </w:p>
          <w:p w14:paraId="5E8A8FC3" w14:textId="77777777" w:rsidR="004976E9" w:rsidRPr="00273ED1" w:rsidRDefault="004976E9" w:rsidP="00E31E69">
            <w:pPr>
              <w:pStyle w:val="ListParagraph"/>
              <w:spacing w:after="0" w:line="240" w:lineRule="auto"/>
              <w:ind w:left="28"/>
              <w:jc w:val="both"/>
              <w:rPr>
                <w:rFonts w:ascii="Arial" w:hAnsi="Arial" w:cs="Arial"/>
                <w:sz w:val="15"/>
                <w:szCs w:val="15"/>
                <w:lang w:val="it-IT" w:eastAsia="lt-LT"/>
              </w:rPr>
            </w:pPr>
          </w:p>
        </w:tc>
      </w:tr>
      <w:tr w:rsidR="004976E9" w:rsidRPr="00273ED1" w14:paraId="25A16456" w14:textId="77777777" w:rsidTr="00E31E69">
        <w:trPr>
          <w:trHeight w:val="2415"/>
        </w:trPr>
        <w:tc>
          <w:tcPr>
            <w:tcW w:w="706" w:type="dxa"/>
            <w:tcBorders>
              <w:top w:val="single" w:sz="4" w:space="0" w:color="808080"/>
              <w:left w:val="single" w:sz="4" w:space="0" w:color="BFBFBF"/>
              <w:bottom w:val="single" w:sz="4" w:space="0" w:color="808080"/>
              <w:right w:val="single" w:sz="4" w:space="0" w:color="808080"/>
            </w:tcBorders>
            <w:shd w:val="clear" w:color="auto" w:fill="auto"/>
            <w:tcMar>
              <w:left w:w="83" w:type="dxa"/>
            </w:tcMar>
          </w:tcPr>
          <w:p w14:paraId="74583DC1" w14:textId="77777777" w:rsidR="004976E9" w:rsidRPr="00273ED1" w:rsidRDefault="004976E9" w:rsidP="00E31E69">
            <w:pPr>
              <w:rPr>
                <w:rFonts w:ascii="Arial" w:hAnsi="Arial" w:cs="Arial"/>
                <w:sz w:val="15"/>
                <w:szCs w:val="15"/>
              </w:rPr>
            </w:pPr>
            <w:r w:rsidRPr="00273ED1">
              <w:rPr>
                <w:rFonts w:ascii="Arial" w:hAnsi="Arial" w:cs="Arial"/>
                <w:sz w:val="15"/>
                <w:szCs w:val="15"/>
              </w:rPr>
              <w:t>B.7</w:t>
            </w:r>
          </w:p>
        </w:tc>
        <w:tc>
          <w:tcPr>
            <w:tcW w:w="1553" w:type="dxa"/>
            <w:tcBorders>
              <w:top w:val="single" w:sz="4" w:space="0" w:color="808080"/>
              <w:left w:val="single" w:sz="4" w:space="0" w:color="808080"/>
              <w:bottom w:val="single" w:sz="4" w:space="0" w:color="808080"/>
              <w:right w:val="single" w:sz="4" w:space="0" w:color="808080"/>
            </w:tcBorders>
            <w:shd w:val="clear" w:color="auto" w:fill="auto"/>
            <w:tcMar>
              <w:left w:w="83" w:type="dxa"/>
            </w:tcMar>
          </w:tcPr>
          <w:p w14:paraId="7845FD09" w14:textId="77777777" w:rsidR="004976E9" w:rsidRPr="00273ED1" w:rsidRDefault="004976E9" w:rsidP="00E31E69">
            <w:pPr>
              <w:rPr>
                <w:sz w:val="15"/>
                <w:szCs w:val="15"/>
              </w:rPr>
            </w:pPr>
            <w:r w:rsidRPr="00273ED1">
              <w:rPr>
                <w:rFonts w:ascii="Arial" w:hAnsi="Arial" w:cs="Arial"/>
                <w:sz w:val="15"/>
                <w:szCs w:val="15"/>
              </w:rPr>
              <w:t>Informazioni finanziarie fondamentali selezionate storiche. Descrizione testuale delle modifiche significative della situazione finanziaria della Società e dei risultati operativi successivi al periodo coperto dalle informazioni finanziarie fondamentali selezionate storiche</w:t>
            </w:r>
          </w:p>
        </w:tc>
        <w:tc>
          <w:tcPr>
            <w:tcW w:w="7493" w:type="dxa"/>
            <w:tcBorders>
              <w:top w:val="single" w:sz="4" w:space="0" w:color="808080"/>
              <w:left w:val="single" w:sz="4" w:space="0" w:color="808080"/>
              <w:bottom w:val="single" w:sz="4" w:space="0" w:color="808080"/>
              <w:right w:val="single" w:sz="4" w:space="0" w:color="BFBFBF"/>
            </w:tcBorders>
            <w:shd w:val="clear" w:color="auto" w:fill="auto"/>
            <w:tcMar>
              <w:left w:w="83" w:type="dxa"/>
            </w:tcMar>
          </w:tcPr>
          <w:p w14:paraId="30094013" w14:textId="65A8B2FD" w:rsidR="004976E9" w:rsidRPr="00273ED1" w:rsidRDefault="004976E9" w:rsidP="00E31E69">
            <w:pPr>
              <w:jc w:val="both"/>
              <w:rPr>
                <w:sz w:val="15"/>
                <w:szCs w:val="15"/>
              </w:rPr>
            </w:pPr>
            <w:r w:rsidRPr="00273ED1">
              <w:rPr>
                <w:rFonts w:ascii="Arial" w:hAnsi="Arial" w:cs="Arial"/>
                <w:sz w:val="15"/>
                <w:szCs w:val="15"/>
              </w:rPr>
              <w:t>Le seguenti tabelle presentano alcune informazioni finanziarie selezionate relative al Gruppo per gli esercizi conclusisi il 31 dicembre 2016 e 31 dicembre 2015 e per il periodo di sei mesi conclusosi il 30 giugno 2016 e 30 giugno 2017. Tali informazioni sono estratte, senza significativi adeguamenti, dal bilancio di esercizio annuale consolidato della Società sottoposto a revisione per gli esercizi 2015 e 2016 e il bilancio consolidato della Società non sottoposto a revisione per i sei mesi conclusisi il 30 giugno 2017 (i “</w:t>
            </w:r>
            <w:r w:rsidRPr="00273ED1">
              <w:rPr>
                <w:rFonts w:ascii="Arial" w:hAnsi="Arial" w:cs="Arial"/>
                <w:b/>
                <w:bCs/>
                <w:sz w:val="15"/>
                <w:szCs w:val="15"/>
              </w:rPr>
              <w:t>Bilanci</w:t>
            </w:r>
            <w:r w:rsidRPr="00273ED1">
              <w:rPr>
                <w:rFonts w:ascii="Arial" w:hAnsi="Arial" w:cs="Arial"/>
                <w:sz w:val="15"/>
                <w:szCs w:val="15"/>
              </w:rPr>
              <w:t xml:space="preserve">”). Le seguenti tabelle presentano altresì alcuni indici e indicatori fondamentali. Tali indici e indicatori sono forniti per illustrare alcuni aspetti delle attività del Gruppo e il relativo rendimento finanziario. Tali indici e indicatori sono calcolati a partire dai dati estratti dai Bilanci. </w:t>
            </w:r>
            <w:r w:rsidR="006D0C0F" w:rsidRPr="00273ED1">
              <w:rPr>
                <w:rFonts w:ascii="Arial" w:hAnsi="Arial" w:cs="Arial"/>
                <w:sz w:val="15"/>
                <w:szCs w:val="15"/>
              </w:rPr>
              <w:t>L’Organo Amministrativo</w:t>
            </w:r>
            <w:r w:rsidRPr="00273ED1">
              <w:rPr>
                <w:rFonts w:ascii="Arial" w:hAnsi="Arial" w:cs="Arial"/>
                <w:sz w:val="15"/>
                <w:szCs w:val="15"/>
              </w:rPr>
              <w:t xml:space="preserve"> ritiene che gli indici e indicatori elencati di seguito siano consuetudinari e utilizzati spesso da società a capitale diffuso per illustrare le proprie attività e il proprio rendimento finanziario. </w:t>
            </w:r>
          </w:p>
          <w:p w14:paraId="6DEBF1D7" w14:textId="77777777" w:rsidR="004976E9" w:rsidRPr="00273ED1" w:rsidRDefault="004976E9" w:rsidP="00E31E69">
            <w:pPr>
              <w:jc w:val="both"/>
              <w:rPr>
                <w:sz w:val="15"/>
                <w:szCs w:val="15"/>
              </w:rPr>
            </w:pPr>
            <w:r w:rsidRPr="00273ED1">
              <w:rPr>
                <w:rFonts w:ascii="Arial" w:hAnsi="Arial" w:cs="Arial"/>
                <w:sz w:val="15"/>
                <w:szCs w:val="15"/>
              </w:rPr>
              <w:t>Informazioni selezionate dal Conto Economico Consolidato Complessivo</w:t>
            </w:r>
          </w:p>
          <w:tbl>
            <w:tblPr>
              <w:tblStyle w:val="TableGrid"/>
              <w:tblW w:w="7259" w:type="dxa"/>
              <w:tblBorders>
                <w:top w:val="single" w:sz="4" w:space="0" w:color="BFBFBF"/>
                <w:left w:val="single" w:sz="4" w:space="0" w:color="BFBFBF"/>
              </w:tblBorders>
              <w:tblCellMar>
                <w:left w:w="78" w:type="dxa"/>
              </w:tblCellMar>
              <w:tblLook w:val="04A0" w:firstRow="1" w:lastRow="0" w:firstColumn="1" w:lastColumn="0" w:noHBand="0" w:noVBand="1"/>
            </w:tblPr>
            <w:tblGrid>
              <w:gridCol w:w="2230"/>
              <w:gridCol w:w="1001"/>
              <w:gridCol w:w="1006"/>
              <w:gridCol w:w="1003"/>
              <w:gridCol w:w="1004"/>
              <w:gridCol w:w="1015"/>
            </w:tblGrid>
            <w:tr w:rsidR="004976E9" w:rsidRPr="00273ED1" w14:paraId="6062A951" w14:textId="77777777" w:rsidTr="00E31E69">
              <w:trPr>
                <w:trHeight w:val="170"/>
              </w:trPr>
              <w:tc>
                <w:tcPr>
                  <w:tcW w:w="2231" w:type="dxa"/>
                  <w:tcBorders>
                    <w:top w:val="single" w:sz="4" w:space="0" w:color="BFBFBF"/>
                    <w:left w:val="single" w:sz="4" w:space="0" w:color="BFBFBF"/>
                  </w:tcBorders>
                  <w:shd w:val="clear" w:color="auto" w:fill="C8501E"/>
                  <w:tcMar>
                    <w:left w:w="78" w:type="dxa"/>
                  </w:tcMar>
                  <w:vAlign w:val="bottom"/>
                </w:tcPr>
                <w:p w14:paraId="0FA9B640" w14:textId="77777777" w:rsidR="004976E9" w:rsidRPr="00273ED1" w:rsidRDefault="004976E9" w:rsidP="00E31E69">
                  <w:pPr>
                    <w:pStyle w:val="Paragraph"/>
                    <w:spacing w:before="0" w:after="0"/>
                    <w:jc w:val="left"/>
                    <w:rPr>
                      <w:sz w:val="15"/>
                      <w:szCs w:val="15"/>
                    </w:rPr>
                  </w:pPr>
                  <w:r w:rsidRPr="00273ED1">
                    <w:rPr>
                      <w:rFonts w:ascii="Calibri Light" w:hAnsi="Calibri Light" w:cs="Arial"/>
                      <w:i/>
                      <w:iCs/>
                      <w:color w:val="FFFFFF" w:themeColor="background1"/>
                      <w:sz w:val="15"/>
                      <w:szCs w:val="15"/>
                    </w:rPr>
                    <w:t>In migliaia di Euro</w:t>
                  </w:r>
                </w:p>
              </w:tc>
              <w:tc>
                <w:tcPr>
                  <w:tcW w:w="2007" w:type="dxa"/>
                  <w:gridSpan w:val="2"/>
                  <w:tcBorders>
                    <w:top w:val="single" w:sz="4" w:space="0" w:color="BFBFBF"/>
                  </w:tcBorders>
                  <w:shd w:val="clear" w:color="auto" w:fill="C8501E"/>
                  <w:tcMar>
                    <w:left w:w="78" w:type="dxa"/>
                  </w:tcMar>
                  <w:vAlign w:val="bottom"/>
                </w:tcPr>
                <w:p w14:paraId="7CC17383" w14:textId="77777777" w:rsidR="004976E9" w:rsidRPr="00273ED1" w:rsidRDefault="004976E9" w:rsidP="00E31E69">
                  <w:pPr>
                    <w:pStyle w:val="Paragraph"/>
                    <w:spacing w:before="0" w:after="0"/>
                    <w:jc w:val="center"/>
                    <w:rPr>
                      <w:sz w:val="15"/>
                      <w:szCs w:val="15"/>
                    </w:rPr>
                  </w:pPr>
                  <w:r w:rsidRPr="00273ED1">
                    <w:rPr>
                      <w:rFonts w:ascii="Calibri Light" w:hAnsi="Calibri Light" w:cs="Arial"/>
                      <w:color w:val="FFFFFF" w:themeColor="background1"/>
                      <w:sz w:val="15"/>
                      <w:szCs w:val="15"/>
                    </w:rPr>
                    <w:t>6 mesi conclusisi il 30 giugno</w:t>
                  </w:r>
                </w:p>
              </w:tc>
              <w:tc>
                <w:tcPr>
                  <w:tcW w:w="3020" w:type="dxa"/>
                  <w:gridSpan w:val="3"/>
                  <w:tcBorders>
                    <w:top w:val="single" w:sz="4" w:space="0" w:color="BFBFBF"/>
                    <w:left w:val="single" w:sz="4" w:space="0" w:color="BFBFBF"/>
                    <w:right w:val="single" w:sz="4" w:space="0" w:color="BFBFBF"/>
                  </w:tcBorders>
                  <w:shd w:val="clear" w:color="auto" w:fill="C8501E"/>
                  <w:tcMar>
                    <w:left w:w="78" w:type="dxa"/>
                  </w:tcMar>
                  <w:vAlign w:val="bottom"/>
                </w:tcPr>
                <w:p w14:paraId="2479669F" w14:textId="77777777" w:rsidR="004976E9" w:rsidRPr="00273ED1" w:rsidRDefault="004976E9" w:rsidP="00E31E69">
                  <w:pPr>
                    <w:pStyle w:val="Paragraph"/>
                    <w:spacing w:before="0" w:after="0"/>
                    <w:jc w:val="center"/>
                    <w:rPr>
                      <w:sz w:val="15"/>
                      <w:szCs w:val="15"/>
                    </w:rPr>
                  </w:pPr>
                  <w:r w:rsidRPr="00273ED1">
                    <w:rPr>
                      <w:rFonts w:ascii="Calibri Light" w:hAnsi="Calibri Light" w:cs="Arial"/>
                      <w:color w:val="FFFFFF" w:themeColor="background1"/>
                      <w:sz w:val="15"/>
                      <w:szCs w:val="15"/>
                    </w:rPr>
                    <w:t>12 mesi conclusisi il 31 dicembre</w:t>
                  </w:r>
                </w:p>
              </w:tc>
            </w:tr>
            <w:tr w:rsidR="004976E9" w:rsidRPr="00273ED1" w14:paraId="25FD45CE" w14:textId="77777777" w:rsidTr="00E31E69">
              <w:trPr>
                <w:trHeight w:val="170"/>
              </w:trPr>
              <w:tc>
                <w:tcPr>
                  <w:tcW w:w="2231" w:type="dxa"/>
                  <w:tcBorders>
                    <w:left w:val="single" w:sz="4" w:space="0" w:color="BFBFBF"/>
                  </w:tcBorders>
                  <w:shd w:val="clear" w:color="auto" w:fill="auto"/>
                  <w:tcMar>
                    <w:left w:w="78" w:type="dxa"/>
                  </w:tcMar>
                </w:tcPr>
                <w:p w14:paraId="4406742C" w14:textId="77777777" w:rsidR="004976E9" w:rsidRPr="00273ED1" w:rsidRDefault="004976E9" w:rsidP="00E31E69">
                  <w:pPr>
                    <w:pStyle w:val="Paragraph"/>
                    <w:spacing w:before="0" w:after="0"/>
                    <w:rPr>
                      <w:rFonts w:asciiTheme="majorHAnsi" w:hAnsiTheme="majorHAnsi" w:cs="Arial"/>
                      <w:sz w:val="15"/>
                      <w:szCs w:val="15"/>
                    </w:rPr>
                  </w:pPr>
                </w:p>
              </w:tc>
              <w:tc>
                <w:tcPr>
                  <w:tcW w:w="1001" w:type="dxa"/>
                  <w:shd w:val="clear" w:color="auto" w:fill="auto"/>
                  <w:tcMar>
                    <w:left w:w="78" w:type="dxa"/>
                  </w:tcMar>
                </w:tcPr>
                <w:p w14:paraId="46A39D77" w14:textId="77777777" w:rsidR="004976E9" w:rsidRPr="00273ED1" w:rsidRDefault="004976E9" w:rsidP="00E31E69">
                  <w:pPr>
                    <w:pStyle w:val="Paragraph"/>
                    <w:spacing w:before="0" w:after="0"/>
                    <w:jc w:val="right"/>
                    <w:rPr>
                      <w:rFonts w:cs="Arial"/>
                      <w:sz w:val="15"/>
                      <w:szCs w:val="15"/>
                    </w:rPr>
                  </w:pPr>
                  <w:r w:rsidRPr="00273ED1">
                    <w:rPr>
                      <w:rFonts w:ascii="Calibri Light" w:hAnsi="Calibri Light" w:cs="Arial"/>
                      <w:sz w:val="15"/>
                      <w:szCs w:val="15"/>
                    </w:rPr>
                    <w:t>2017</w:t>
                  </w:r>
                </w:p>
              </w:tc>
              <w:tc>
                <w:tcPr>
                  <w:tcW w:w="1004" w:type="dxa"/>
                  <w:shd w:val="clear" w:color="auto" w:fill="auto"/>
                  <w:tcMar>
                    <w:left w:w="78" w:type="dxa"/>
                  </w:tcMar>
                </w:tcPr>
                <w:p w14:paraId="0DDCC423" w14:textId="77777777" w:rsidR="004976E9" w:rsidRPr="00273ED1" w:rsidRDefault="004976E9" w:rsidP="00E31E69">
                  <w:pPr>
                    <w:pStyle w:val="Paragraph"/>
                    <w:spacing w:before="0" w:after="0"/>
                    <w:jc w:val="right"/>
                    <w:rPr>
                      <w:rFonts w:cs="Arial"/>
                      <w:sz w:val="15"/>
                      <w:szCs w:val="15"/>
                    </w:rPr>
                  </w:pPr>
                  <w:r w:rsidRPr="00273ED1">
                    <w:rPr>
                      <w:rFonts w:ascii="Calibri Light" w:hAnsi="Calibri Light" w:cs="Arial"/>
                      <w:sz w:val="15"/>
                      <w:szCs w:val="15"/>
                    </w:rPr>
                    <w:t>2016</w:t>
                  </w:r>
                </w:p>
              </w:tc>
              <w:tc>
                <w:tcPr>
                  <w:tcW w:w="1003" w:type="dxa"/>
                  <w:shd w:val="clear" w:color="auto" w:fill="auto"/>
                  <w:tcMar>
                    <w:left w:w="78" w:type="dxa"/>
                  </w:tcMar>
                </w:tcPr>
                <w:p w14:paraId="695D2763" w14:textId="77777777" w:rsidR="004976E9" w:rsidRPr="00273ED1" w:rsidRDefault="004976E9" w:rsidP="00E31E69">
                  <w:pPr>
                    <w:pStyle w:val="Paragraph"/>
                    <w:spacing w:before="0" w:after="0"/>
                    <w:jc w:val="right"/>
                    <w:rPr>
                      <w:rFonts w:cs="Arial"/>
                      <w:sz w:val="15"/>
                      <w:szCs w:val="15"/>
                    </w:rPr>
                  </w:pPr>
                  <w:r w:rsidRPr="00273ED1">
                    <w:rPr>
                      <w:rFonts w:ascii="Calibri Light" w:hAnsi="Calibri Light" w:cs="Arial"/>
                      <w:sz w:val="15"/>
                      <w:szCs w:val="15"/>
                    </w:rPr>
                    <w:t>2016</w:t>
                  </w:r>
                </w:p>
              </w:tc>
              <w:tc>
                <w:tcPr>
                  <w:tcW w:w="1004" w:type="dxa"/>
                  <w:shd w:val="clear" w:color="auto" w:fill="auto"/>
                  <w:tcMar>
                    <w:left w:w="78" w:type="dxa"/>
                  </w:tcMar>
                </w:tcPr>
                <w:p w14:paraId="35BCF568" w14:textId="77777777" w:rsidR="004976E9" w:rsidRPr="00273ED1" w:rsidRDefault="004976E9" w:rsidP="00E31E69">
                  <w:pPr>
                    <w:pStyle w:val="Paragraph"/>
                    <w:spacing w:before="0" w:after="0"/>
                    <w:jc w:val="right"/>
                    <w:rPr>
                      <w:rFonts w:cs="Arial"/>
                      <w:sz w:val="15"/>
                      <w:szCs w:val="15"/>
                    </w:rPr>
                  </w:pPr>
                  <w:r w:rsidRPr="00273ED1">
                    <w:rPr>
                      <w:rFonts w:ascii="Calibri Light" w:hAnsi="Calibri Light" w:cs="Arial"/>
                      <w:sz w:val="15"/>
                      <w:szCs w:val="15"/>
                    </w:rPr>
                    <w:t>2015</w:t>
                  </w:r>
                </w:p>
              </w:tc>
              <w:tc>
                <w:tcPr>
                  <w:tcW w:w="1015" w:type="dxa"/>
                  <w:tcBorders>
                    <w:left w:val="single" w:sz="4" w:space="0" w:color="BFBFBF"/>
                    <w:right w:val="single" w:sz="4" w:space="0" w:color="BFBFBF"/>
                  </w:tcBorders>
                  <w:shd w:val="clear" w:color="auto" w:fill="auto"/>
                  <w:tcMar>
                    <w:left w:w="78" w:type="dxa"/>
                  </w:tcMar>
                </w:tcPr>
                <w:p w14:paraId="2D1F5499" w14:textId="77777777" w:rsidR="004976E9" w:rsidRPr="00273ED1" w:rsidRDefault="004976E9" w:rsidP="00E31E69">
                  <w:pPr>
                    <w:pStyle w:val="Paragraph"/>
                    <w:spacing w:before="0" w:after="0"/>
                    <w:jc w:val="right"/>
                    <w:rPr>
                      <w:rFonts w:cs="Arial"/>
                      <w:sz w:val="15"/>
                      <w:szCs w:val="15"/>
                    </w:rPr>
                  </w:pPr>
                  <w:r w:rsidRPr="00273ED1">
                    <w:rPr>
                      <w:rFonts w:ascii="Calibri Light" w:hAnsi="Calibri Light" w:cs="Arial"/>
                      <w:sz w:val="15"/>
                      <w:szCs w:val="15"/>
                    </w:rPr>
                    <w:t>2014</w:t>
                  </w:r>
                </w:p>
              </w:tc>
            </w:tr>
            <w:tr w:rsidR="004976E9" w:rsidRPr="00273ED1" w14:paraId="1F01F70F" w14:textId="77777777" w:rsidTr="00E31E69">
              <w:trPr>
                <w:trHeight w:val="170"/>
              </w:trPr>
              <w:tc>
                <w:tcPr>
                  <w:tcW w:w="2231" w:type="dxa"/>
                  <w:tcBorders>
                    <w:left w:val="single" w:sz="4" w:space="0" w:color="BFBFBF"/>
                  </w:tcBorders>
                  <w:shd w:val="clear" w:color="auto" w:fill="auto"/>
                  <w:tcMar>
                    <w:left w:w="78" w:type="dxa"/>
                  </w:tcMar>
                  <w:vAlign w:val="bottom"/>
                </w:tcPr>
                <w:p w14:paraId="006BA99C" w14:textId="77777777" w:rsidR="004976E9" w:rsidRPr="00273ED1" w:rsidRDefault="004976E9" w:rsidP="00E31E69">
                  <w:pPr>
                    <w:pStyle w:val="Paragraph"/>
                    <w:spacing w:before="0" w:after="0"/>
                    <w:rPr>
                      <w:sz w:val="15"/>
                      <w:szCs w:val="15"/>
                    </w:rPr>
                  </w:pPr>
                  <w:bookmarkStart w:id="128" w:name="_Hlk488764640"/>
                  <w:bookmarkEnd w:id="128"/>
                  <w:r w:rsidRPr="00273ED1">
                    <w:rPr>
                      <w:rFonts w:ascii="Calibri Light" w:hAnsi="Calibri Light" w:cs="Arial"/>
                      <w:sz w:val="15"/>
                      <w:szCs w:val="15"/>
                    </w:rPr>
                    <w:t>Ricavi</w:t>
                  </w:r>
                </w:p>
              </w:tc>
              <w:tc>
                <w:tcPr>
                  <w:tcW w:w="1001" w:type="dxa"/>
                  <w:shd w:val="clear" w:color="auto" w:fill="auto"/>
                  <w:tcMar>
                    <w:left w:w="78" w:type="dxa"/>
                  </w:tcMar>
                </w:tcPr>
                <w:p w14:paraId="3D567ADF" w14:textId="77777777" w:rsidR="004976E9" w:rsidRPr="00273ED1" w:rsidRDefault="00754531" w:rsidP="00E31E69">
                  <w:pPr>
                    <w:pStyle w:val="Paragraph"/>
                    <w:spacing w:before="0" w:after="0"/>
                    <w:jc w:val="right"/>
                    <w:rPr>
                      <w:rFonts w:cs="Arial"/>
                      <w:sz w:val="15"/>
                      <w:szCs w:val="15"/>
                    </w:rPr>
                  </w:pPr>
                  <w:r w:rsidRPr="00273ED1">
                    <w:rPr>
                      <w:rFonts w:ascii="Calibri Light" w:hAnsi="Calibri Light" w:cs="Arial"/>
                      <w:sz w:val="15"/>
                      <w:szCs w:val="15"/>
                    </w:rPr>
                    <w:t>7.566</w:t>
                  </w:r>
                </w:p>
              </w:tc>
              <w:tc>
                <w:tcPr>
                  <w:tcW w:w="1004" w:type="dxa"/>
                  <w:shd w:val="clear" w:color="auto" w:fill="auto"/>
                  <w:tcMar>
                    <w:left w:w="78" w:type="dxa"/>
                  </w:tcMar>
                </w:tcPr>
                <w:p w14:paraId="39B49581" w14:textId="77777777" w:rsidR="004976E9" w:rsidRPr="00273ED1" w:rsidRDefault="00754531" w:rsidP="00E31E69">
                  <w:pPr>
                    <w:pStyle w:val="Paragraph"/>
                    <w:spacing w:before="0" w:after="0"/>
                    <w:jc w:val="right"/>
                    <w:rPr>
                      <w:rFonts w:cs="Arial"/>
                      <w:sz w:val="15"/>
                      <w:szCs w:val="15"/>
                    </w:rPr>
                  </w:pPr>
                  <w:r w:rsidRPr="00273ED1">
                    <w:rPr>
                      <w:rFonts w:ascii="Calibri Light" w:hAnsi="Calibri Light" w:cs="Arial"/>
                      <w:sz w:val="15"/>
                      <w:szCs w:val="15"/>
                    </w:rPr>
                    <w:t>8.203</w:t>
                  </w:r>
                </w:p>
              </w:tc>
              <w:tc>
                <w:tcPr>
                  <w:tcW w:w="1003" w:type="dxa"/>
                  <w:shd w:val="clear" w:color="auto" w:fill="auto"/>
                  <w:tcMar>
                    <w:left w:w="78" w:type="dxa"/>
                  </w:tcMar>
                  <w:vAlign w:val="bottom"/>
                </w:tcPr>
                <w:p w14:paraId="5FD848A8"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20.652</w:t>
                  </w:r>
                </w:p>
              </w:tc>
              <w:tc>
                <w:tcPr>
                  <w:tcW w:w="1004" w:type="dxa"/>
                  <w:shd w:val="clear" w:color="auto" w:fill="auto"/>
                  <w:tcMar>
                    <w:left w:w="78" w:type="dxa"/>
                  </w:tcMar>
                  <w:vAlign w:val="bottom"/>
                </w:tcPr>
                <w:p w14:paraId="07684A39"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18.322</w:t>
                  </w:r>
                </w:p>
              </w:tc>
              <w:tc>
                <w:tcPr>
                  <w:tcW w:w="1015" w:type="dxa"/>
                  <w:tcBorders>
                    <w:left w:val="single" w:sz="4" w:space="0" w:color="BFBFBF"/>
                    <w:right w:val="single" w:sz="4" w:space="0" w:color="BFBFBF"/>
                  </w:tcBorders>
                  <w:shd w:val="clear" w:color="auto" w:fill="auto"/>
                  <w:tcMar>
                    <w:left w:w="78" w:type="dxa"/>
                  </w:tcMar>
                  <w:vAlign w:val="bottom"/>
                </w:tcPr>
                <w:p w14:paraId="46F4237B"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10.335</w:t>
                  </w:r>
                </w:p>
              </w:tc>
            </w:tr>
            <w:tr w:rsidR="004976E9" w:rsidRPr="00273ED1" w14:paraId="7695FCDE" w14:textId="77777777" w:rsidTr="00E31E69">
              <w:trPr>
                <w:trHeight w:val="170"/>
              </w:trPr>
              <w:tc>
                <w:tcPr>
                  <w:tcW w:w="2231" w:type="dxa"/>
                  <w:tcBorders>
                    <w:left w:val="single" w:sz="4" w:space="0" w:color="BFBFBF"/>
                  </w:tcBorders>
                  <w:shd w:val="clear" w:color="auto" w:fill="auto"/>
                  <w:tcMar>
                    <w:left w:w="78" w:type="dxa"/>
                  </w:tcMar>
                  <w:vAlign w:val="bottom"/>
                </w:tcPr>
                <w:p w14:paraId="296FB7F8" w14:textId="77777777" w:rsidR="004976E9" w:rsidRPr="00273ED1" w:rsidRDefault="004976E9" w:rsidP="00E31E69">
                  <w:pPr>
                    <w:pStyle w:val="Paragraph"/>
                    <w:spacing w:before="0" w:after="0"/>
                    <w:rPr>
                      <w:sz w:val="15"/>
                      <w:szCs w:val="15"/>
                    </w:rPr>
                  </w:pPr>
                  <w:r w:rsidRPr="00273ED1">
                    <w:rPr>
                      <w:rFonts w:ascii="Calibri Light" w:hAnsi="Calibri Light" w:cs="Arial"/>
                      <w:sz w:val="15"/>
                      <w:szCs w:val="15"/>
                    </w:rPr>
                    <w:t>Utili lordi</w:t>
                  </w:r>
                </w:p>
              </w:tc>
              <w:tc>
                <w:tcPr>
                  <w:tcW w:w="1001" w:type="dxa"/>
                  <w:shd w:val="clear" w:color="auto" w:fill="auto"/>
                  <w:tcMar>
                    <w:left w:w="78" w:type="dxa"/>
                  </w:tcMar>
                </w:tcPr>
                <w:p w14:paraId="3DF15D71" w14:textId="77777777" w:rsidR="004976E9" w:rsidRPr="00273ED1" w:rsidRDefault="00754531" w:rsidP="00E31E69">
                  <w:pPr>
                    <w:pStyle w:val="Paragraph"/>
                    <w:spacing w:before="0" w:after="0"/>
                    <w:jc w:val="right"/>
                    <w:rPr>
                      <w:sz w:val="15"/>
                      <w:szCs w:val="15"/>
                    </w:rPr>
                  </w:pPr>
                  <w:r w:rsidRPr="00273ED1">
                    <w:rPr>
                      <w:rFonts w:ascii="Calibri Light" w:hAnsi="Calibri Light" w:cs="Arial"/>
                      <w:sz w:val="15"/>
                      <w:szCs w:val="15"/>
                    </w:rPr>
                    <w:t>2.347</w:t>
                  </w:r>
                </w:p>
              </w:tc>
              <w:tc>
                <w:tcPr>
                  <w:tcW w:w="1004" w:type="dxa"/>
                  <w:shd w:val="clear" w:color="auto" w:fill="auto"/>
                  <w:tcMar>
                    <w:left w:w="78" w:type="dxa"/>
                  </w:tcMar>
                </w:tcPr>
                <w:p w14:paraId="6F9A824D" w14:textId="77777777" w:rsidR="004976E9" w:rsidRPr="00273ED1" w:rsidRDefault="00754531" w:rsidP="00E31E69">
                  <w:pPr>
                    <w:pStyle w:val="Paragraph"/>
                    <w:spacing w:before="0" w:after="0"/>
                    <w:jc w:val="right"/>
                    <w:rPr>
                      <w:rFonts w:cs="Arial"/>
                      <w:sz w:val="15"/>
                      <w:szCs w:val="15"/>
                    </w:rPr>
                  </w:pPr>
                  <w:r w:rsidRPr="00273ED1">
                    <w:rPr>
                      <w:rFonts w:ascii="Calibri Light" w:hAnsi="Calibri Light" w:cs="Arial"/>
                      <w:sz w:val="15"/>
                      <w:szCs w:val="15"/>
                    </w:rPr>
                    <w:t>1.409</w:t>
                  </w:r>
                </w:p>
              </w:tc>
              <w:tc>
                <w:tcPr>
                  <w:tcW w:w="1003" w:type="dxa"/>
                  <w:shd w:val="clear" w:color="auto" w:fill="auto"/>
                  <w:tcMar>
                    <w:left w:w="78" w:type="dxa"/>
                  </w:tcMar>
                  <w:vAlign w:val="bottom"/>
                </w:tcPr>
                <w:p w14:paraId="1585C467"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6.054</w:t>
                  </w:r>
                </w:p>
              </w:tc>
              <w:tc>
                <w:tcPr>
                  <w:tcW w:w="1004" w:type="dxa"/>
                  <w:shd w:val="clear" w:color="auto" w:fill="auto"/>
                  <w:tcMar>
                    <w:left w:w="78" w:type="dxa"/>
                  </w:tcMar>
                  <w:vAlign w:val="bottom"/>
                </w:tcPr>
                <w:p w14:paraId="47CC63C8"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4.448</w:t>
                  </w:r>
                </w:p>
              </w:tc>
              <w:tc>
                <w:tcPr>
                  <w:tcW w:w="1015" w:type="dxa"/>
                  <w:tcBorders>
                    <w:left w:val="single" w:sz="4" w:space="0" w:color="BFBFBF"/>
                    <w:right w:val="single" w:sz="4" w:space="0" w:color="BFBFBF"/>
                  </w:tcBorders>
                  <w:shd w:val="clear" w:color="auto" w:fill="auto"/>
                  <w:tcMar>
                    <w:left w:w="78" w:type="dxa"/>
                  </w:tcMar>
                  <w:vAlign w:val="bottom"/>
                </w:tcPr>
                <w:p w14:paraId="071CCA9F"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2.495</w:t>
                  </w:r>
                </w:p>
              </w:tc>
            </w:tr>
            <w:tr w:rsidR="004976E9" w:rsidRPr="00273ED1" w14:paraId="1361F3A3" w14:textId="77777777" w:rsidTr="00E31E69">
              <w:trPr>
                <w:trHeight w:val="170"/>
              </w:trPr>
              <w:tc>
                <w:tcPr>
                  <w:tcW w:w="2231" w:type="dxa"/>
                  <w:tcBorders>
                    <w:left w:val="single" w:sz="4" w:space="0" w:color="BFBFBF"/>
                  </w:tcBorders>
                  <w:shd w:val="clear" w:color="auto" w:fill="auto"/>
                  <w:tcMar>
                    <w:left w:w="78" w:type="dxa"/>
                  </w:tcMar>
                  <w:vAlign w:val="bottom"/>
                </w:tcPr>
                <w:p w14:paraId="7312B8F2" w14:textId="77777777" w:rsidR="004976E9" w:rsidRPr="00273ED1" w:rsidRDefault="004976E9" w:rsidP="00E31E69">
                  <w:pPr>
                    <w:pStyle w:val="Paragraph"/>
                    <w:spacing w:before="0" w:after="0"/>
                    <w:rPr>
                      <w:sz w:val="15"/>
                      <w:szCs w:val="15"/>
                    </w:rPr>
                  </w:pPr>
                  <w:r w:rsidRPr="00273ED1">
                    <w:rPr>
                      <w:rFonts w:ascii="Calibri Light" w:hAnsi="Calibri Light" w:cs="Arial"/>
                      <w:sz w:val="15"/>
                      <w:szCs w:val="15"/>
                    </w:rPr>
                    <w:t>Utili operativi</w:t>
                  </w:r>
                  <w:r w:rsidR="00754531" w:rsidRPr="00273ED1">
                    <w:rPr>
                      <w:rFonts w:ascii="Calibri Light" w:hAnsi="Calibri Light" w:cs="Arial"/>
                      <w:sz w:val="15"/>
                      <w:szCs w:val="15"/>
                    </w:rPr>
                    <w:t>/perdite</w:t>
                  </w:r>
                </w:p>
              </w:tc>
              <w:tc>
                <w:tcPr>
                  <w:tcW w:w="1001" w:type="dxa"/>
                  <w:shd w:val="clear" w:color="auto" w:fill="auto"/>
                  <w:tcMar>
                    <w:left w:w="78" w:type="dxa"/>
                  </w:tcMar>
                </w:tcPr>
                <w:p w14:paraId="304E1620" w14:textId="77777777" w:rsidR="004976E9" w:rsidRPr="00273ED1" w:rsidRDefault="00754531" w:rsidP="00E31E69">
                  <w:pPr>
                    <w:pStyle w:val="Paragraph"/>
                    <w:spacing w:before="0" w:after="0"/>
                    <w:jc w:val="right"/>
                    <w:rPr>
                      <w:rFonts w:cs="Arial"/>
                      <w:color w:val="000000" w:themeColor="text1"/>
                      <w:sz w:val="15"/>
                      <w:szCs w:val="15"/>
                    </w:rPr>
                  </w:pPr>
                  <w:r w:rsidRPr="00273ED1">
                    <w:rPr>
                      <w:rFonts w:ascii="Calibri Light" w:hAnsi="Calibri Light" w:cs="Arial"/>
                      <w:sz w:val="15"/>
                      <w:szCs w:val="15"/>
                    </w:rPr>
                    <w:t>524</w:t>
                  </w:r>
                </w:p>
              </w:tc>
              <w:tc>
                <w:tcPr>
                  <w:tcW w:w="1004" w:type="dxa"/>
                  <w:shd w:val="clear" w:color="auto" w:fill="auto"/>
                  <w:tcMar>
                    <w:left w:w="78" w:type="dxa"/>
                  </w:tcMar>
                </w:tcPr>
                <w:p w14:paraId="3EB386FE" w14:textId="77777777" w:rsidR="004976E9" w:rsidRPr="00273ED1" w:rsidRDefault="00754531" w:rsidP="00E31E69">
                  <w:pPr>
                    <w:pStyle w:val="Paragraph"/>
                    <w:spacing w:before="0" w:after="0"/>
                    <w:jc w:val="right"/>
                    <w:rPr>
                      <w:rFonts w:cs="Arial"/>
                      <w:sz w:val="15"/>
                      <w:szCs w:val="15"/>
                    </w:rPr>
                  </w:pPr>
                  <w:r w:rsidRPr="00273ED1">
                    <w:rPr>
                      <w:rFonts w:ascii="Calibri Light" w:hAnsi="Calibri Light" w:cs="Arial"/>
                      <w:sz w:val="15"/>
                      <w:szCs w:val="15"/>
                    </w:rPr>
                    <w:t>1.268</w:t>
                  </w:r>
                </w:p>
              </w:tc>
              <w:tc>
                <w:tcPr>
                  <w:tcW w:w="1003" w:type="dxa"/>
                  <w:shd w:val="clear" w:color="auto" w:fill="auto"/>
                  <w:tcMar>
                    <w:left w:w="78" w:type="dxa"/>
                  </w:tcMar>
                  <w:vAlign w:val="bottom"/>
                </w:tcPr>
                <w:p w14:paraId="084E8F0D" w14:textId="77777777" w:rsidR="004976E9" w:rsidRPr="00273ED1" w:rsidRDefault="004976E9" w:rsidP="00E31E69">
                  <w:pPr>
                    <w:pStyle w:val="Paragraph"/>
                    <w:spacing w:before="0" w:after="0"/>
                    <w:jc w:val="right"/>
                    <w:rPr>
                      <w:rFonts w:cs="Arial"/>
                      <w:color w:val="000000" w:themeColor="text1"/>
                      <w:sz w:val="15"/>
                      <w:szCs w:val="15"/>
                    </w:rPr>
                  </w:pPr>
                  <w:r w:rsidRPr="00273ED1">
                    <w:rPr>
                      <w:rFonts w:ascii="Calibri Light" w:hAnsi="Calibri Light" w:cs="Arial"/>
                      <w:color w:val="000000" w:themeColor="text1"/>
                      <w:sz w:val="15"/>
                      <w:szCs w:val="15"/>
                    </w:rPr>
                    <w:t>-309</w:t>
                  </w:r>
                </w:p>
              </w:tc>
              <w:tc>
                <w:tcPr>
                  <w:tcW w:w="1004" w:type="dxa"/>
                  <w:shd w:val="clear" w:color="auto" w:fill="auto"/>
                  <w:tcMar>
                    <w:left w:w="78" w:type="dxa"/>
                  </w:tcMar>
                  <w:vAlign w:val="bottom"/>
                </w:tcPr>
                <w:p w14:paraId="48D291DB"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1.424</w:t>
                  </w:r>
                </w:p>
              </w:tc>
              <w:tc>
                <w:tcPr>
                  <w:tcW w:w="1015" w:type="dxa"/>
                  <w:tcBorders>
                    <w:left w:val="single" w:sz="4" w:space="0" w:color="BFBFBF"/>
                    <w:right w:val="single" w:sz="4" w:space="0" w:color="BFBFBF"/>
                  </w:tcBorders>
                  <w:shd w:val="clear" w:color="auto" w:fill="auto"/>
                  <w:tcMar>
                    <w:left w:w="78" w:type="dxa"/>
                  </w:tcMar>
                  <w:vAlign w:val="bottom"/>
                </w:tcPr>
                <w:p w14:paraId="513257DF"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25.859</w:t>
                  </w:r>
                </w:p>
              </w:tc>
            </w:tr>
            <w:tr w:rsidR="004976E9" w:rsidRPr="00273ED1" w14:paraId="64363AFD" w14:textId="77777777" w:rsidTr="00E31E69">
              <w:trPr>
                <w:trHeight w:val="170"/>
              </w:trPr>
              <w:tc>
                <w:tcPr>
                  <w:tcW w:w="2231" w:type="dxa"/>
                  <w:tcBorders>
                    <w:left w:val="single" w:sz="4" w:space="0" w:color="BFBFBF"/>
                  </w:tcBorders>
                  <w:shd w:val="clear" w:color="auto" w:fill="auto"/>
                  <w:tcMar>
                    <w:left w:w="78" w:type="dxa"/>
                  </w:tcMar>
                  <w:vAlign w:val="bottom"/>
                </w:tcPr>
                <w:p w14:paraId="2FCC5DBA" w14:textId="77777777" w:rsidR="004976E9" w:rsidRPr="00273ED1" w:rsidRDefault="004976E9" w:rsidP="00E31E69">
                  <w:pPr>
                    <w:pStyle w:val="Paragraph"/>
                    <w:spacing w:before="0" w:after="0"/>
                    <w:rPr>
                      <w:sz w:val="15"/>
                      <w:szCs w:val="15"/>
                    </w:rPr>
                  </w:pPr>
                  <w:r w:rsidRPr="00273ED1">
                    <w:rPr>
                      <w:rFonts w:ascii="Calibri Light" w:hAnsi="Calibri Light" w:cs="Arial"/>
                      <w:sz w:val="15"/>
                      <w:szCs w:val="15"/>
                    </w:rPr>
                    <w:t>Utili/perdite ante imposte sul reddito</w:t>
                  </w:r>
                </w:p>
              </w:tc>
              <w:tc>
                <w:tcPr>
                  <w:tcW w:w="1001" w:type="dxa"/>
                  <w:shd w:val="clear" w:color="auto" w:fill="auto"/>
                  <w:tcMar>
                    <w:left w:w="78" w:type="dxa"/>
                  </w:tcMar>
                </w:tcPr>
                <w:p w14:paraId="4E34742C" w14:textId="77777777" w:rsidR="004976E9" w:rsidRPr="00273ED1" w:rsidRDefault="00754531" w:rsidP="00E31E69">
                  <w:pPr>
                    <w:pStyle w:val="Paragraph"/>
                    <w:spacing w:before="0" w:after="0"/>
                    <w:jc w:val="right"/>
                    <w:rPr>
                      <w:rFonts w:cs="Arial"/>
                      <w:color w:val="000000" w:themeColor="text1"/>
                      <w:sz w:val="15"/>
                      <w:szCs w:val="15"/>
                    </w:rPr>
                  </w:pPr>
                  <w:r w:rsidRPr="00273ED1">
                    <w:rPr>
                      <w:rFonts w:ascii="Calibri Light" w:hAnsi="Calibri Light" w:cs="Arial"/>
                      <w:sz w:val="15"/>
                      <w:szCs w:val="15"/>
                    </w:rPr>
                    <w:t>2.269</w:t>
                  </w:r>
                </w:p>
              </w:tc>
              <w:tc>
                <w:tcPr>
                  <w:tcW w:w="1004" w:type="dxa"/>
                  <w:shd w:val="clear" w:color="auto" w:fill="auto"/>
                  <w:tcMar>
                    <w:left w:w="78" w:type="dxa"/>
                  </w:tcMar>
                </w:tcPr>
                <w:p w14:paraId="4D59A063" w14:textId="77777777" w:rsidR="004976E9" w:rsidRPr="00273ED1" w:rsidRDefault="00394D4E" w:rsidP="00E31E69">
                  <w:pPr>
                    <w:pStyle w:val="Paragraph"/>
                    <w:spacing w:before="0" w:after="0"/>
                    <w:jc w:val="right"/>
                    <w:rPr>
                      <w:rFonts w:cs="Arial"/>
                      <w:sz w:val="15"/>
                      <w:szCs w:val="15"/>
                    </w:rPr>
                  </w:pPr>
                  <w:r w:rsidRPr="00273ED1">
                    <w:rPr>
                      <w:rFonts w:ascii="Calibri Light" w:hAnsi="Calibri Light" w:cs="Arial"/>
                      <w:sz w:val="15"/>
                      <w:szCs w:val="15"/>
                    </w:rPr>
                    <w:t>3.135</w:t>
                  </w:r>
                </w:p>
              </w:tc>
              <w:tc>
                <w:tcPr>
                  <w:tcW w:w="1003" w:type="dxa"/>
                  <w:shd w:val="clear" w:color="auto" w:fill="auto"/>
                  <w:tcMar>
                    <w:left w:w="78" w:type="dxa"/>
                  </w:tcMar>
                  <w:vAlign w:val="bottom"/>
                </w:tcPr>
                <w:p w14:paraId="026ADF18"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-3.808</w:t>
                  </w:r>
                </w:p>
              </w:tc>
              <w:tc>
                <w:tcPr>
                  <w:tcW w:w="1004" w:type="dxa"/>
                  <w:shd w:val="clear" w:color="auto" w:fill="auto"/>
                  <w:tcMar>
                    <w:left w:w="78" w:type="dxa"/>
                  </w:tcMar>
                  <w:vAlign w:val="bottom"/>
                </w:tcPr>
                <w:p w14:paraId="58FD4920" w14:textId="77777777" w:rsidR="004976E9" w:rsidRPr="00273ED1" w:rsidRDefault="004976E9" w:rsidP="00E31E69">
                  <w:pPr>
                    <w:pStyle w:val="Paragraph"/>
                    <w:spacing w:before="0" w:after="0"/>
                    <w:jc w:val="right"/>
                    <w:rPr>
                      <w:sz w:val="15"/>
                      <w:szCs w:val="15"/>
                    </w:rPr>
                  </w:pPr>
                  <w:r w:rsidRPr="00273ED1">
                    <w:rPr>
                      <w:rFonts w:ascii="Calibri Light" w:hAnsi="Calibri Light" w:cs="Arial"/>
                      <w:sz w:val="15"/>
                      <w:szCs w:val="15"/>
                    </w:rPr>
                    <w:t>-1.169</w:t>
                  </w:r>
                </w:p>
              </w:tc>
              <w:tc>
                <w:tcPr>
                  <w:tcW w:w="1015" w:type="dxa"/>
                  <w:tcBorders>
                    <w:left w:val="single" w:sz="4" w:space="0" w:color="BFBFBF"/>
                    <w:right w:val="single" w:sz="4" w:space="0" w:color="BFBFBF"/>
                  </w:tcBorders>
                  <w:shd w:val="clear" w:color="auto" w:fill="auto"/>
                  <w:tcMar>
                    <w:left w:w="78" w:type="dxa"/>
                  </w:tcMar>
                  <w:vAlign w:val="bottom"/>
                </w:tcPr>
                <w:p w14:paraId="07EB2D51" w14:textId="77777777" w:rsidR="004976E9" w:rsidRPr="00273ED1" w:rsidRDefault="004976E9" w:rsidP="00E31E69">
                  <w:pPr>
                    <w:pStyle w:val="Paragraph"/>
                    <w:spacing w:before="0" w:after="0"/>
                    <w:jc w:val="right"/>
                    <w:rPr>
                      <w:sz w:val="15"/>
                      <w:szCs w:val="15"/>
                    </w:rPr>
                  </w:pPr>
                  <w:r w:rsidRPr="00273ED1">
                    <w:rPr>
                      <w:rFonts w:ascii="Calibri Light" w:hAnsi="Calibri Light" w:cs="Arial"/>
                      <w:sz w:val="15"/>
                      <w:szCs w:val="15"/>
                    </w:rPr>
                    <w:t>23.143</w:t>
                  </w:r>
                </w:p>
              </w:tc>
            </w:tr>
            <w:tr w:rsidR="004976E9" w:rsidRPr="00273ED1" w14:paraId="22BA5D0D" w14:textId="77777777" w:rsidTr="00E31E69">
              <w:trPr>
                <w:trHeight w:val="170"/>
              </w:trPr>
              <w:tc>
                <w:tcPr>
                  <w:tcW w:w="2231" w:type="dxa"/>
                  <w:tcBorders>
                    <w:left w:val="single" w:sz="4" w:space="0" w:color="BFBFBF"/>
                  </w:tcBorders>
                  <w:shd w:val="clear" w:color="auto" w:fill="auto"/>
                  <w:tcMar>
                    <w:left w:w="78" w:type="dxa"/>
                  </w:tcMar>
                  <w:vAlign w:val="bottom"/>
                </w:tcPr>
                <w:p w14:paraId="0F81EF74" w14:textId="77777777" w:rsidR="004976E9" w:rsidRPr="00273ED1" w:rsidRDefault="004976E9" w:rsidP="00E31E69">
                  <w:pPr>
                    <w:pStyle w:val="Paragraph"/>
                    <w:spacing w:before="0" w:after="0"/>
                    <w:rPr>
                      <w:sz w:val="15"/>
                      <w:szCs w:val="15"/>
                    </w:rPr>
                  </w:pPr>
                  <w:r w:rsidRPr="00273ED1">
                    <w:rPr>
                      <w:rFonts w:ascii="Calibri Light" w:hAnsi="Calibri Light" w:cs="Arial"/>
                      <w:sz w:val="15"/>
                      <w:szCs w:val="15"/>
                    </w:rPr>
                    <w:t>Utili/perdita netti del periodo</w:t>
                  </w:r>
                </w:p>
              </w:tc>
              <w:tc>
                <w:tcPr>
                  <w:tcW w:w="1001" w:type="dxa"/>
                  <w:shd w:val="clear" w:color="auto" w:fill="auto"/>
                  <w:tcMar>
                    <w:left w:w="78" w:type="dxa"/>
                  </w:tcMar>
                </w:tcPr>
                <w:p w14:paraId="06CBEC11" w14:textId="77777777" w:rsidR="004976E9" w:rsidRPr="00273ED1" w:rsidRDefault="00754531" w:rsidP="00E31E69">
                  <w:pPr>
                    <w:pStyle w:val="Paragraph"/>
                    <w:spacing w:before="0" w:after="0"/>
                    <w:jc w:val="right"/>
                    <w:rPr>
                      <w:rFonts w:cs="Arial"/>
                      <w:color w:val="000000" w:themeColor="text1"/>
                      <w:sz w:val="15"/>
                      <w:szCs w:val="15"/>
                    </w:rPr>
                  </w:pPr>
                  <w:r w:rsidRPr="00273ED1">
                    <w:rPr>
                      <w:rFonts w:ascii="Calibri Light" w:hAnsi="Calibri Light" w:cs="Arial"/>
                      <w:sz w:val="15"/>
                      <w:szCs w:val="15"/>
                    </w:rPr>
                    <w:t>2.310</w:t>
                  </w:r>
                </w:p>
              </w:tc>
              <w:tc>
                <w:tcPr>
                  <w:tcW w:w="1004" w:type="dxa"/>
                  <w:shd w:val="clear" w:color="auto" w:fill="auto"/>
                  <w:tcMar>
                    <w:left w:w="78" w:type="dxa"/>
                  </w:tcMar>
                </w:tcPr>
                <w:p w14:paraId="582C011F" w14:textId="77777777" w:rsidR="004976E9" w:rsidRPr="00273ED1" w:rsidRDefault="00754531" w:rsidP="00E31E69">
                  <w:pPr>
                    <w:pStyle w:val="Paragraph"/>
                    <w:spacing w:before="0" w:after="0"/>
                    <w:jc w:val="right"/>
                    <w:rPr>
                      <w:rFonts w:cs="Arial"/>
                      <w:color w:val="000000" w:themeColor="text1"/>
                      <w:sz w:val="15"/>
                      <w:szCs w:val="15"/>
                    </w:rPr>
                  </w:pPr>
                  <w:r w:rsidRPr="00273ED1">
                    <w:rPr>
                      <w:rFonts w:ascii="Calibri Light" w:hAnsi="Calibri Light" w:cs="Arial"/>
                      <w:sz w:val="15"/>
                      <w:szCs w:val="15"/>
                    </w:rPr>
                    <w:t>3.149</w:t>
                  </w:r>
                </w:p>
              </w:tc>
              <w:tc>
                <w:tcPr>
                  <w:tcW w:w="1003" w:type="dxa"/>
                  <w:shd w:val="clear" w:color="auto" w:fill="auto"/>
                  <w:tcMar>
                    <w:left w:w="78" w:type="dxa"/>
                  </w:tcMar>
                  <w:vAlign w:val="bottom"/>
                </w:tcPr>
                <w:p w14:paraId="2B33DDE7"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-4.025</w:t>
                  </w:r>
                </w:p>
              </w:tc>
              <w:tc>
                <w:tcPr>
                  <w:tcW w:w="1004" w:type="dxa"/>
                  <w:shd w:val="clear" w:color="auto" w:fill="auto"/>
                  <w:tcMar>
                    <w:left w:w="78" w:type="dxa"/>
                  </w:tcMar>
                  <w:vAlign w:val="bottom"/>
                </w:tcPr>
                <w:p w14:paraId="7FD4A002" w14:textId="77777777" w:rsidR="004976E9" w:rsidRPr="00273ED1" w:rsidRDefault="004976E9" w:rsidP="00E31E69">
                  <w:pPr>
                    <w:pStyle w:val="Paragraph"/>
                    <w:spacing w:before="0" w:after="0"/>
                    <w:jc w:val="right"/>
                    <w:rPr>
                      <w:sz w:val="15"/>
                      <w:szCs w:val="15"/>
                    </w:rPr>
                  </w:pPr>
                  <w:r w:rsidRPr="00273ED1">
                    <w:rPr>
                      <w:rFonts w:ascii="Calibri Light" w:hAnsi="Calibri Light" w:cs="Arial"/>
                      <w:sz w:val="15"/>
                      <w:szCs w:val="15"/>
                    </w:rPr>
                    <w:t>-2.010</w:t>
                  </w:r>
                </w:p>
              </w:tc>
              <w:tc>
                <w:tcPr>
                  <w:tcW w:w="1015" w:type="dxa"/>
                  <w:tcBorders>
                    <w:left w:val="single" w:sz="4" w:space="0" w:color="BFBFBF"/>
                    <w:right w:val="single" w:sz="4" w:space="0" w:color="BFBFBF"/>
                  </w:tcBorders>
                  <w:shd w:val="clear" w:color="auto" w:fill="auto"/>
                  <w:tcMar>
                    <w:left w:w="78" w:type="dxa"/>
                  </w:tcMar>
                  <w:vAlign w:val="bottom"/>
                </w:tcPr>
                <w:p w14:paraId="1B0B7CAB" w14:textId="77777777" w:rsidR="004976E9" w:rsidRPr="00273ED1" w:rsidRDefault="004976E9" w:rsidP="00E31E69">
                  <w:pPr>
                    <w:pStyle w:val="Paragraph"/>
                    <w:spacing w:before="0" w:after="0"/>
                    <w:jc w:val="right"/>
                    <w:rPr>
                      <w:sz w:val="15"/>
                      <w:szCs w:val="15"/>
                    </w:rPr>
                  </w:pPr>
                  <w:r w:rsidRPr="00273ED1">
                    <w:rPr>
                      <w:rFonts w:ascii="Calibri Light" w:hAnsi="Calibri Light" w:cs="Arial"/>
                      <w:sz w:val="15"/>
                      <w:szCs w:val="15"/>
                    </w:rPr>
                    <w:t>21.235</w:t>
                  </w:r>
                </w:p>
              </w:tc>
            </w:tr>
            <w:tr w:rsidR="004976E9" w:rsidRPr="00273ED1" w14:paraId="5D8A80B8" w14:textId="77777777" w:rsidTr="00E31E69">
              <w:trPr>
                <w:trHeight w:val="170"/>
              </w:trPr>
              <w:tc>
                <w:tcPr>
                  <w:tcW w:w="7258" w:type="dxa"/>
                  <w:gridSpan w:val="6"/>
                  <w:tcBorders>
                    <w:top w:val="single" w:sz="4" w:space="0" w:color="BFBFBF"/>
                    <w:left w:val="single" w:sz="4" w:space="0" w:color="BFBFBF"/>
                    <w:bottom w:val="single" w:sz="4" w:space="0" w:color="BFBFBF"/>
                  </w:tcBorders>
                  <w:shd w:val="clear" w:color="auto" w:fill="auto"/>
                  <w:tcMar>
                    <w:left w:w="78" w:type="dxa"/>
                  </w:tcMar>
                  <w:vAlign w:val="center"/>
                </w:tcPr>
                <w:p w14:paraId="629086A6" w14:textId="77777777" w:rsidR="004976E9" w:rsidRPr="00273ED1" w:rsidRDefault="004976E9" w:rsidP="00E31E69">
                  <w:pPr>
                    <w:pStyle w:val="Paragraph"/>
                    <w:spacing w:before="0" w:after="0"/>
                    <w:rPr>
                      <w:sz w:val="15"/>
                      <w:szCs w:val="15"/>
                    </w:rPr>
                  </w:pPr>
                  <w:bookmarkStart w:id="129" w:name="_Hlk4887646401"/>
                  <w:bookmarkEnd w:id="129"/>
                  <w:r w:rsidRPr="00273ED1">
                    <w:rPr>
                      <w:rFonts w:ascii="Calibri Light" w:hAnsi="Calibri Light" w:cs="Arial"/>
                      <w:i/>
                      <w:iCs/>
                      <w:color w:val="000000" w:themeColor="text1"/>
                      <w:sz w:val="15"/>
                      <w:szCs w:val="15"/>
                      <w:lang w:eastAsia="lt-LT"/>
                    </w:rPr>
                    <w:t>Fonte: Bilanci, la Società</w:t>
                  </w:r>
                </w:p>
              </w:tc>
            </w:tr>
          </w:tbl>
          <w:p w14:paraId="2578FAB2" w14:textId="77777777" w:rsidR="004976E9" w:rsidRPr="00273ED1" w:rsidRDefault="004976E9" w:rsidP="00E31E69">
            <w:pPr>
              <w:jc w:val="both"/>
              <w:rPr>
                <w:sz w:val="15"/>
                <w:szCs w:val="15"/>
              </w:rPr>
            </w:pPr>
            <w:r w:rsidRPr="00273ED1">
              <w:rPr>
                <w:rFonts w:ascii="Arial" w:hAnsi="Arial" w:cs="Arial"/>
                <w:sz w:val="15"/>
                <w:szCs w:val="15"/>
              </w:rPr>
              <w:t>Informazioni selezionate dalla Dichiarazione Consolidata di Posizione Finanziaria</w:t>
            </w:r>
          </w:p>
          <w:tbl>
            <w:tblPr>
              <w:tblStyle w:val="TableGrid"/>
              <w:tblW w:w="7259" w:type="dxa"/>
              <w:tblBorders>
                <w:top w:val="single" w:sz="4" w:space="0" w:color="BFBFBF"/>
                <w:left w:val="single" w:sz="4" w:space="0" w:color="BFBFBF"/>
              </w:tblBorders>
              <w:tblCellMar>
                <w:left w:w="78" w:type="dxa"/>
              </w:tblCellMar>
              <w:tblLook w:val="04A0" w:firstRow="1" w:lastRow="0" w:firstColumn="1" w:lastColumn="0" w:noHBand="0" w:noVBand="1"/>
            </w:tblPr>
            <w:tblGrid>
              <w:gridCol w:w="2683"/>
              <w:gridCol w:w="1145"/>
              <w:gridCol w:w="1139"/>
              <w:gridCol w:w="1141"/>
              <w:gridCol w:w="1151"/>
            </w:tblGrid>
            <w:tr w:rsidR="004976E9" w:rsidRPr="00273ED1" w14:paraId="0C254493" w14:textId="77777777" w:rsidTr="00E31E69">
              <w:trPr>
                <w:trHeight w:val="170"/>
              </w:trPr>
              <w:tc>
                <w:tcPr>
                  <w:tcW w:w="2683" w:type="dxa"/>
                  <w:tcBorders>
                    <w:top w:val="single" w:sz="4" w:space="0" w:color="BFBFBF"/>
                    <w:left w:val="single" w:sz="4" w:space="0" w:color="BFBFBF"/>
                  </w:tcBorders>
                  <w:shd w:val="clear" w:color="auto" w:fill="C8501E"/>
                  <w:tcMar>
                    <w:left w:w="78" w:type="dxa"/>
                  </w:tcMar>
                </w:tcPr>
                <w:p w14:paraId="2D364F10" w14:textId="77777777" w:rsidR="004976E9" w:rsidRPr="00273ED1" w:rsidRDefault="004976E9" w:rsidP="00E31E69">
                  <w:pPr>
                    <w:pStyle w:val="Paragraph"/>
                    <w:spacing w:before="0" w:after="0"/>
                    <w:rPr>
                      <w:sz w:val="15"/>
                      <w:szCs w:val="15"/>
                    </w:rPr>
                  </w:pPr>
                  <w:r w:rsidRPr="00273ED1">
                    <w:rPr>
                      <w:rFonts w:ascii="Calibri Light" w:hAnsi="Calibri Light" w:cs="Arial"/>
                      <w:i/>
                      <w:iCs/>
                      <w:color w:val="FFFFFF" w:themeColor="background1"/>
                      <w:sz w:val="15"/>
                      <w:szCs w:val="15"/>
                    </w:rPr>
                    <w:t>In migliaia di Euro</w:t>
                  </w:r>
                </w:p>
              </w:tc>
              <w:tc>
                <w:tcPr>
                  <w:tcW w:w="1145" w:type="dxa"/>
                  <w:tcBorders>
                    <w:top w:val="single" w:sz="4" w:space="0" w:color="BFBFBF"/>
                  </w:tcBorders>
                  <w:shd w:val="clear" w:color="auto" w:fill="C8501E"/>
                  <w:tcMar>
                    <w:left w:w="78" w:type="dxa"/>
                  </w:tcMar>
                </w:tcPr>
                <w:p w14:paraId="1783EED5" w14:textId="77777777" w:rsidR="004976E9" w:rsidRPr="00273ED1" w:rsidRDefault="00555C9F" w:rsidP="00E31E69">
                  <w:pPr>
                    <w:pStyle w:val="Paragraph"/>
                    <w:spacing w:before="0" w:after="0"/>
                    <w:jc w:val="right"/>
                    <w:rPr>
                      <w:sz w:val="15"/>
                      <w:szCs w:val="15"/>
                    </w:rPr>
                  </w:pPr>
                  <w:r w:rsidRPr="00273ED1">
                    <w:rPr>
                      <w:rFonts w:ascii="Calibri Light" w:hAnsi="Calibri Light" w:cs="Arial"/>
                      <w:color w:val="FFFFFF" w:themeColor="background1"/>
                      <w:sz w:val="15"/>
                      <w:szCs w:val="15"/>
                    </w:rPr>
                    <w:t>30 giugno</w:t>
                  </w:r>
                </w:p>
              </w:tc>
              <w:tc>
                <w:tcPr>
                  <w:tcW w:w="3431" w:type="dxa"/>
                  <w:gridSpan w:val="3"/>
                  <w:tcBorders>
                    <w:top w:val="single" w:sz="4" w:space="0" w:color="BFBFBF"/>
                    <w:left w:val="single" w:sz="4" w:space="0" w:color="BFBFBF"/>
                    <w:right w:val="single" w:sz="4" w:space="0" w:color="BFBFBF"/>
                  </w:tcBorders>
                  <w:shd w:val="clear" w:color="auto" w:fill="C8501E"/>
                  <w:tcMar>
                    <w:left w:w="78" w:type="dxa"/>
                  </w:tcMar>
                </w:tcPr>
                <w:p w14:paraId="3B6E28F0" w14:textId="77777777" w:rsidR="004976E9" w:rsidRPr="00273ED1" w:rsidRDefault="004976E9" w:rsidP="00E31E69">
                  <w:pPr>
                    <w:pStyle w:val="Paragraph"/>
                    <w:spacing w:before="0" w:after="0"/>
                    <w:jc w:val="center"/>
                    <w:rPr>
                      <w:sz w:val="15"/>
                      <w:szCs w:val="15"/>
                    </w:rPr>
                  </w:pPr>
                  <w:r w:rsidRPr="00273ED1">
                    <w:rPr>
                      <w:rFonts w:ascii="Calibri Light" w:hAnsi="Calibri Light" w:cs="Arial"/>
                      <w:color w:val="FFFFFF" w:themeColor="background1"/>
                      <w:sz w:val="15"/>
                      <w:szCs w:val="15"/>
                    </w:rPr>
                    <w:t>31 dicembre</w:t>
                  </w:r>
                </w:p>
              </w:tc>
            </w:tr>
            <w:tr w:rsidR="004976E9" w:rsidRPr="00273ED1" w14:paraId="47563F81" w14:textId="77777777" w:rsidTr="00E31E69">
              <w:trPr>
                <w:trHeight w:val="170"/>
              </w:trPr>
              <w:tc>
                <w:tcPr>
                  <w:tcW w:w="2683" w:type="dxa"/>
                  <w:tcBorders>
                    <w:left w:val="single" w:sz="4" w:space="0" w:color="BFBFBF"/>
                  </w:tcBorders>
                  <w:shd w:val="clear" w:color="auto" w:fill="C8501E"/>
                  <w:tcMar>
                    <w:left w:w="78" w:type="dxa"/>
                  </w:tcMar>
                </w:tcPr>
                <w:p w14:paraId="0CC47686" w14:textId="77777777" w:rsidR="004976E9" w:rsidRPr="00273ED1" w:rsidRDefault="004976E9" w:rsidP="00E31E69">
                  <w:pPr>
                    <w:pStyle w:val="Paragraph"/>
                    <w:spacing w:before="0" w:after="0"/>
                    <w:rPr>
                      <w:rFonts w:asciiTheme="majorHAnsi" w:hAnsiTheme="majorHAnsi" w:cs="Arial"/>
                      <w:color w:val="FFFFFF"/>
                      <w:sz w:val="15"/>
                      <w:szCs w:val="15"/>
                    </w:rPr>
                  </w:pPr>
                </w:p>
              </w:tc>
              <w:tc>
                <w:tcPr>
                  <w:tcW w:w="1145" w:type="dxa"/>
                  <w:shd w:val="clear" w:color="auto" w:fill="C8501E"/>
                  <w:tcMar>
                    <w:left w:w="78" w:type="dxa"/>
                  </w:tcMar>
                </w:tcPr>
                <w:p w14:paraId="6803B237" w14:textId="77777777" w:rsidR="004976E9" w:rsidRPr="00273ED1" w:rsidRDefault="004976E9" w:rsidP="00E31E69">
                  <w:pPr>
                    <w:pStyle w:val="Paragraph"/>
                    <w:spacing w:before="0" w:after="0"/>
                    <w:jc w:val="right"/>
                    <w:rPr>
                      <w:rFonts w:cs="Arial"/>
                      <w:color w:val="FFFFFF" w:themeColor="background1"/>
                      <w:sz w:val="15"/>
                      <w:szCs w:val="15"/>
                    </w:rPr>
                  </w:pPr>
                  <w:r w:rsidRPr="00273ED1">
                    <w:rPr>
                      <w:rFonts w:ascii="Calibri Light" w:hAnsi="Calibri Light" w:cs="Arial"/>
                      <w:color w:val="FFFFFF" w:themeColor="background1"/>
                      <w:sz w:val="15"/>
                      <w:szCs w:val="15"/>
                    </w:rPr>
                    <w:t>2017</w:t>
                  </w:r>
                </w:p>
              </w:tc>
              <w:tc>
                <w:tcPr>
                  <w:tcW w:w="1139" w:type="dxa"/>
                  <w:shd w:val="clear" w:color="auto" w:fill="C8501E"/>
                  <w:tcMar>
                    <w:left w:w="78" w:type="dxa"/>
                  </w:tcMar>
                </w:tcPr>
                <w:p w14:paraId="70D8E961" w14:textId="77777777" w:rsidR="004976E9" w:rsidRPr="00273ED1" w:rsidRDefault="004976E9" w:rsidP="00E31E69">
                  <w:pPr>
                    <w:pStyle w:val="Paragraph"/>
                    <w:spacing w:before="0" w:after="0"/>
                    <w:jc w:val="right"/>
                    <w:rPr>
                      <w:rFonts w:cs="Arial"/>
                      <w:color w:val="FFFFFF" w:themeColor="background1"/>
                      <w:sz w:val="15"/>
                      <w:szCs w:val="15"/>
                    </w:rPr>
                  </w:pPr>
                  <w:r w:rsidRPr="00273ED1">
                    <w:rPr>
                      <w:rFonts w:ascii="Calibri Light" w:hAnsi="Calibri Light" w:cs="Arial"/>
                      <w:color w:val="FFFFFF" w:themeColor="background1"/>
                      <w:sz w:val="15"/>
                      <w:szCs w:val="15"/>
                    </w:rPr>
                    <w:t>2016</w:t>
                  </w:r>
                </w:p>
              </w:tc>
              <w:tc>
                <w:tcPr>
                  <w:tcW w:w="1141" w:type="dxa"/>
                  <w:shd w:val="clear" w:color="auto" w:fill="C8501E"/>
                  <w:tcMar>
                    <w:left w:w="78" w:type="dxa"/>
                  </w:tcMar>
                </w:tcPr>
                <w:p w14:paraId="4C7E22AD" w14:textId="77777777" w:rsidR="004976E9" w:rsidRPr="00273ED1" w:rsidRDefault="004976E9" w:rsidP="00E31E69">
                  <w:pPr>
                    <w:pStyle w:val="Paragraph"/>
                    <w:spacing w:before="0" w:after="0"/>
                    <w:jc w:val="right"/>
                    <w:rPr>
                      <w:rFonts w:cs="Arial"/>
                      <w:color w:val="FFFFFF" w:themeColor="background1"/>
                      <w:sz w:val="15"/>
                      <w:szCs w:val="15"/>
                    </w:rPr>
                  </w:pPr>
                  <w:r w:rsidRPr="00273ED1">
                    <w:rPr>
                      <w:rFonts w:ascii="Calibri Light" w:hAnsi="Calibri Light" w:cs="Arial"/>
                      <w:color w:val="FFFFFF" w:themeColor="background1"/>
                      <w:sz w:val="15"/>
                      <w:szCs w:val="15"/>
                    </w:rPr>
                    <w:t>2015</w:t>
                  </w:r>
                </w:p>
              </w:tc>
              <w:tc>
                <w:tcPr>
                  <w:tcW w:w="1151" w:type="dxa"/>
                  <w:tcBorders>
                    <w:left w:val="single" w:sz="4" w:space="0" w:color="BFBFBF"/>
                    <w:right w:val="single" w:sz="4" w:space="0" w:color="BFBFBF"/>
                  </w:tcBorders>
                  <w:shd w:val="clear" w:color="auto" w:fill="C8501E"/>
                  <w:tcMar>
                    <w:left w:w="78" w:type="dxa"/>
                  </w:tcMar>
                </w:tcPr>
                <w:p w14:paraId="1E052B2E" w14:textId="77777777" w:rsidR="004976E9" w:rsidRPr="00273ED1" w:rsidRDefault="004976E9" w:rsidP="00E31E69">
                  <w:pPr>
                    <w:pStyle w:val="Paragraph"/>
                    <w:spacing w:before="0" w:after="0"/>
                    <w:jc w:val="right"/>
                    <w:rPr>
                      <w:rFonts w:cs="Arial"/>
                      <w:color w:val="FFFFFF" w:themeColor="background1"/>
                      <w:sz w:val="15"/>
                      <w:szCs w:val="15"/>
                    </w:rPr>
                  </w:pPr>
                  <w:r w:rsidRPr="00273ED1">
                    <w:rPr>
                      <w:rFonts w:ascii="Calibri Light" w:hAnsi="Calibri Light" w:cs="Arial"/>
                      <w:color w:val="FFFFFF" w:themeColor="background1"/>
                      <w:sz w:val="15"/>
                      <w:szCs w:val="15"/>
                    </w:rPr>
                    <w:t>2014</w:t>
                  </w:r>
                </w:p>
              </w:tc>
            </w:tr>
            <w:tr w:rsidR="004976E9" w:rsidRPr="00273ED1" w14:paraId="684B271E" w14:textId="77777777" w:rsidTr="00E31E69">
              <w:trPr>
                <w:trHeight w:val="170"/>
              </w:trPr>
              <w:tc>
                <w:tcPr>
                  <w:tcW w:w="2683" w:type="dxa"/>
                  <w:tcBorders>
                    <w:left w:val="single" w:sz="4" w:space="0" w:color="BFBFBF"/>
                  </w:tcBorders>
                  <w:shd w:val="clear" w:color="auto" w:fill="auto"/>
                  <w:tcMar>
                    <w:left w:w="78" w:type="dxa"/>
                  </w:tcMar>
                  <w:vAlign w:val="bottom"/>
                </w:tcPr>
                <w:p w14:paraId="52CF0FC1" w14:textId="77777777" w:rsidR="004976E9" w:rsidRPr="00273ED1" w:rsidRDefault="004976E9" w:rsidP="00E31E69">
                  <w:pPr>
                    <w:pStyle w:val="Paragraph"/>
                    <w:spacing w:before="0" w:after="0"/>
                    <w:rPr>
                      <w:sz w:val="15"/>
                      <w:szCs w:val="15"/>
                    </w:rPr>
                  </w:pPr>
                  <w:bookmarkStart w:id="130" w:name="_Hlk488764699"/>
                  <w:bookmarkEnd w:id="130"/>
                  <w:r w:rsidRPr="00273ED1">
                    <w:rPr>
                      <w:rFonts w:ascii="Calibri Light" w:hAnsi="Calibri Light" w:cs="Arial"/>
                      <w:sz w:val="15"/>
                      <w:szCs w:val="15"/>
                    </w:rPr>
                    <w:t>Attivo corrente</w:t>
                  </w:r>
                </w:p>
              </w:tc>
              <w:tc>
                <w:tcPr>
                  <w:tcW w:w="1145" w:type="dxa"/>
                  <w:shd w:val="clear" w:color="auto" w:fill="auto"/>
                  <w:tcMar>
                    <w:left w:w="78" w:type="dxa"/>
                  </w:tcMar>
                </w:tcPr>
                <w:p w14:paraId="6C9C3B6C" w14:textId="77777777" w:rsidR="004976E9" w:rsidRPr="00273ED1" w:rsidRDefault="00754531" w:rsidP="00E31E69">
                  <w:pPr>
                    <w:pStyle w:val="Paragraph"/>
                    <w:spacing w:before="0" w:after="0"/>
                    <w:jc w:val="right"/>
                    <w:rPr>
                      <w:rFonts w:cs="Arial"/>
                      <w:sz w:val="15"/>
                      <w:szCs w:val="15"/>
                    </w:rPr>
                  </w:pPr>
                  <w:r w:rsidRPr="00273ED1">
                    <w:rPr>
                      <w:rFonts w:ascii="Calibri Light" w:hAnsi="Calibri Light" w:cs="Arial"/>
                      <w:sz w:val="15"/>
                      <w:szCs w:val="15"/>
                    </w:rPr>
                    <w:t>37.442</w:t>
                  </w:r>
                </w:p>
              </w:tc>
              <w:tc>
                <w:tcPr>
                  <w:tcW w:w="1139" w:type="dxa"/>
                  <w:shd w:val="clear" w:color="auto" w:fill="auto"/>
                  <w:tcMar>
                    <w:left w:w="78" w:type="dxa"/>
                  </w:tcMar>
                  <w:vAlign w:val="bottom"/>
                </w:tcPr>
                <w:p w14:paraId="40A0960C"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24.001</w:t>
                  </w:r>
                </w:p>
              </w:tc>
              <w:tc>
                <w:tcPr>
                  <w:tcW w:w="1141" w:type="dxa"/>
                  <w:shd w:val="clear" w:color="auto" w:fill="auto"/>
                  <w:tcMar>
                    <w:left w:w="78" w:type="dxa"/>
                  </w:tcMar>
                  <w:vAlign w:val="bottom"/>
                </w:tcPr>
                <w:p w14:paraId="6BA90EEB"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20.438</w:t>
                  </w:r>
                </w:p>
              </w:tc>
              <w:tc>
                <w:tcPr>
                  <w:tcW w:w="1151" w:type="dxa"/>
                  <w:tcBorders>
                    <w:left w:val="single" w:sz="4" w:space="0" w:color="BFBFBF"/>
                    <w:right w:val="single" w:sz="4" w:space="0" w:color="BFBFBF"/>
                  </w:tcBorders>
                  <w:shd w:val="clear" w:color="auto" w:fill="auto"/>
                  <w:tcMar>
                    <w:left w:w="78" w:type="dxa"/>
                  </w:tcMar>
                  <w:vAlign w:val="bottom"/>
                </w:tcPr>
                <w:p w14:paraId="4FAE2EED"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18.879</w:t>
                  </w:r>
                </w:p>
              </w:tc>
            </w:tr>
            <w:tr w:rsidR="004976E9" w:rsidRPr="00273ED1" w14:paraId="0BCB393B" w14:textId="77777777" w:rsidTr="00E31E69">
              <w:trPr>
                <w:trHeight w:val="170"/>
              </w:trPr>
              <w:tc>
                <w:tcPr>
                  <w:tcW w:w="2683" w:type="dxa"/>
                  <w:tcBorders>
                    <w:left w:val="single" w:sz="4" w:space="0" w:color="BFBFBF"/>
                  </w:tcBorders>
                  <w:shd w:val="clear" w:color="auto" w:fill="auto"/>
                  <w:tcMar>
                    <w:left w:w="78" w:type="dxa"/>
                  </w:tcMar>
                  <w:vAlign w:val="bottom"/>
                </w:tcPr>
                <w:p w14:paraId="26288EC1" w14:textId="77777777" w:rsidR="004976E9" w:rsidRPr="00273ED1" w:rsidRDefault="004976E9" w:rsidP="00E31E69">
                  <w:pPr>
                    <w:pStyle w:val="Paragraph"/>
                    <w:spacing w:before="0" w:after="0"/>
                    <w:rPr>
                      <w:sz w:val="15"/>
                      <w:szCs w:val="15"/>
                    </w:rPr>
                  </w:pPr>
                  <w:r w:rsidRPr="00273ED1">
                    <w:rPr>
                      <w:rFonts w:ascii="Calibri Light" w:hAnsi="Calibri Light" w:cs="Arial"/>
                      <w:sz w:val="15"/>
                      <w:szCs w:val="15"/>
                    </w:rPr>
                    <w:t>Immobilizzazioni</w:t>
                  </w:r>
                </w:p>
              </w:tc>
              <w:tc>
                <w:tcPr>
                  <w:tcW w:w="1145" w:type="dxa"/>
                  <w:shd w:val="clear" w:color="auto" w:fill="auto"/>
                  <w:tcMar>
                    <w:left w:w="78" w:type="dxa"/>
                  </w:tcMar>
                </w:tcPr>
                <w:p w14:paraId="7CF94851" w14:textId="77777777" w:rsidR="004976E9" w:rsidRPr="00273ED1" w:rsidRDefault="00754531" w:rsidP="00E31E69">
                  <w:pPr>
                    <w:pStyle w:val="Paragraph"/>
                    <w:spacing w:before="0" w:after="0"/>
                    <w:jc w:val="right"/>
                    <w:rPr>
                      <w:rFonts w:cs="Arial"/>
                      <w:sz w:val="15"/>
                      <w:szCs w:val="15"/>
                    </w:rPr>
                  </w:pPr>
                  <w:r w:rsidRPr="00273ED1">
                    <w:rPr>
                      <w:rFonts w:ascii="Calibri Light" w:hAnsi="Calibri Light" w:cs="Arial"/>
                      <w:sz w:val="15"/>
                      <w:szCs w:val="15"/>
                    </w:rPr>
                    <w:t>114.502</w:t>
                  </w:r>
                </w:p>
              </w:tc>
              <w:tc>
                <w:tcPr>
                  <w:tcW w:w="1139" w:type="dxa"/>
                  <w:shd w:val="clear" w:color="auto" w:fill="auto"/>
                  <w:tcMar>
                    <w:left w:w="78" w:type="dxa"/>
                  </w:tcMar>
                  <w:vAlign w:val="bottom"/>
                </w:tcPr>
                <w:p w14:paraId="02585333"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118.313</w:t>
                  </w:r>
                </w:p>
              </w:tc>
              <w:tc>
                <w:tcPr>
                  <w:tcW w:w="1141" w:type="dxa"/>
                  <w:shd w:val="clear" w:color="auto" w:fill="auto"/>
                  <w:tcMar>
                    <w:left w:w="78" w:type="dxa"/>
                  </w:tcMar>
                  <w:vAlign w:val="bottom"/>
                </w:tcPr>
                <w:p w14:paraId="117C841A"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109.885</w:t>
                  </w:r>
                </w:p>
              </w:tc>
              <w:tc>
                <w:tcPr>
                  <w:tcW w:w="1151" w:type="dxa"/>
                  <w:tcBorders>
                    <w:left w:val="single" w:sz="4" w:space="0" w:color="BFBFBF"/>
                    <w:right w:val="single" w:sz="4" w:space="0" w:color="BFBFBF"/>
                  </w:tcBorders>
                  <w:shd w:val="clear" w:color="auto" w:fill="auto"/>
                  <w:tcMar>
                    <w:left w:w="78" w:type="dxa"/>
                  </w:tcMar>
                  <w:vAlign w:val="bottom"/>
                </w:tcPr>
                <w:p w14:paraId="70E4923E"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106.152</w:t>
                  </w:r>
                </w:p>
              </w:tc>
            </w:tr>
            <w:tr w:rsidR="004976E9" w:rsidRPr="00273ED1" w14:paraId="3FAE5F9D" w14:textId="77777777" w:rsidTr="00E31E69">
              <w:trPr>
                <w:trHeight w:val="170"/>
              </w:trPr>
              <w:tc>
                <w:tcPr>
                  <w:tcW w:w="2683" w:type="dxa"/>
                  <w:tcBorders>
                    <w:left w:val="single" w:sz="4" w:space="0" w:color="BFBFBF"/>
                  </w:tcBorders>
                  <w:shd w:val="clear" w:color="auto" w:fill="auto"/>
                  <w:tcMar>
                    <w:left w:w="78" w:type="dxa"/>
                  </w:tcMar>
                  <w:vAlign w:val="bottom"/>
                </w:tcPr>
                <w:p w14:paraId="0E5F44B5" w14:textId="77777777" w:rsidR="004976E9" w:rsidRPr="00273ED1" w:rsidRDefault="004976E9" w:rsidP="00E31E69">
                  <w:pPr>
                    <w:pStyle w:val="Paragraph"/>
                    <w:spacing w:before="0" w:after="0"/>
                    <w:rPr>
                      <w:sz w:val="15"/>
                      <w:szCs w:val="15"/>
                    </w:rPr>
                  </w:pPr>
                  <w:r w:rsidRPr="00273ED1">
                    <w:rPr>
                      <w:rFonts w:ascii="Calibri Light" w:hAnsi="Calibri Light" w:cs="Arial"/>
                      <w:sz w:val="15"/>
                      <w:szCs w:val="15"/>
                    </w:rPr>
                    <w:t>Totale attività</w:t>
                  </w:r>
                </w:p>
              </w:tc>
              <w:tc>
                <w:tcPr>
                  <w:tcW w:w="1145" w:type="dxa"/>
                  <w:shd w:val="clear" w:color="auto" w:fill="auto"/>
                  <w:tcMar>
                    <w:left w:w="78" w:type="dxa"/>
                  </w:tcMar>
                </w:tcPr>
                <w:p w14:paraId="77DB9709" w14:textId="77777777" w:rsidR="004976E9" w:rsidRPr="00273ED1" w:rsidRDefault="00754531" w:rsidP="00E31E69">
                  <w:pPr>
                    <w:pStyle w:val="Paragraph"/>
                    <w:spacing w:before="0" w:after="0"/>
                    <w:jc w:val="right"/>
                    <w:rPr>
                      <w:rFonts w:cs="Arial"/>
                      <w:sz w:val="15"/>
                      <w:szCs w:val="15"/>
                    </w:rPr>
                  </w:pPr>
                  <w:r w:rsidRPr="00273ED1">
                    <w:rPr>
                      <w:rFonts w:ascii="Calibri Light" w:hAnsi="Calibri Light" w:cs="Arial"/>
                      <w:sz w:val="15"/>
                      <w:szCs w:val="15"/>
                    </w:rPr>
                    <w:t>151.944</w:t>
                  </w:r>
                </w:p>
              </w:tc>
              <w:tc>
                <w:tcPr>
                  <w:tcW w:w="1139" w:type="dxa"/>
                  <w:shd w:val="clear" w:color="auto" w:fill="auto"/>
                  <w:tcMar>
                    <w:left w:w="78" w:type="dxa"/>
                  </w:tcMar>
                  <w:vAlign w:val="bottom"/>
                </w:tcPr>
                <w:p w14:paraId="3E3E38D1"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142.314</w:t>
                  </w:r>
                </w:p>
              </w:tc>
              <w:tc>
                <w:tcPr>
                  <w:tcW w:w="1141" w:type="dxa"/>
                  <w:shd w:val="clear" w:color="auto" w:fill="auto"/>
                  <w:tcMar>
                    <w:left w:w="78" w:type="dxa"/>
                  </w:tcMar>
                  <w:vAlign w:val="bottom"/>
                </w:tcPr>
                <w:p w14:paraId="74169033"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130.323</w:t>
                  </w:r>
                </w:p>
              </w:tc>
              <w:tc>
                <w:tcPr>
                  <w:tcW w:w="1151" w:type="dxa"/>
                  <w:tcBorders>
                    <w:left w:val="single" w:sz="4" w:space="0" w:color="BFBFBF"/>
                    <w:right w:val="single" w:sz="4" w:space="0" w:color="BFBFBF"/>
                  </w:tcBorders>
                  <w:shd w:val="clear" w:color="auto" w:fill="auto"/>
                  <w:tcMar>
                    <w:left w:w="78" w:type="dxa"/>
                  </w:tcMar>
                  <w:vAlign w:val="bottom"/>
                </w:tcPr>
                <w:p w14:paraId="20A6F269"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125.031</w:t>
                  </w:r>
                </w:p>
              </w:tc>
            </w:tr>
            <w:tr w:rsidR="004976E9" w:rsidRPr="00273ED1" w14:paraId="46C20521" w14:textId="77777777" w:rsidTr="00E31E69">
              <w:trPr>
                <w:trHeight w:val="170"/>
              </w:trPr>
              <w:tc>
                <w:tcPr>
                  <w:tcW w:w="2683" w:type="dxa"/>
                  <w:tcBorders>
                    <w:left w:val="single" w:sz="4" w:space="0" w:color="BFBFBF"/>
                  </w:tcBorders>
                  <w:shd w:val="clear" w:color="auto" w:fill="auto"/>
                  <w:tcMar>
                    <w:left w:w="78" w:type="dxa"/>
                  </w:tcMar>
                  <w:vAlign w:val="bottom"/>
                </w:tcPr>
                <w:p w14:paraId="1F96F017" w14:textId="77777777" w:rsidR="004976E9" w:rsidRPr="00273ED1" w:rsidRDefault="004976E9" w:rsidP="00E31E69">
                  <w:pPr>
                    <w:pStyle w:val="Paragraph"/>
                    <w:spacing w:before="0" w:after="0"/>
                    <w:rPr>
                      <w:sz w:val="15"/>
                      <w:szCs w:val="15"/>
                    </w:rPr>
                  </w:pPr>
                  <w:r w:rsidRPr="00273ED1">
                    <w:rPr>
                      <w:rFonts w:ascii="Calibri Light" w:hAnsi="Calibri Light" w:cs="Arial"/>
                      <w:sz w:val="15"/>
                      <w:szCs w:val="15"/>
                    </w:rPr>
                    <w:t>Passivo corrente</w:t>
                  </w:r>
                </w:p>
              </w:tc>
              <w:tc>
                <w:tcPr>
                  <w:tcW w:w="1145" w:type="dxa"/>
                  <w:shd w:val="clear" w:color="auto" w:fill="auto"/>
                  <w:tcMar>
                    <w:left w:w="78" w:type="dxa"/>
                  </w:tcMar>
                </w:tcPr>
                <w:p w14:paraId="7C8564F7" w14:textId="77777777" w:rsidR="004976E9" w:rsidRPr="00273ED1" w:rsidRDefault="00754531" w:rsidP="00E31E69">
                  <w:pPr>
                    <w:pStyle w:val="Paragraph"/>
                    <w:spacing w:before="0" w:after="0"/>
                    <w:jc w:val="right"/>
                    <w:rPr>
                      <w:rFonts w:cs="Arial"/>
                      <w:sz w:val="15"/>
                      <w:szCs w:val="15"/>
                    </w:rPr>
                  </w:pPr>
                  <w:r w:rsidRPr="00273ED1">
                    <w:rPr>
                      <w:rFonts w:ascii="Calibri Light" w:hAnsi="Calibri Light" w:cs="Arial"/>
                      <w:sz w:val="15"/>
                      <w:szCs w:val="15"/>
                    </w:rPr>
                    <w:t>18.388</w:t>
                  </w:r>
                </w:p>
              </w:tc>
              <w:tc>
                <w:tcPr>
                  <w:tcW w:w="1139" w:type="dxa"/>
                  <w:shd w:val="clear" w:color="auto" w:fill="auto"/>
                  <w:tcMar>
                    <w:left w:w="78" w:type="dxa"/>
                  </w:tcMar>
                  <w:vAlign w:val="bottom"/>
                </w:tcPr>
                <w:p w14:paraId="247F43EE"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19.541</w:t>
                  </w:r>
                </w:p>
              </w:tc>
              <w:tc>
                <w:tcPr>
                  <w:tcW w:w="1141" w:type="dxa"/>
                  <w:shd w:val="clear" w:color="auto" w:fill="auto"/>
                  <w:tcMar>
                    <w:left w:w="78" w:type="dxa"/>
                  </w:tcMar>
                  <w:vAlign w:val="bottom"/>
                </w:tcPr>
                <w:p w14:paraId="415DC007"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15.150</w:t>
                  </w:r>
                </w:p>
              </w:tc>
              <w:tc>
                <w:tcPr>
                  <w:tcW w:w="1151" w:type="dxa"/>
                  <w:tcBorders>
                    <w:left w:val="single" w:sz="4" w:space="0" w:color="BFBFBF"/>
                    <w:right w:val="single" w:sz="4" w:space="0" w:color="BFBFBF"/>
                  </w:tcBorders>
                  <w:shd w:val="clear" w:color="auto" w:fill="auto"/>
                  <w:tcMar>
                    <w:left w:w="78" w:type="dxa"/>
                  </w:tcMar>
                  <w:vAlign w:val="bottom"/>
                </w:tcPr>
                <w:p w14:paraId="449C99B8"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22.839</w:t>
                  </w:r>
                </w:p>
              </w:tc>
            </w:tr>
            <w:tr w:rsidR="004976E9" w:rsidRPr="00273ED1" w14:paraId="27CBC950" w14:textId="77777777" w:rsidTr="00E31E69">
              <w:trPr>
                <w:trHeight w:val="170"/>
              </w:trPr>
              <w:tc>
                <w:tcPr>
                  <w:tcW w:w="2683" w:type="dxa"/>
                  <w:tcBorders>
                    <w:left w:val="single" w:sz="4" w:space="0" w:color="BFBFBF"/>
                  </w:tcBorders>
                  <w:shd w:val="clear" w:color="auto" w:fill="auto"/>
                  <w:tcMar>
                    <w:left w:w="78" w:type="dxa"/>
                  </w:tcMar>
                  <w:vAlign w:val="bottom"/>
                </w:tcPr>
                <w:p w14:paraId="1C4BA24D" w14:textId="77777777" w:rsidR="004976E9" w:rsidRPr="00273ED1" w:rsidRDefault="004976E9" w:rsidP="00E31E69">
                  <w:pPr>
                    <w:pStyle w:val="Paragraph"/>
                    <w:spacing w:before="0" w:after="0"/>
                    <w:rPr>
                      <w:sz w:val="15"/>
                      <w:szCs w:val="15"/>
                    </w:rPr>
                  </w:pPr>
                  <w:r w:rsidRPr="00273ED1">
                    <w:rPr>
                      <w:rFonts w:ascii="Calibri Light" w:hAnsi="Calibri Light" w:cs="Arial"/>
                      <w:sz w:val="15"/>
                      <w:szCs w:val="15"/>
                    </w:rPr>
                    <w:t>Passivo non corrente</w:t>
                  </w:r>
                </w:p>
              </w:tc>
              <w:tc>
                <w:tcPr>
                  <w:tcW w:w="1145" w:type="dxa"/>
                  <w:shd w:val="clear" w:color="auto" w:fill="auto"/>
                  <w:tcMar>
                    <w:left w:w="78" w:type="dxa"/>
                  </w:tcMar>
                </w:tcPr>
                <w:p w14:paraId="1C9E1940" w14:textId="77777777" w:rsidR="004976E9" w:rsidRPr="00273ED1" w:rsidRDefault="00754531" w:rsidP="00E31E69">
                  <w:pPr>
                    <w:pStyle w:val="Paragraph"/>
                    <w:spacing w:before="0" w:after="0"/>
                    <w:jc w:val="right"/>
                    <w:rPr>
                      <w:rFonts w:cs="Arial"/>
                      <w:sz w:val="15"/>
                      <w:szCs w:val="15"/>
                    </w:rPr>
                  </w:pPr>
                  <w:r w:rsidRPr="00273ED1">
                    <w:rPr>
                      <w:rFonts w:ascii="Calibri Light" w:hAnsi="Calibri Light" w:cs="Arial"/>
                      <w:sz w:val="15"/>
                      <w:szCs w:val="15"/>
                    </w:rPr>
                    <w:t>56.141</w:t>
                  </w:r>
                </w:p>
              </w:tc>
              <w:tc>
                <w:tcPr>
                  <w:tcW w:w="1139" w:type="dxa"/>
                  <w:shd w:val="clear" w:color="auto" w:fill="auto"/>
                  <w:tcMar>
                    <w:left w:w="78" w:type="dxa"/>
                  </w:tcMar>
                  <w:vAlign w:val="bottom"/>
                </w:tcPr>
                <w:p w14:paraId="783B6558"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42.569</w:t>
                  </w:r>
                </w:p>
              </w:tc>
              <w:tc>
                <w:tcPr>
                  <w:tcW w:w="1141" w:type="dxa"/>
                  <w:shd w:val="clear" w:color="auto" w:fill="auto"/>
                  <w:tcMar>
                    <w:left w:w="78" w:type="dxa"/>
                  </w:tcMar>
                  <w:vAlign w:val="bottom"/>
                </w:tcPr>
                <w:p w14:paraId="19ABCA8C"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31.741</w:t>
                  </w:r>
                </w:p>
              </w:tc>
              <w:tc>
                <w:tcPr>
                  <w:tcW w:w="1151" w:type="dxa"/>
                  <w:tcBorders>
                    <w:left w:val="single" w:sz="4" w:space="0" w:color="BFBFBF"/>
                    <w:right w:val="single" w:sz="4" w:space="0" w:color="BFBFBF"/>
                  </w:tcBorders>
                  <w:shd w:val="clear" w:color="auto" w:fill="auto"/>
                  <w:tcMar>
                    <w:left w:w="78" w:type="dxa"/>
                  </w:tcMar>
                  <w:vAlign w:val="bottom"/>
                </w:tcPr>
                <w:p w14:paraId="6E860DC9"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16.404</w:t>
                  </w:r>
                </w:p>
              </w:tc>
            </w:tr>
            <w:tr w:rsidR="004976E9" w:rsidRPr="00273ED1" w14:paraId="42E51726" w14:textId="77777777" w:rsidTr="00E31E69">
              <w:trPr>
                <w:trHeight w:val="170"/>
              </w:trPr>
              <w:tc>
                <w:tcPr>
                  <w:tcW w:w="2683" w:type="dxa"/>
                  <w:tcBorders>
                    <w:left w:val="single" w:sz="4" w:space="0" w:color="BFBFBF"/>
                  </w:tcBorders>
                  <w:shd w:val="clear" w:color="auto" w:fill="auto"/>
                  <w:tcMar>
                    <w:left w:w="78" w:type="dxa"/>
                  </w:tcMar>
                  <w:vAlign w:val="bottom"/>
                </w:tcPr>
                <w:p w14:paraId="4FF6CE1D" w14:textId="77777777" w:rsidR="004976E9" w:rsidRPr="00273ED1" w:rsidRDefault="004976E9" w:rsidP="00E31E69">
                  <w:pPr>
                    <w:pStyle w:val="Paragraph"/>
                    <w:spacing w:before="0" w:after="0"/>
                    <w:rPr>
                      <w:sz w:val="15"/>
                      <w:szCs w:val="15"/>
                    </w:rPr>
                  </w:pPr>
                  <w:r w:rsidRPr="00273ED1">
                    <w:rPr>
                      <w:rFonts w:ascii="Calibri Light" w:hAnsi="Calibri Light" w:cs="Arial"/>
                      <w:sz w:val="15"/>
                      <w:szCs w:val="15"/>
                    </w:rPr>
                    <w:t>Totale passivo</w:t>
                  </w:r>
                </w:p>
              </w:tc>
              <w:tc>
                <w:tcPr>
                  <w:tcW w:w="1145" w:type="dxa"/>
                  <w:shd w:val="clear" w:color="auto" w:fill="auto"/>
                  <w:tcMar>
                    <w:left w:w="78" w:type="dxa"/>
                  </w:tcMar>
                </w:tcPr>
                <w:p w14:paraId="4A4E1663" w14:textId="77777777" w:rsidR="004976E9" w:rsidRPr="00273ED1" w:rsidRDefault="00754531" w:rsidP="00E31E69">
                  <w:pPr>
                    <w:pStyle w:val="Paragraph"/>
                    <w:spacing w:before="0" w:after="0"/>
                    <w:jc w:val="right"/>
                    <w:rPr>
                      <w:rFonts w:cs="Arial"/>
                      <w:sz w:val="15"/>
                      <w:szCs w:val="15"/>
                    </w:rPr>
                  </w:pPr>
                  <w:r w:rsidRPr="00273ED1">
                    <w:rPr>
                      <w:rFonts w:ascii="Calibri Light" w:hAnsi="Calibri Light" w:cs="Arial"/>
                      <w:sz w:val="15"/>
                      <w:szCs w:val="15"/>
                    </w:rPr>
                    <w:t>74.529</w:t>
                  </w:r>
                </w:p>
              </w:tc>
              <w:tc>
                <w:tcPr>
                  <w:tcW w:w="1139" w:type="dxa"/>
                  <w:shd w:val="clear" w:color="auto" w:fill="auto"/>
                  <w:tcMar>
                    <w:left w:w="78" w:type="dxa"/>
                  </w:tcMar>
                  <w:vAlign w:val="bottom"/>
                </w:tcPr>
                <w:p w14:paraId="30BDA45D"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62.110</w:t>
                  </w:r>
                </w:p>
              </w:tc>
              <w:tc>
                <w:tcPr>
                  <w:tcW w:w="1141" w:type="dxa"/>
                  <w:shd w:val="clear" w:color="auto" w:fill="auto"/>
                  <w:tcMar>
                    <w:left w:w="78" w:type="dxa"/>
                  </w:tcMar>
                  <w:vAlign w:val="bottom"/>
                </w:tcPr>
                <w:p w14:paraId="765759CD"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46.891</w:t>
                  </w:r>
                </w:p>
              </w:tc>
              <w:tc>
                <w:tcPr>
                  <w:tcW w:w="1151" w:type="dxa"/>
                  <w:tcBorders>
                    <w:left w:val="single" w:sz="4" w:space="0" w:color="BFBFBF"/>
                    <w:right w:val="single" w:sz="4" w:space="0" w:color="BFBFBF"/>
                  </w:tcBorders>
                  <w:shd w:val="clear" w:color="auto" w:fill="auto"/>
                  <w:tcMar>
                    <w:left w:w="78" w:type="dxa"/>
                  </w:tcMar>
                  <w:vAlign w:val="bottom"/>
                </w:tcPr>
                <w:p w14:paraId="101CFB65"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39.243</w:t>
                  </w:r>
                </w:p>
              </w:tc>
            </w:tr>
            <w:tr w:rsidR="004976E9" w:rsidRPr="00273ED1" w14:paraId="1F317E63" w14:textId="77777777" w:rsidTr="00E31E69">
              <w:trPr>
                <w:trHeight w:val="170"/>
              </w:trPr>
              <w:tc>
                <w:tcPr>
                  <w:tcW w:w="2683" w:type="dxa"/>
                  <w:tcBorders>
                    <w:left w:val="single" w:sz="4" w:space="0" w:color="BFBFBF"/>
                  </w:tcBorders>
                  <w:shd w:val="clear" w:color="auto" w:fill="auto"/>
                  <w:tcMar>
                    <w:left w:w="78" w:type="dxa"/>
                  </w:tcMar>
                  <w:vAlign w:val="bottom"/>
                </w:tcPr>
                <w:p w14:paraId="69B5F541" w14:textId="77777777" w:rsidR="004976E9" w:rsidRPr="00273ED1" w:rsidRDefault="004976E9" w:rsidP="00E31E69">
                  <w:pPr>
                    <w:pStyle w:val="Paragraph"/>
                    <w:spacing w:before="0" w:after="0"/>
                    <w:rPr>
                      <w:sz w:val="15"/>
                      <w:szCs w:val="15"/>
                    </w:rPr>
                  </w:pPr>
                  <w:r w:rsidRPr="00273ED1">
                    <w:rPr>
                      <w:rFonts w:ascii="Calibri Light" w:hAnsi="Calibri Light" w:cs="Arial"/>
                      <w:sz w:val="15"/>
                      <w:szCs w:val="15"/>
                    </w:rPr>
                    <w:t>Capitale</w:t>
                  </w:r>
                </w:p>
              </w:tc>
              <w:tc>
                <w:tcPr>
                  <w:tcW w:w="1145" w:type="dxa"/>
                  <w:shd w:val="clear" w:color="auto" w:fill="auto"/>
                  <w:tcMar>
                    <w:left w:w="78" w:type="dxa"/>
                  </w:tcMar>
                </w:tcPr>
                <w:p w14:paraId="048EA066" w14:textId="77777777" w:rsidR="004976E9" w:rsidRPr="00273ED1" w:rsidRDefault="00754531" w:rsidP="00E31E69">
                  <w:pPr>
                    <w:pStyle w:val="Paragraph"/>
                    <w:spacing w:before="0" w:after="0"/>
                    <w:jc w:val="right"/>
                    <w:rPr>
                      <w:rFonts w:cs="Arial"/>
                      <w:sz w:val="15"/>
                      <w:szCs w:val="15"/>
                    </w:rPr>
                  </w:pPr>
                  <w:r w:rsidRPr="00273ED1">
                    <w:rPr>
                      <w:rFonts w:ascii="Calibri Light" w:hAnsi="Calibri Light" w:cs="Arial"/>
                      <w:sz w:val="15"/>
                      <w:szCs w:val="15"/>
                    </w:rPr>
                    <w:t>77.415</w:t>
                  </w:r>
                </w:p>
              </w:tc>
              <w:tc>
                <w:tcPr>
                  <w:tcW w:w="1139" w:type="dxa"/>
                  <w:shd w:val="clear" w:color="auto" w:fill="auto"/>
                  <w:tcMar>
                    <w:left w:w="78" w:type="dxa"/>
                  </w:tcMar>
                  <w:vAlign w:val="bottom"/>
                </w:tcPr>
                <w:p w14:paraId="6EAC1E1A"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80.204</w:t>
                  </w:r>
                </w:p>
              </w:tc>
              <w:tc>
                <w:tcPr>
                  <w:tcW w:w="1141" w:type="dxa"/>
                  <w:shd w:val="clear" w:color="auto" w:fill="auto"/>
                  <w:tcMar>
                    <w:left w:w="78" w:type="dxa"/>
                  </w:tcMar>
                  <w:vAlign w:val="bottom"/>
                </w:tcPr>
                <w:p w14:paraId="5C0BBC5C"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83.432</w:t>
                  </w:r>
                </w:p>
              </w:tc>
              <w:tc>
                <w:tcPr>
                  <w:tcW w:w="1151" w:type="dxa"/>
                  <w:tcBorders>
                    <w:left w:val="single" w:sz="4" w:space="0" w:color="BFBFBF"/>
                    <w:right w:val="single" w:sz="4" w:space="0" w:color="BFBFBF"/>
                  </w:tcBorders>
                  <w:shd w:val="clear" w:color="auto" w:fill="auto"/>
                  <w:tcMar>
                    <w:left w:w="78" w:type="dxa"/>
                  </w:tcMar>
                  <w:vAlign w:val="bottom"/>
                </w:tcPr>
                <w:p w14:paraId="49460B6F"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85.788</w:t>
                  </w:r>
                </w:p>
              </w:tc>
            </w:tr>
            <w:tr w:rsidR="004976E9" w:rsidRPr="00273ED1" w14:paraId="17C60C27" w14:textId="77777777" w:rsidTr="00E31E69">
              <w:trPr>
                <w:trHeight w:val="170"/>
              </w:trPr>
              <w:tc>
                <w:tcPr>
                  <w:tcW w:w="7259" w:type="dxa"/>
                  <w:gridSpan w:val="5"/>
                  <w:tcBorders>
                    <w:top w:val="single" w:sz="4" w:space="0" w:color="BFBFBF"/>
                    <w:left w:val="single" w:sz="4" w:space="0" w:color="BFBFBF"/>
                    <w:bottom w:val="single" w:sz="4" w:space="0" w:color="BFBFBF"/>
                  </w:tcBorders>
                  <w:shd w:val="clear" w:color="auto" w:fill="auto"/>
                  <w:tcMar>
                    <w:left w:w="78" w:type="dxa"/>
                  </w:tcMar>
                  <w:vAlign w:val="center"/>
                </w:tcPr>
                <w:p w14:paraId="48CA665E" w14:textId="77777777" w:rsidR="004976E9" w:rsidRPr="00273ED1" w:rsidRDefault="004976E9" w:rsidP="00E31E69">
                  <w:pPr>
                    <w:pStyle w:val="Paragraph"/>
                    <w:spacing w:before="0" w:after="0"/>
                    <w:rPr>
                      <w:sz w:val="15"/>
                      <w:szCs w:val="15"/>
                    </w:rPr>
                  </w:pPr>
                  <w:r w:rsidRPr="00273ED1">
                    <w:rPr>
                      <w:rFonts w:ascii="Calibri Light" w:hAnsi="Calibri Light" w:cs="Arial"/>
                      <w:i/>
                      <w:iCs/>
                      <w:color w:val="000000" w:themeColor="text1"/>
                      <w:sz w:val="15"/>
                      <w:szCs w:val="15"/>
                      <w:lang w:eastAsia="lt-LT"/>
                    </w:rPr>
                    <w:t>Fonte: Bilanci, la Società</w:t>
                  </w:r>
                </w:p>
              </w:tc>
            </w:tr>
          </w:tbl>
          <w:p w14:paraId="23CCEC24" w14:textId="77777777" w:rsidR="004976E9" w:rsidRPr="00273ED1" w:rsidRDefault="004976E9" w:rsidP="00E31E69">
            <w:pPr>
              <w:jc w:val="both"/>
              <w:rPr>
                <w:sz w:val="15"/>
                <w:szCs w:val="15"/>
              </w:rPr>
            </w:pPr>
            <w:r w:rsidRPr="00273ED1">
              <w:rPr>
                <w:rFonts w:ascii="Arial" w:hAnsi="Arial" w:cs="Arial"/>
                <w:sz w:val="15"/>
                <w:szCs w:val="15"/>
              </w:rPr>
              <w:t>Informazioni selezionate dal Rendiconto Finanziario Consolidato Intermedio</w:t>
            </w:r>
          </w:p>
          <w:tbl>
            <w:tblPr>
              <w:tblStyle w:val="TableGrid"/>
              <w:tblW w:w="7259" w:type="dxa"/>
              <w:tblBorders>
                <w:top w:val="single" w:sz="4" w:space="0" w:color="BFBFBF"/>
                <w:left w:val="single" w:sz="4" w:space="0" w:color="BFBFBF"/>
              </w:tblBorders>
              <w:tblCellMar>
                <w:left w:w="78" w:type="dxa"/>
              </w:tblCellMar>
              <w:tblLook w:val="04A0" w:firstRow="1" w:lastRow="0" w:firstColumn="1" w:lastColumn="0" w:noHBand="0" w:noVBand="1"/>
            </w:tblPr>
            <w:tblGrid>
              <w:gridCol w:w="2716"/>
              <w:gridCol w:w="903"/>
              <w:gridCol w:w="911"/>
              <w:gridCol w:w="906"/>
              <w:gridCol w:w="906"/>
              <w:gridCol w:w="917"/>
            </w:tblGrid>
            <w:tr w:rsidR="004976E9" w:rsidRPr="00273ED1" w14:paraId="18A3498C" w14:textId="77777777" w:rsidTr="00E31E69">
              <w:trPr>
                <w:trHeight w:val="170"/>
              </w:trPr>
              <w:tc>
                <w:tcPr>
                  <w:tcW w:w="2717" w:type="dxa"/>
                  <w:tcBorders>
                    <w:top w:val="single" w:sz="4" w:space="0" w:color="BFBFBF"/>
                    <w:left w:val="single" w:sz="4" w:space="0" w:color="BFBFBF"/>
                  </w:tcBorders>
                  <w:shd w:val="clear" w:color="auto" w:fill="C8501E"/>
                  <w:tcMar>
                    <w:left w:w="78" w:type="dxa"/>
                  </w:tcMar>
                  <w:vAlign w:val="bottom"/>
                </w:tcPr>
                <w:p w14:paraId="078BEEDC" w14:textId="77777777" w:rsidR="004976E9" w:rsidRPr="00273ED1" w:rsidRDefault="004976E9" w:rsidP="00E31E69">
                  <w:pPr>
                    <w:pStyle w:val="Paragraph"/>
                    <w:spacing w:before="0" w:after="0"/>
                    <w:jc w:val="left"/>
                    <w:rPr>
                      <w:sz w:val="15"/>
                      <w:szCs w:val="15"/>
                    </w:rPr>
                  </w:pPr>
                  <w:r w:rsidRPr="00273ED1">
                    <w:rPr>
                      <w:rFonts w:ascii="Calibri Light" w:hAnsi="Calibri Light" w:cs="Arial"/>
                      <w:i/>
                      <w:iCs/>
                      <w:color w:val="FFFFFF" w:themeColor="background1"/>
                      <w:sz w:val="15"/>
                      <w:szCs w:val="15"/>
                    </w:rPr>
                    <w:t>in migliaia di Euro</w:t>
                  </w:r>
                </w:p>
              </w:tc>
              <w:tc>
                <w:tcPr>
                  <w:tcW w:w="1814" w:type="dxa"/>
                  <w:gridSpan w:val="2"/>
                  <w:tcBorders>
                    <w:top w:val="single" w:sz="4" w:space="0" w:color="BFBFBF"/>
                  </w:tcBorders>
                  <w:shd w:val="clear" w:color="auto" w:fill="C8501E"/>
                  <w:tcMar>
                    <w:left w:w="78" w:type="dxa"/>
                  </w:tcMar>
                  <w:vAlign w:val="bottom"/>
                </w:tcPr>
                <w:p w14:paraId="1E570FDE" w14:textId="77777777" w:rsidR="004976E9" w:rsidRPr="00273ED1" w:rsidRDefault="004976E9" w:rsidP="00E31E69">
                  <w:pPr>
                    <w:pStyle w:val="Paragraph"/>
                    <w:spacing w:before="0" w:after="0"/>
                    <w:jc w:val="center"/>
                    <w:rPr>
                      <w:sz w:val="15"/>
                      <w:szCs w:val="15"/>
                    </w:rPr>
                  </w:pPr>
                  <w:r w:rsidRPr="00273ED1">
                    <w:rPr>
                      <w:rFonts w:ascii="Calibri Light" w:hAnsi="Calibri Light" w:cs="Arial"/>
                      <w:color w:val="FFFFFF" w:themeColor="background1"/>
                      <w:sz w:val="15"/>
                      <w:szCs w:val="15"/>
                    </w:rPr>
                    <w:t>6 mesi conclusisi il 30 giugno</w:t>
                  </w:r>
                </w:p>
              </w:tc>
              <w:tc>
                <w:tcPr>
                  <w:tcW w:w="2727" w:type="dxa"/>
                  <w:gridSpan w:val="3"/>
                  <w:tcBorders>
                    <w:top w:val="single" w:sz="4" w:space="0" w:color="BFBFBF"/>
                    <w:left w:val="single" w:sz="4" w:space="0" w:color="BFBFBF"/>
                    <w:right w:val="single" w:sz="4" w:space="0" w:color="BFBFBF"/>
                  </w:tcBorders>
                  <w:shd w:val="clear" w:color="auto" w:fill="C8501E"/>
                  <w:tcMar>
                    <w:left w:w="78" w:type="dxa"/>
                  </w:tcMar>
                  <w:vAlign w:val="bottom"/>
                </w:tcPr>
                <w:p w14:paraId="0D0875FE" w14:textId="77777777" w:rsidR="004976E9" w:rsidRPr="00273ED1" w:rsidRDefault="004976E9" w:rsidP="00E31E69">
                  <w:pPr>
                    <w:pStyle w:val="Paragraph"/>
                    <w:spacing w:before="0" w:after="0"/>
                    <w:jc w:val="center"/>
                    <w:rPr>
                      <w:sz w:val="15"/>
                      <w:szCs w:val="15"/>
                    </w:rPr>
                  </w:pPr>
                  <w:r w:rsidRPr="00273ED1">
                    <w:rPr>
                      <w:rFonts w:ascii="Calibri Light" w:hAnsi="Calibri Light" w:cs="Arial"/>
                      <w:color w:val="FFFFFF" w:themeColor="background1"/>
                      <w:sz w:val="15"/>
                      <w:szCs w:val="15"/>
                    </w:rPr>
                    <w:t>12 mesi conclusisi il 31 dicembre</w:t>
                  </w:r>
                </w:p>
              </w:tc>
            </w:tr>
            <w:tr w:rsidR="004976E9" w:rsidRPr="00273ED1" w14:paraId="25774C3D" w14:textId="77777777" w:rsidTr="00E31E69">
              <w:trPr>
                <w:trHeight w:val="170"/>
              </w:trPr>
              <w:tc>
                <w:tcPr>
                  <w:tcW w:w="2717" w:type="dxa"/>
                  <w:tcBorders>
                    <w:left w:val="single" w:sz="4" w:space="0" w:color="BFBFBF"/>
                  </w:tcBorders>
                  <w:shd w:val="clear" w:color="auto" w:fill="C8501E"/>
                  <w:tcMar>
                    <w:left w:w="78" w:type="dxa"/>
                  </w:tcMar>
                </w:tcPr>
                <w:p w14:paraId="4B494325" w14:textId="77777777" w:rsidR="004976E9" w:rsidRPr="00273ED1" w:rsidRDefault="004976E9" w:rsidP="00E31E69">
                  <w:pPr>
                    <w:pStyle w:val="Paragraph"/>
                    <w:spacing w:before="0" w:after="0"/>
                    <w:rPr>
                      <w:rFonts w:asciiTheme="majorHAnsi" w:hAnsiTheme="majorHAnsi" w:cs="Arial"/>
                      <w:color w:val="FFFFFF"/>
                      <w:sz w:val="15"/>
                      <w:szCs w:val="15"/>
                    </w:rPr>
                  </w:pPr>
                </w:p>
              </w:tc>
              <w:tc>
                <w:tcPr>
                  <w:tcW w:w="903" w:type="dxa"/>
                  <w:shd w:val="clear" w:color="auto" w:fill="C8501E"/>
                  <w:tcMar>
                    <w:left w:w="78" w:type="dxa"/>
                  </w:tcMar>
                </w:tcPr>
                <w:p w14:paraId="54A1C0A0" w14:textId="77777777" w:rsidR="004976E9" w:rsidRPr="00273ED1" w:rsidRDefault="004976E9" w:rsidP="00E31E69">
                  <w:pPr>
                    <w:pStyle w:val="Paragraph"/>
                    <w:spacing w:before="0" w:after="0"/>
                    <w:jc w:val="right"/>
                    <w:rPr>
                      <w:rFonts w:cs="Arial"/>
                      <w:color w:val="FFFFFF" w:themeColor="background1"/>
                      <w:sz w:val="15"/>
                      <w:szCs w:val="15"/>
                    </w:rPr>
                  </w:pPr>
                  <w:r w:rsidRPr="00273ED1">
                    <w:rPr>
                      <w:rFonts w:ascii="Calibri Light" w:hAnsi="Calibri Light" w:cs="Arial"/>
                      <w:color w:val="FFFFFF" w:themeColor="background1"/>
                      <w:sz w:val="15"/>
                      <w:szCs w:val="15"/>
                    </w:rPr>
                    <w:t>2017</w:t>
                  </w:r>
                </w:p>
              </w:tc>
              <w:tc>
                <w:tcPr>
                  <w:tcW w:w="909" w:type="dxa"/>
                  <w:shd w:val="clear" w:color="auto" w:fill="C8501E"/>
                  <w:tcMar>
                    <w:left w:w="78" w:type="dxa"/>
                  </w:tcMar>
                </w:tcPr>
                <w:p w14:paraId="5C67A053" w14:textId="77777777" w:rsidR="004976E9" w:rsidRPr="00273ED1" w:rsidRDefault="004976E9" w:rsidP="00E31E69">
                  <w:pPr>
                    <w:pStyle w:val="Paragraph"/>
                    <w:spacing w:before="0" w:after="0"/>
                    <w:jc w:val="right"/>
                    <w:rPr>
                      <w:rFonts w:cs="Arial"/>
                      <w:color w:val="FFFFFF" w:themeColor="background1"/>
                      <w:sz w:val="15"/>
                      <w:szCs w:val="15"/>
                    </w:rPr>
                  </w:pPr>
                  <w:r w:rsidRPr="00273ED1">
                    <w:rPr>
                      <w:rFonts w:ascii="Calibri Light" w:hAnsi="Calibri Light" w:cs="Arial"/>
                      <w:color w:val="FFFFFF" w:themeColor="background1"/>
                      <w:sz w:val="15"/>
                      <w:szCs w:val="15"/>
                    </w:rPr>
                    <w:t>2016</w:t>
                  </w:r>
                </w:p>
              </w:tc>
              <w:tc>
                <w:tcPr>
                  <w:tcW w:w="906" w:type="dxa"/>
                  <w:shd w:val="clear" w:color="auto" w:fill="C8501E"/>
                  <w:tcMar>
                    <w:left w:w="78" w:type="dxa"/>
                  </w:tcMar>
                </w:tcPr>
                <w:p w14:paraId="0E7E8711" w14:textId="77777777" w:rsidR="004976E9" w:rsidRPr="00273ED1" w:rsidRDefault="004976E9" w:rsidP="00E31E69">
                  <w:pPr>
                    <w:pStyle w:val="Paragraph"/>
                    <w:spacing w:before="0" w:after="0"/>
                    <w:jc w:val="right"/>
                    <w:rPr>
                      <w:rFonts w:cs="Arial"/>
                      <w:color w:val="FFFFFF" w:themeColor="background1"/>
                      <w:sz w:val="15"/>
                      <w:szCs w:val="15"/>
                    </w:rPr>
                  </w:pPr>
                  <w:r w:rsidRPr="00273ED1">
                    <w:rPr>
                      <w:rFonts w:ascii="Calibri Light" w:hAnsi="Calibri Light" w:cs="Arial"/>
                      <w:color w:val="FFFFFF" w:themeColor="background1"/>
                      <w:sz w:val="15"/>
                      <w:szCs w:val="15"/>
                    </w:rPr>
                    <w:t>2016</w:t>
                  </w:r>
                </w:p>
              </w:tc>
              <w:tc>
                <w:tcPr>
                  <w:tcW w:w="906" w:type="dxa"/>
                  <w:shd w:val="clear" w:color="auto" w:fill="C8501E"/>
                  <w:tcMar>
                    <w:left w:w="78" w:type="dxa"/>
                  </w:tcMar>
                </w:tcPr>
                <w:p w14:paraId="271054C5" w14:textId="77777777" w:rsidR="004976E9" w:rsidRPr="00273ED1" w:rsidRDefault="004976E9" w:rsidP="00E31E69">
                  <w:pPr>
                    <w:pStyle w:val="Paragraph"/>
                    <w:spacing w:before="0" w:after="0"/>
                    <w:jc w:val="right"/>
                    <w:rPr>
                      <w:rFonts w:cs="Arial"/>
                      <w:color w:val="FFFFFF" w:themeColor="background1"/>
                      <w:sz w:val="15"/>
                      <w:szCs w:val="15"/>
                    </w:rPr>
                  </w:pPr>
                  <w:r w:rsidRPr="00273ED1">
                    <w:rPr>
                      <w:rFonts w:ascii="Calibri Light" w:hAnsi="Calibri Light" w:cs="Arial"/>
                      <w:color w:val="FFFFFF" w:themeColor="background1"/>
                      <w:sz w:val="15"/>
                      <w:szCs w:val="15"/>
                    </w:rPr>
                    <w:t>2015</w:t>
                  </w:r>
                </w:p>
              </w:tc>
              <w:tc>
                <w:tcPr>
                  <w:tcW w:w="917" w:type="dxa"/>
                  <w:tcBorders>
                    <w:left w:val="single" w:sz="4" w:space="0" w:color="BFBFBF"/>
                    <w:right w:val="single" w:sz="4" w:space="0" w:color="BFBFBF"/>
                  </w:tcBorders>
                  <w:shd w:val="clear" w:color="auto" w:fill="C8501E"/>
                  <w:tcMar>
                    <w:left w:w="78" w:type="dxa"/>
                  </w:tcMar>
                </w:tcPr>
                <w:p w14:paraId="3890C8E2" w14:textId="77777777" w:rsidR="004976E9" w:rsidRPr="00273ED1" w:rsidRDefault="004976E9" w:rsidP="00E31E69">
                  <w:pPr>
                    <w:pStyle w:val="Paragraph"/>
                    <w:spacing w:before="0" w:after="0"/>
                    <w:jc w:val="right"/>
                    <w:rPr>
                      <w:rFonts w:cs="Arial"/>
                      <w:color w:val="FFFFFF" w:themeColor="background1"/>
                      <w:sz w:val="15"/>
                      <w:szCs w:val="15"/>
                    </w:rPr>
                  </w:pPr>
                  <w:r w:rsidRPr="00273ED1">
                    <w:rPr>
                      <w:rFonts w:ascii="Calibri Light" w:hAnsi="Calibri Light" w:cs="Arial"/>
                      <w:color w:val="FFFFFF" w:themeColor="background1"/>
                      <w:sz w:val="15"/>
                      <w:szCs w:val="15"/>
                    </w:rPr>
                    <w:t>2014</w:t>
                  </w:r>
                </w:p>
              </w:tc>
            </w:tr>
            <w:tr w:rsidR="004976E9" w:rsidRPr="00273ED1" w14:paraId="45005302" w14:textId="77777777" w:rsidTr="00E31E69">
              <w:trPr>
                <w:trHeight w:val="170"/>
              </w:trPr>
              <w:tc>
                <w:tcPr>
                  <w:tcW w:w="2717" w:type="dxa"/>
                  <w:tcBorders>
                    <w:left w:val="single" w:sz="4" w:space="0" w:color="BFBFBF"/>
                  </w:tcBorders>
                  <w:shd w:val="clear" w:color="auto" w:fill="auto"/>
                  <w:tcMar>
                    <w:left w:w="78" w:type="dxa"/>
                  </w:tcMar>
                  <w:vAlign w:val="bottom"/>
                </w:tcPr>
                <w:p w14:paraId="6CB4743C" w14:textId="77777777" w:rsidR="004976E9" w:rsidRPr="00273ED1" w:rsidRDefault="004976E9" w:rsidP="00E31E69">
                  <w:pPr>
                    <w:pStyle w:val="Paragraph"/>
                    <w:spacing w:before="0" w:after="0"/>
                    <w:rPr>
                      <w:sz w:val="15"/>
                      <w:szCs w:val="15"/>
                    </w:rPr>
                  </w:pPr>
                  <w:bookmarkStart w:id="131" w:name="_Hlk488764770"/>
                  <w:bookmarkEnd w:id="131"/>
                  <w:r w:rsidRPr="00273ED1">
                    <w:rPr>
                      <w:rFonts w:ascii="Calibri Light" w:hAnsi="Calibri Light" w:cs="Arial"/>
                      <w:sz w:val="15"/>
                      <w:szCs w:val="15"/>
                    </w:rPr>
                    <w:t>Flussi di cassa da attività operative</w:t>
                  </w:r>
                </w:p>
              </w:tc>
              <w:tc>
                <w:tcPr>
                  <w:tcW w:w="903" w:type="dxa"/>
                  <w:shd w:val="clear" w:color="auto" w:fill="auto"/>
                  <w:tcMar>
                    <w:left w:w="78" w:type="dxa"/>
                  </w:tcMar>
                </w:tcPr>
                <w:p w14:paraId="61DC04DA" w14:textId="77777777" w:rsidR="004976E9" w:rsidRPr="00273ED1" w:rsidRDefault="00754531" w:rsidP="00E31E69">
                  <w:pPr>
                    <w:pStyle w:val="Paragraph"/>
                    <w:spacing w:before="0" w:after="0"/>
                    <w:jc w:val="right"/>
                    <w:rPr>
                      <w:rFonts w:cs="Arial"/>
                      <w:sz w:val="15"/>
                      <w:szCs w:val="15"/>
                    </w:rPr>
                  </w:pPr>
                  <w:r w:rsidRPr="00273ED1">
                    <w:rPr>
                      <w:rFonts w:ascii="Calibri Light" w:hAnsi="Calibri Light" w:cs="Arial"/>
                      <w:sz w:val="15"/>
                      <w:szCs w:val="15"/>
                    </w:rPr>
                    <w:t>2.135</w:t>
                  </w:r>
                </w:p>
              </w:tc>
              <w:tc>
                <w:tcPr>
                  <w:tcW w:w="909" w:type="dxa"/>
                  <w:shd w:val="clear" w:color="auto" w:fill="auto"/>
                  <w:tcMar>
                    <w:left w:w="78" w:type="dxa"/>
                  </w:tcMar>
                </w:tcPr>
                <w:p w14:paraId="50B2FE21" w14:textId="77777777" w:rsidR="004976E9" w:rsidRPr="00273ED1" w:rsidRDefault="00C20B97" w:rsidP="00E31E69">
                  <w:pPr>
                    <w:pStyle w:val="Paragraph"/>
                    <w:spacing w:before="0" w:after="0"/>
                    <w:jc w:val="right"/>
                    <w:rPr>
                      <w:rFonts w:cs="Arial"/>
                      <w:sz w:val="15"/>
                      <w:szCs w:val="15"/>
                    </w:rPr>
                  </w:pPr>
                  <w:r w:rsidRPr="00273ED1">
                    <w:rPr>
                      <w:rFonts w:ascii="Calibri Light" w:hAnsi="Calibri Light" w:cs="Arial"/>
                      <w:sz w:val="15"/>
                      <w:szCs w:val="15"/>
                    </w:rPr>
                    <w:t>437</w:t>
                  </w:r>
                </w:p>
              </w:tc>
              <w:tc>
                <w:tcPr>
                  <w:tcW w:w="906" w:type="dxa"/>
                  <w:shd w:val="clear" w:color="auto" w:fill="auto"/>
                  <w:tcMar>
                    <w:left w:w="78" w:type="dxa"/>
                  </w:tcMar>
                </w:tcPr>
                <w:p w14:paraId="7DCC1725" w14:textId="77777777" w:rsidR="004976E9" w:rsidRPr="00273ED1" w:rsidRDefault="004976E9" w:rsidP="00E31E69">
                  <w:pPr>
                    <w:pStyle w:val="Paragraph"/>
                    <w:spacing w:before="0" w:after="0"/>
                    <w:jc w:val="right"/>
                    <w:rPr>
                      <w:rFonts w:cs="Arial"/>
                      <w:sz w:val="15"/>
                      <w:szCs w:val="15"/>
                    </w:rPr>
                  </w:pPr>
                  <w:r w:rsidRPr="00273ED1">
                    <w:rPr>
                      <w:rFonts w:ascii="Calibri Light" w:hAnsi="Calibri Light" w:cs="Arial"/>
                      <w:color w:val="000000" w:themeColor="text1"/>
                      <w:sz w:val="15"/>
                      <w:szCs w:val="15"/>
                    </w:rPr>
                    <w:t>648</w:t>
                  </w:r>
                </w:p>
              </w:tc>
              <w:tc>
                <w:tcPr>
                  <w:tcW w:w="906" w:type="dxa"/>
                  <w:shd w:val="clear" w:color="auto" w:fill="auto"/>
                  <w:tcMar>
                    <w:left w:w="78" w:type="dxa"/>
                  </w:tcMar>
                </w:tcPr>
                <w:p w14:paraId="19A0DA82"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3.498</w:t>
                  </w:r>
                </w:p>
              </w:tc>
              <w:tc>
                <w:tcPr>
                  <w:tcW w:w="917" w:type="dxa"/>
                  <w:tcBorders>
                    <w:left w:val="single" w:sz="4" w:space="0" w:color="BFBFBF"/>
                    <w:right w:val="single" w:sz="4" w:space="0" w:color="BFBFBF"/>
                  </w:tcBorders>
                  <w:shd w:val="clear" w:color="auto" w:fill="auto"/>
                  <w:tcMar>
                    <w:left w:w="78" w:type="dxa"/>
                  </w:tcMar>
                </w:tcPr>
                <w:p w14:paraId="4AEB6EA3" w14:textId="77777777" w:rsidR="004976E9" w:rsidRPr="00273ED1" w:rsidRDefault="004976E9" w:rsidP="00E31E69">
                  <w:pPr>
                    <w:pStyle w:val="Paragraph"/>
                    <w:spacing w:before="0" w:after="0"/>
                    <w:jc w:val="right"/>
                    <w:rPr>
                      <w:sz w:val="15"/>
                      <w:szCs w:val="15"/>
                    </w:rPr>
                  </w:pPr>
                  <w:r w:rsidRPr="00273ED1">
                    <w:rPr>
                      <w:rFonts w:ascii="Calibri Light" w:hAnsi="Calibri Light" w:cs="Arial"/>
                      <w:sz w:val="15"/>
                      <w:szCs w:val="15"/>
                    </w:rPr>
                    <w:t>-1.069</w:t>
                  </w:r>
                </w:p>
              </w:tc>
            </w:tr>
            <w:tr w:rsidR="004976E9" w:rsidRPr="00273ED1" w14:paraId="43BD6C06" w14:textId="77777777" w:rsidTr="00E31E69">
              <w:trPr>
                <w:trHeight w:val="170"/>
              </w:trPr>
              <w:tc>
                <w:tcPr>
                  <w:tcW w:w="2717" w:type="dxa"/>
                  <w:tcBorders>
                    <w:left w:val="single" w:sz="4" w:space="0" w:color="BFBFBF"/>
                  </w:tcBorders>
                  <w:shd w:val="clear" w:color="auto" w:fill="auto"/>
                  <w:tcMar>
                    <w:left w:w="78" w:type="dxa"/>
                  </w:tcMar>
                  <w:vAlign w:val="bottom"/>
                </w:tcPr>
                <w:p w14:paraId="387D4DDE" w14:textId="77777777" w:rsidR="004976E9" w:rsidRPr="00273ED1" w:rsidRDefault="004976E9" w:rsidP="00E31E69">
                  <w:pPr>
                    <w:pStyle w:val="Paragraph"/>
                    <w:spacing w:before="0" w:after="0"/>
                    <w:rPr>
                      <w:sz w:val="15"/>
                      <w:szCs w:val="15"/>
                    </w:rPr>
                  </w:pPr>
                  <w:r w:rsidRPr="00273ED1">
                    <w:rPr>
                      <w:rFonts w:ascii="Calibri Light" w:hAnsi="Calibri Light" w:cs="Arial"/>
                      <w:sz w:val="15"/>
                      <w:szCs w:val="15"/>
                    </w:rPr>
                    <w:t>Flussi di cassa da attività d'investimento</w:t>
                  </w:r>
                </w:p>
              </w:tc>
              <w:tc>
                <w:tcPr>
                  <w:tcW w:w="903" w:type="dxa"/>
                  <w:shd w:val="clear" w:color="auto" w:fill="auto"/>
                  <w:tcMar>
                    <w:left w:w="78" w:type="dxa"/>
                  </w:tcMar>
                </w:tcPr>
                <w:p w14:paraId="3A2104D5" w14:textId="77777777" w:rsidR="004976E9" w:rsidRPr="00273ED1" w:rsidRDefault="00C20B97" w:rsidP="00E31E69">
                  <w:pPr>
                    <w:pStyle w:val="Paragraph"/>
                    <w:spacing w:before="0" w:after="0"/>
                    <w:jc w:val="right"/>
                    <w:rPr>
                      <w:rFonts w:cs="Arial"/>
                      <w:sz w:val="15"/>
                      <w:szCs w:val="15"/>
                    </w:rPr>
                  </w:pPr>
                  <w:r w:rsidRPr="00273ED1">
                    <w:rPr>
                      <w:rFonts w:ascii="Calibri Light" w:hAnsi="Calibri Light" w:cs="Arial"/>
                      <w:sz w:val="15"/>
                      <w:szCs w:val="15"/>
                    </w:rPr>
                    <w:t>9.219</w:t>
                  </w:r>
                </w:p>
              </w:tc>
              <w:tc>
                <w:tcPr>
                  <w:tcW w:w="909" w:type="dxa"/>
                  <w:shd w:val="clear" w:color="auto" w:fill="auto"/>
                  <w:tcMar>
                    <w:left w:w="78" w:type="dxa"/>
                  </w:tcMar>
                </w:tcPr>
                <w:p w14:paraId="1FC32849" w14:textId="77777777" w:rsidR="004976E9" w:rsidRPr="00273ED1" w:rsidRDefault="00C20B97" w:rsidP="00E31E69">
                  <w:pPr>
                    <w:pStyle w:val="Paragraph"/>
                    <w:spacing w:before="0" w:after="0"/>
                    <w:jc w:val="right"/>
                    <w:rPr>
                      <w:rFonts w:cs="Arial"/>
                      <w:sz w:val="15"/>
                      <w:szCs w:val="15"/>
                    </w:rPr>
                  </w:pPr>
                  <w:r w:rsidRPr="00273ED1">
                    <w:rPr>
                      <w:rFonts w:ascii="Calibri Light" w:hAnsi="Calibri Light" w:cs="Arial"/>
                      <w:sz w:val="15"/>
                      <w:szCs w:val="15"/>
                    </w:rPr>
                    <w:t>7.321</w:t>
                  </w:r>
                </w:p>
              </w:tc>
              <w:tc>
                <w:tcPr>
                  <w:tcW w:w="906" w:type="dxa"/>
                  <w:shd w:val="clear" w:color="auto" w:fill="auto"/>
                  <w:tcMar>
                    <w:left w:w="78" w:type="dxa"/>
                  </w:tcMar>
                </w:tcPr>
                <w:p w14:paraId="1CED483F"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-9.740</w:t>
                  </w:r>
                </w:p>
              </w:tc>
              <w:tc>
                <w:tcPr>
                  <w:tcW w:w="906" w:type="dxa"/>
                  <w:shd w:val="clear" w:color="auto" w:fill="auto"/>
                  <w:tcMar>
                    <w:left w:w="78" w:type="dxa"/>
                  </w:tcMar>
                </w:tcPr>
                <w:p w14:paraId="55F9568D"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-1.368</w:t>
                  </w:r>
                </w:p>
              </w:tc>
              <w:tc>
                <w:tcPr>
                  <w:tcW w:w="917" w:type="dxa"/>
                  <w:tcBorders>
                    <w:left w:val="single" w:sz="4" w:space="0" w:color="BFBFBF"/>
                    <w:right w:val="single" w:sz="4" w:space="0" w:color="BFBFBF"/>
                  </w:tcBorders>
                  <w:shd w:val="clear" w:color="auto" w:fill="auto"/>
                  <w:tcMar>
                    <w:left w:w="78" w:type="dxa"/>
                  </w:tcMar>
                </w:tcPr>
                <w:p w14:paraId="597A4BDE" w14:textId="77777777" w:rsidR="004976E9" w:rsidRPr="00273ED1" w:rsidRDefault="004976E9" w:rsidP="00E31E69">
                  <w:pPr>
                    <w:pStyle w:val="Paragraph"/>
                    <w:spacing w:before="0" w:after="0"/>
                    <w:jc w:val="right"/>
                    <w:rPr>
                      <w:rFonts w:cs="Arial"/>
                      <w:sz w:val="15"/>
                      <w:szCs w:val="15"/>
                    </w:rPr>
                  </w:pPr>
                  <w:r w:rsidRPr="00273ED1">
                    <w:rPr>
                      <w:rFonts w:ascii="Calibri Light" w:hAnsi="Calibri Light" w:cs="Arial"/>
                      <w:sz w:val="15"/>
                      <w:szCs w:val="15"/>
                    </w:rPr>
                    <w:t>-775</w:t>
                  </w:r>
                </w:p>
              </w:tc>
            </w:tr>
            <w:tr w:rsidR="004976E9" w:rsidRPr="00273ED1" w14:paraId="7DB376BD" w14:textId="77777777" w:rsidTr="00E31E69">
              <w:trPr>
                <w:trHeight w:val="170"/>
              </w:trPr>
              <w:tc>
                <w:tcPr>
                  <w:tcW w:w="2717" w:type="dxa"/>
                  <w:tcBorders>
                    <w:left w:val="single" w:sz="4" w:space="0" w:color="BFBFBF"/>
                  </w:tcBorders>
                  <w:shd w:val="clear" w:color="auto" w:fill="auto"/>
                  <w:tcMar>
                    <w:left w:w="78" w:type="dxa"/>
                  </w:tcMar>
                  <w:vAlign w:val="bottom"/>
                </w:tcPr>
                <w:p w14:paraId="54E5FCFE" w14:textId="77777777" w:rsidR="004976E9" w:rsidRPr="00273ED1" w:rsidRDefault="004976E9" w:rsidP="00E31E69">
                  <w:pPr>
                    <w:pStyle w:val="Paragraph"/>
                    <w:spacing w:before="0" w:after="0"/>
                    <w:rPr>
                      <w:sz w:val="15"/>
                      <w:szCs w:val="15"/>
                    </w:rPr>
                  </w:pPr>
                  <w:r w:rsidRPr="00273ED1">
                    <w:rPr>
                      <w:rFonts w:ascii="Calibri Light" w:hAnsi="Calibri Light" w:cs="Arial"/>
                      <w:sz w:val="15"/>
                      <w:szCs w:val="15"/>
                    </w:rPr>
                    <w:t>Flussi di cassa da attività di finanziamento</w:t>
                  </w:r>
                </w:p>
              </w:tc>
              <w:tc>
                <w:tcPr>
                  <w:tcW w:w="903" w:type="dxa"/>
                  <w:shd w:val="clear" w:color="auto" w:fill="auto"/>
                  <w:tcMar>
                    <w:left w:w="78" w:type="dxa"/>
                  </w:tcMar>
                </w:tcPr>
                <w:p w14:paraId="16277BCF" w14:textId="77777777" w:rsidR="004976E9" w:rsidRPr="00273ED1" w:rsidRDefault="00C20B97" w:rsidP="00E31E69">
                  <w:pPr>
                    <w:pStyle w:val="Paragraph"/>
                    <w:spacing w:before="0" w:after="0"/>
                    <w:jc w:val="right"/>
                    <w:rPr>
                      <w:rFonts w:cs="Arial"/>
                      <w:sz w:val="15"/>
                      <w:szCs w:val="15"/>
                    </w:rPr>
                  </w:pPr>
                  <w:r w:rsidRPr="00273ED1">
                    <w:rPr>
                      <w:rFonts w:ascii="Calibri Light" w:hAnsi="Calibri Light" w:cs="Arial"/>
                      <w:sz w:val="15"/>
                      <w:szCs w:val="15"/>
                    </w:rPr>
                    <w:t>9.153</w:t>
                  </w:r>
                </w:p>
              </w:tc>
              <w:tc>
                <w:tcPr>
                  <w:tcW w:w="909" w:type="dxa"/>
                  <w:shd w:val="clear" w:color="auto" w:fill="auto"/>
                  <w:tcMar>
                    <w:left w:w="78" w:type="dxa"/>
                  </w:tcMar>
                </w:tcPr>
                <w:p w14:paraId="03C57E62" w14:textId="77777777" w:rsidR="004976E9" w:rsidRPr="00273ED1" w:rsidRDefault="00C20B97" w:rsidP="00E31E69">
                  <w:pPr>
                    <w:pStyle w:val="Paragraph"/>
                    <w:spacing w:before="0" w:after="0"/>
                    <w:jc w:val="right"/>
                    <w:rPr>
                      <w:rFonts w:cs="Arial"/>
                      <w:sz w:val="15"/>
                      <w:szCs w:val="15"/>
                    </w:rPr>
                  </w:pPr>
                  <w:r w:rsidRPr="00273ED1">
                    <w:rPr>
                      <w:rFonts w:ascii="Calibri Light" w:hAnsi="Calibri Light" w:cs="Arial"/>
                      <w:sz w:val="15"/>
                      <w:szCs w:val="15"/>
                    </w:rPr>
                    <w:t>14.008</w:t>
                  </w:r>
                </w:p>
              </w:tc>
              <w:tc>
                <w:tcPr>
                  <w:tcW w:w="906" w:type="dxa"/>
                  <w:shd w:val="clear" w:color="auto" w:fill="auto"/>
                  <w:tcMar>
                    <w:left w:w="78" w:type="dxa"/>
                  </w:tcMar>
                </w:tcPr>
                <w:p w14:paraId="4A8E2255"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8.082</w:t>
                  </w:r>
                </w:p>
              </w:tc>
              <w:tc>
                <w:tcPr>
                  <w:tcW w:w="906" w:type="dxa"/>
                  <w:shd w:val="clear" w:color="auto" w:fill="auto"/>
                  <w:tcMar>
                    <w:left w:w="78" w:type="dxa"/>
                  </w:tcMar>
                </w:tcPr>
                <w:p w14:paraId="49C80194"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2.381</w:t>
                  </w:r>
                </w:p>
              </w:tc>
              <w:tc>
                <w:tcPr>
                  <w:tcW w:w="917" w:type="dxa"/>
                  <w:tcBorders>
                    <w:left w:val="single" w:sz="4" w:space="0" w:color="BFBFBF"/>
                    <w:right w:val="single" w:sz="4" w:space="0" w:color="BFBFBF"/>
                  </w:tcBorders>
                  <w:shd w:val="clear" w:color="auto" w:fill="auto"/>
                  <w:tcMar>
                    <w:left w:w="78" w:type="dxa"/>
                  </w:tcMar>
                </w:tcPr>
                <w:p w14:paraId="18F1576C" w14:textId="77777777" w:rsidR="004976E9" w:rsidRPr="00273ED1" w:rsidRDefault="004976E9" w:rsidP="00E31E69">
                  <w:pPr>
                    <w:pStyle w:val="Paragraph"/>
                    <w:spacing w:before="0" w:after="0"/>
                    <w:jc w:val="right"/>
                    <w:rPr>
                      <w:rFonts w:cs="Arial"/>
                      <w:sz w:val="15"/>
                      <w:szCs w:val="15"/>
                    </w:rPr>
                  </w:pPr>
                  <w:r w:rsidRPr="00273ED1">
                    <w:rPr>
                      <w:rFonts w:ascii="Calibri Light" w:hAnsi="Calibri Light" w:cs="Arial"/>
                      <w:sz w:val="15"/>
                      <w:szCs w:val="15"/>
                    </w:rPr>
                    <w:t>966</w:t>
                  </w:r>
                </w:p>
              </w:tc>
            </w:tr>
            <w:tr w:rsidR="004976E9" w:rsidRPr="00273ED1" w14:paraId="006F824A" w14:textId="77777777" w:rsidTr="00E31E69">
              <w:trPr>
                <w:trHeight w:val="170"/>
              </w:trPr>
              <w:tc>
                <w:tcPr>
                  <w:tcW w:w="2717" w:type="dxa"/>
                  <w:tcBorders>
                    <w:left w:val="single" w:sz="4" w:space="0" w:color="BFBFBF"/>
                  </w:tcBorders>
                  <w:shd w:val="clear" w:color="auto" w:fill="auto"/>
                  <w:tcMar>
                    <w:left w:w="78" w:type="dxa"/>
                  </w:tcMar>
                  <w:vAlign w:val="bottom"/>
                </w:tcPr>
                <w:p w14:paraId="68DF2CD0" w14:textId="77777777" w:rsidR="004976E9" w:rsidRPr="00273ED1" w:rsidRDefault="004976E9" w:rsidP="00E31E69">
                  <w:pPr>
                    <w:pStyle w:val="Paragraph"/>
                    <w:spacing w:before="0" w:after="0"/>
                    <w:rPr>
                      <w:sz w:val="15"/>
                      <w:szCs w:val="15"/>
                    </w:rPr>
                  </w:pPr>
                  <w:r w:rsidRPr="00273ED1">
                    <w:rPr>
                      <w:rFonts w:ascii="Calibri Light" w:hAnsi="Calibri Light" w:cs="Arial"/>
                      <w:sz w:val="15"/>
                      <w:szCs w:val="15"/>
                    </w:rPr>
                    <w:t>Variazione netta delle disponibilità liquide e mezzi equivalenti</w:t>
                  </w:r>
                </w:p>
              </w:tc>
              <w:tc>
                <w:tcPr>
                  <w:tcW w:w="903" w:type="dxa"/>
                  <w:shd w:val="clear" w:color="auto" w:fill="auto"/>
                  <w:tcMar>
                    <w:left w:w="78" w:type="dxa"/>
                  </w:tcMar>
                </w:tcPr>
                <w:p w14:paraId="54C72704" w14:textId="77777777" w:rsidR="004976E9" w:rsidRPr="00273ED1" w:rsidRDefault="00C20B97" w:rsidP="00E31E69">
                  <w:pPr>
                    <w:pStyle w:val="Paragraph"/>
                    <w:spacing w:before="0" w:after="0"/>
                    <w:jc w:val="right"/>
                    <w:rPr>
                      <w:rFonts w:cs="Arial"/>
                      <w:sz w:val="15"/>
                      <w:szCs w:val="15"/>
                    </w:rPr>
                  </w:pPr>
                  <w:r w:rsidRPr="00273ED1">
                    <w:rPr>
                      <w:rFonts w:ascii="Calibri Light" w:hAnsi="Calibri Light" w:cs="Arial"/>
                      <w:sz w:val="15"/>
                      <w:szCs w:val="15"/>
                    </w:rPr>
                    <w:t>2.201</w:t>
                  </w:r>
                </w:p>
              </w:tc>
              <w:tc>
                <w:tcPr>
                  <w:tcW w:w="909" w:type="dxa"/>
                  <w:shd w:val="clear" w:color="auto" w:fill="auto"/>
                  <w:tcMar>
                    <w:left w:w="78" w:type="dxa"/>
                  </w:tcMar>
                </w:tcPr>
                <w:p w14:paraId="77309D2A" w14:textId="77777777" w:rsidR="004976E9" w:rsidRPr="00273ED1" w:rsidRDefault="00C20B97" w:rsidP="00E31E69">
                  <w:pPr>
                    <w:pStyle w:val="Paragraph"/>
                    <w:spacing w:before="0" w:after="0"/>
                    <w:jc w:val="right"/>
                    <w:rPr>
                      <w:rFonts w:cs="Arial"/>
                      <w:sz w:val="15"/>
                      <w:szCs w:val="15"/>
                    </w:rPr>
                  </w:pPr>
                  <w:r w:rsidRPr="00273ED1">
                    <w:rPr>
                      <w:rFonts w:ascii="Calibri Light" w:hAnsi="Calibri Light" w:cs="Arial"/>
                      <w:sz w:val="15"/>
                      <w:szCs w:val="15"/>
                    </w:rPr>
                    <w:t>6.250</w:t>
                  </w:r>
                </w:p>
              </w:tc>
              <w:tc>
                <w:tcPr>
                  <w:tcW w:w="906" w:type="dxa"/>
                  <w:shd w:val="clear" w:color="auto" w:fill="auto"/>
                  <w:tcMar>
                    <w:left w:w="78" w:type="dxa"/>
                  </w:tcMar>
                </w:tcPr>
                <w:p w14:paraId="1F0A56DC"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-1.010</w:t>
                  </w:r>
                </w:p>
              </w:tc>
              <w:tc>
                <w:tcPr>
                  <w:tcW w:w="906" w:type="dxa"/>
                  <w:shd w:val="clear" w:color="auto" w:fill="auto"/>
                  <w:tcMar>
                    <w:left w:w="78" w:type="dxa"/>
                  </w:tcMar>
                </w:tcPr>
                <w:p w14:paraId="6AB30079"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4.511</w:t>
                  </w:r>
                </w:p>
              </w:tc>
              <w:tc>
                <w:tcPr>
                  <w:tcW w:w="917" w:type="dxa"/>
                  <w:tcBorders>
                    <w:left w:val="single" w:sz="4" w:space="0" w:color="BFBFBF"/>
                    <w:right w:val="single" w:sz="4" w:space="0" w:color="BFBFBF"/>
                  </w:tcBorders>
                  <w:shd w:val="clear" w:color="auto" w:fill="auto"/>
                  <w:tcMar>
                    <w:left w:w="78" w:type="dxa"/>
                  </w:tcMar>
                </w:tcPr>
                <w:p w14:paraId="702617E4" w14:textId="77777777" w:rsidR="004976E9" w:rsidRPr="00273ED1" w:rsidRDefault="004976E9" w:rsidP="00E31E69">
                  <w:pPr>
                    <w:pStyle w:val="Paragraph"/>
                    <w:spacing w:before="0" w:after="0"/>
                    <w:jc w:val="right"/>
                    <w:rPr>
                      <w:rFonts w:cs="Arial"/>
                      <w:sz w:val="15"/>
                      <w:szCs w:val="15"/>
                    </w:rPr>
                  </w:pPr>
                  <w:r w:rsidRPr="00273ED1">
                    <w:rPr>
                      <w:rFonts w:ascii="Calibri Light" w:hAnsi="Calibri Light" w:cs="Arial"/>
                      <w:sz w:val="15"/>
                      <w:szCs w:val="15"/>
                    </w:rPr>
                    <w:t>-878</w:t>
                  </w:r>
                </w:p>
              </w:tc>
            </w:tr>
            <w:tr w:rsidR="004976E9" w:rsidRPr="00273ED1" w14:paraId="2192E27F" w14:textId="77777777" w:rsidTr="00E31E69">
              <w:trPr>
                <w:trHeight w:val="170"/>
              </w:trPr>
              <w:tc>
                <w:tcPr>
                  <w:tcW w:w="7258" w:type="dxa"/>
                  <w:gridSpan w:val="6"/>
                  <w:tcBorders>
                    <w:top w:val="single" w:sz="4" w:space="0" w:color="BFBFBF"/>
                    <w:left w:val="single" w:sz="4" w:space="0" w:color="BFBFBF"/>
                    <w:bottom w:val="single" w:sz="4" w:space="0" w:color="BFBFBF"/>
                  </w:tcBorders>
                  <w:shd w:val="clear" w:color="auto" w:fill="auto"/>
                  <w:tcMar>
                    <w:left w:w="78" w:type="dxa"/>
                  </w:tcMar>
                  <w:vAlign w:val="center"/>
                </w:tcPr>
                <w:p w14:paraId="50E5F91E" w14:textId="77777777" w:rsidR="004976E9" w:rsidRPr="00273ED1" w:rsidRDefault="004976E9" w:rsidP="00E31E69">
                  <w:pPr>
                    <w:pStyle w:val="Paragraph"/>
                    <w:spacing w:before="0" w:after="0"/>
                    <w:rPr>
                      <w:sz w:val="15"/>
                      <w:szCs w:val="15"/>
                    </w:rPr>
                  </w:pPr>
                  <w:r w:rsidRPr="00273ED1">
                    <w:rPr>
                      <w:rFonts w:ascii="Calibri Light" w:hAnsi="Calibri Light" w:cs="Arial"/>
                      <w:i/>
                      <w:iCs/>
                      <w:color w:val="000000" w:themeColor="text1"/>
                      <w:sz w:val="15"/>
                      <w:szCs w:val="15"/>
                      <w:lang w:eastAsia="lt-LT"/>
                    </w:rPr>
                    <w:lastRenderedPageBreak/>
                    <w:t>Fonte: Bilanci, la Società</w:t>
                  </w:r>
                </w:p>
              </w:tc>
            </w:tr>
          </w:tbl>
          <w:p w14:paraId="1B07E4FA" w14:textId="77777777" w:rsidR="004976E9" w:rsidRPr="00273ED1" w:rsidRDefault="004976E9" w:rsidP="00E31E69">
            <w:pPr>
              <w:jc w:val="both"/>
              <w:rPr>
                <w:sz w:val="15"/>
                <w:szCs w:val="15"/>
              </w:rPr>
            </w:pPr>
            <w:r w:rsidRPr="00273ED1">
              <w:rPr>
                <w:rFonts w:ascii="Arial" w:hAnsi="Arial" w:cs="Arial"/>
                <w:sz w:val="15"/>
                <w:szCs w:val="15"/>
              </w:rPr>
              <w:t xml:space="preserve">Indici e indicatori </w:t>
            </w:r>
          </w:p>
          <w:tbl>
            <w:tblPr>
              <w:tblStyle w:val="TableGrid"/>
              <w:tblW w:w="7265" w:type="dxa"/>
              <w:tblBorders>
                <w:top w:val="single" w:sz="4" w:space="0" w:color="BFBFBF"/>
                <w:left w:val="single" w:sz="4" w:space="0" w:color="BFBFBF"/>
              </w:tblBorders>
              <w:tblCellMar>
                <w:left w:w="78" w:type="dxa"/>
              </w:tblCellMar>
              <w:tblLook w:val="04A0" w:firstRow="1" w:lastRow="0" w:firstColumn="1" w:lastColumn="0" w:noHBand="0" w:noVBand="1"/>
            </w:tblPr>
            <w:tblGrid>
              <w:gridCol w:w="2657"/>
              <w:gridCol w:w="8"/>
              <w:gridCol w:w="910"/>
              <w:gridCol w:w="235"/>
              <w:gridCol w:w="690"/>
              <w:gridCol w:w="455"/>
              <w:gridCol w:w="464"/>
              <w:gridCol w:w="682"/>
              <w:gridCol w:w="237"/>
              <w:gridCol w:w="927"/>
            </w:tblGrid>
            <w:tr w:rsidR="004976E9" w:rsidRPr="00273ED1" w14:paraId="61985584" w14:textId="77777777" w:rsidTr="00E31E69">
              <w:trPr>
                <w:trHeight w:val="170"/>
              </w:trPr>
              <w:tc>
                <w:tcPr>
                  <w:tcW w:w="2659" w:type="dxa"/>
                  <w:tcBorders>
                    <w:top w:val="single" w:sz="4" w:space="0" w:color="BFBFBF"/>
                    <w:left w:val="single" w:sz="4" w:space="0" w:color="BFBFBF"/>
                  </w:tcBorders>
                  <w:shd w:val="clear" w:color="auto" w:fill="C8501E"/>
                  <w:tcMar>
                    <w:left w:w="78" w:type="dxa"/>
                  </w:tcMar>
                  <w:vAlign w:val="bottom"/>
                </w:tcPr>
                <w:p w14:paraId="18E7FF33" w14:textId="77777777" w:rsidR="004976E9" w:rsidRPr="00273ED1" w:rsidRDefault="004976E9" w:rsidP="00E31E69">
                  <w:pPr>
                    <w:pStyle w:val="Paragraph"/>
                    <w:spacing w:before="0" w:after="0"/>
                    <w:jc w:val="left"/>
                    <w:rPr>
                      <w:sz w:val="15"/>
                      <w:szCs w:val="15"/>
                    </w:rPr>
                  </w:pPr>
                  <w:r w:rsidRPr="00273ED1">
                    <w:rPr>
                      <w:rFonts w:ascii="Calibri Light" w:hAnsi="Calibri Light" w:cs="Arial"/>
                      <w:i/>
                      <w:iCs/>
                      <w:color w:val="FFFFFF" w:themeColor="background1"/>
                      <w:sz w:val="15"/>
                      <w:szCs w:val="15"/>
                    </w:rPr>
                    <w:t>in migliaia di Euro</w:t>
                  </w:r>
                </w:p>
              </w:tc>
              <w:tc>
                <w:tcPr>
                  <w:tcW w:w="1843" w:type="dxa"/>
                  <w:gridSpan w:val="4"/>
                  <w:tcBorders>
                    <w:top w:val="single" w:sz="4" w:space="0" w:color="BFBFBF"/>
                  </w:tcBorders>
                  <w:shd w:val="clear" w:color="auto" w:fill="C8501E"/>
                  <w:tcMar>
                    <w:left w:w="78" w:type="dxa"/>
                  </w:tcMar>
                  <w:vAlign w:val="bottom"/>
                </w:tcPr>
                <w:p w14:paraId="1735F9BB" w14:textId="77777777" w:rsidR="004976E9" w:rsidRPr="00273ED1" w:rsidRDefault="004976E9" w:rsidP="00E31E69">
                  <w:pPr>
                    <w:pStyle w:val="Paragraph"/>
                    <w:spacing w:before="0" w:after="0"/>
                    <w:jc w:val="center"/>
                    <w:rPr>
                      <w:sz w:val="15"/>
                      <w:szCs w:val="15"/>
                    </w:rPr>
                  </w:pPr>
                  <w:r w:rsidRPr="00273ED1">
                    <w:rPr>
                      <w:rFonts w:ascii="Calibri Light" w:hAnsi="Calibri Light" w:cs="Arial"/>
                      <w:color w:val="FFFFFF" w:themeColor="background1"/>
                      <w:sz w:val="15"/>
                      <w:szCs w:val="15"/>
                    </w:rPr>
                    <w:t>6 mesi conclusisi il 30 giugno</w:t>
                  </w:r>
                </w:p>
              </w:tc>
              <w:tc>
                <w:tcPr>
                  <w:tcW w:w="2762" w:type="dxa"/>
                  <w:gridSpan w:val="5"/>
                  <w:tcBorders>
                    <w:top w:val="single" w:sz="4" w:space="0" w:color="BFBFBF"/>
                    <w:left w:val="single" w:sz="4" w:space="0" w:color="BFBFBF"/>
                    <w:right w:val="single" w:sz="4" w:space="0" w:color="BFBFBF"/>
                  </w:tcBorders>
                  <w:shd w:val="clear" w:color="auto" w:fill="C8501E"/>
                  <w:tcMar>
                    <w:left w:w="78" w:type="dxa"/>
                  </w:tcMar>
                  <w:vAlign w:val="bottom"/>
                </w:tcPr>
                <w:p w14:paraId="0CBA493D" w14:textId="77777777" w:rsidR="004976E9" w:rsidRPr="00273ED1" w:rsidRDefault="004976E9" w:rsidP="00E31E69">
                  <w:pPr>
                    <w:pStyle w:val="Paragraph"/>
                    <w:spacing w:before="0" w:after="0"/>
                    <w:jc w:val="center"/>
                    <w:rPr>
                      <w:sz w:val="15"/>
                      <w:szCs w:val="15"/>
                    </w:rPr>
                  </w:pPr>
                  <w:r w:rsidRPr="00273ED1">
                    <w:rPr>
                      <w:rFonts w:ascii="Calibri Light" w:hAnsi="Calibri Light" w:cs="Arial"/>
                      <w:color w:val="FFFFFF" w:themeColor="background1"/>
                      <w:sz w:val="15"/>
                      <w:szCs w:val="15"/>
                    </w:rPr>
                    <w:t>12 mesi conclusisi il 31 dicembre</w:t>
                  </w:r>
                </w:p>
              </w:tc>
            </w:tr>
            <w:tr w:rsidR="004976E9" w:rsidRPr="00273ED1" w14:paraId="71B4E814" w14:textId="77777777" w:rsidTr="00E31E69">
              <w:trPr>
                <w:trHeight w:val="170"/>
              </w:trPr>
              <w:tc>
                <w:tcPr>
                  <w:tcW w:w="2659" w:type="dxa"/>
                  <w:tcBorders>
                    <w:left w:val="single" w:sz="4" w:space="0" w:color="BFBFBF"/>
                  </w:tcBorders>
                  <w:shd w:val="clear" w:color="auto" w:fill="C8501E"/>
                  <w:tcMar>
                    <w:left w:w="78" w:type="dxa"/>
                  </w:tcMar>
                </w:tcPr>
                <w:p w14:paraId="2C15972D" w14:textId="77777777" w:rsidR="004976E9" w:rsidRPr="00273ED1" w:rsidRDefault="004976E9" w:rsidP="00E31E69">
                  <w:pPr>
                    <w:pStyle w:val="Paragraph"/>
                    <w:spacing w:before="0" w:after="0"/>
                    <w:rPr>
                      <w:rFonts w:asciiTheme="majorHAnsi" w:hAnsiTheme="majorHAnsi" w:cs="Arial"/>
                      <w:color w:val="FFFFFF"/>
                      <w:sz w:val="15"/>
                      <w:szCs w:val="15"/>
                    </w:rPr>
                  </w:pPr>
                </w:p>
              </w:tc>
              <w:tc>
                <w:tcPr>
                  <w:tcW w:w="918" w:type="dxa"/>
                  <w:gridSpan w:val="2"/>
                  <w:shd w:val="clear" w:color="auto" w:fill="C8501E"/>
                  <w:tcMar>
                    <w:left w:w="78" w:type="dxa"/>
                  </w:tcMar>
                </w:tcPr>
                <w:p w14:paraId="5355543E" w14:textId="77777777" w:rsidR="004976E9" w:rsidRPr="00273ED1" w:rsidRDefault="004976E9" w:rsidP="00E31E69">
                  <w:pPr>
                    <w:pStyle w:val="Paragraph"/>
                    <w:spacing w:before="0" w:after="0"/>
                    <w:jc w:val="right"/>
                    <w:rPr>
                      <w:rFonts w:cs="Arial"/>
                      <w:color w:val="FFFFFF" w:themeColor="background1"/>
                      <w:sz w:val="15"/>
                      <w:szCs w:val="15"/>
                    </w:rPr>
                  </w:pPr>
                  <w:r w:rsidRPr="00273ED1">
                    <w:rPr>
                      <w:rFonts w:ascii="Calibri Light" w:hAnsi="Calibri Light" w:cs="Arial"/>
                      <w:color w:val="FFFFFF" w:themeColor="background1"/>
                      <w:sz w:val="15"/>
                      <w:szCs w:val="15"/>
                    </w:rPr>
                    <w:t>2017</w:t>
                  </w:r>
                </w:p>
              </w:tc>
              <w:tc>
                <w:tcPr>
                  <w:tcW w:w="922" w:type="dxa"/>
                  <w:gridSpan w:val="2"/>
                  <w:shd w:val="clear" w:color="auto" w:fill="C8501E"/>
                  <w:tcMar>
                    <w:left w:w="78" w:type="dxa"/>
                  </w:tcMar>
                </w:tcPr>
                <w:p w14:paraId="0B8D9F86" w14:textId="77777777" w:rsidR="004976E9" w:rsidRPr="00273ED1" w:rsidRDefault="004976E9" w:rsidP="00E31E69">
                  <w:pPr>
                    <w:pStyle w:val="Paragraph"/>
                    <w:spacing w:before="0" w:after="0"/>
                    <w:jc w:val="right"/>
                    <w:rPr>
                      <w:rFonts w:cs="Arial"/>
                      <w:color w:val="FFFFFF" w:themeColor="background1"/>
                      <w:sz w:val="15"/>
                      <w:szCs w:val="15"/>
                    </w:rPr>
                  </w:pPr>
                  <w:r w:rsidRPr="00273ED1">
                    <w:rPr>
                      <w:rFonts w:ascii="Calibri Light" w:hAnsi="Calibri Light" w:cs="Arial"/>
                      <w:color w:val="FFFFFF" w:themeColor="background1"/>
                      <w:sz w:val="15"/>
                      <w:szCs w:val="15"/>
                    </w:rPr>
                    <w:t>2016</w:t>
                  </w:r>
                </w:p>
              </w:tc>
              <w:tc>
                <w:tcPr>
                  <w:tcW w:w="919" w:type="dxa"/>
                  <w:gridSpan w:val="2"/>
                  <w:shd w:val="clear" w:color="auto" w:fill="C8501E"/>
                  <w:tcMar>
                    <w:left w:w="78" w:type="dxa"/>
                  </w:tcMar>
                </w:tcPr>
                <w:p w14:paraId="532D98B7" w14:textId="77777777" w:rsidR="004976E9" w:rsidRPr="00273ED1" w:rsidRDefault="004976E9" w:rsidP="00E31E69">
                  <w:pPr>
                    <w:pStyle w:val="Paragraph"/>
                    <w:spacing w:before="0" w:after="0"/>
                    <w:jc w:val="right"/>
                    <w:rPr>
                      <w:rFonts w:cs="Arial"/>
                      <w:color w:val="FFFFFF" w:themeColor="background1"/>
                      <w:sz w:val="15"/>
                      <w:szCs w:val="15"/>
                    </w:rPr>
                  </w:pPr>
                  <w:r w:rsidRPr="00273ED1">
                    <w:rPr>
                      <w:rFonts w:ascii="Calibri Light" w:hAnsi="Calibri Light" w:cs="Arial"/>
                      <w:color w:val="FFFFFF" w:themeColor="background1"/>
                      <w:sz w:val="15"/>
                      <w:szCs w:val="15"/>
                    </w:rPr>
                    <w:t>2016</w:t>
                  </w:r>
                </w:p>
              </w:tc>
              <w:tc>
                <w:tcPr>
                  <w:tcW w:w="919" w:type="dxa"/>
                  <w:gridSpan w:val="2"/>
                  <w:shd w:val="clear" w:color="auto" w:fill="C8501E"/>
                  <w:tcMar>
                    <w:left w:w="78" w:type="dxa"/>
                  </w:tcMar>
                </w:tcPr>
                <w:p w14:paraId="174897CC" w14:textId="77777777" w:rsidR="004976E9" w:rsidRPr="00273ED1" w:rsidRDefault="004976E9" w:rsidP="00E31E69">
                  <w:pPr>
                    <w:pStyle w:val="Paragraph"/>
                    <w:spacing w:before="0" w:after="0"/>
                    <w:jc w:val="right"/>
                    <w:rPr>
                      <w:rFonts w:cs="Arial"/>
                      <w:color w:val="FFFFFF" w:themeColor="background1"/>
                      <w:sz w:val="15"/>
                      <w:szCs w:val="15"/>
                    </w:rPr>
                  </w:pPr>
                  <w:r w:rsidRPr="00273ED1">
                    <w:rPr>
                      <w:rFonts w:ascii="Calibri Light" w:hAnsi="Calibri Light" w:cs="Arial"/>
                      <w:color w:val="FFFFFF" w:themeColor="background1"/>
                      <w:sz w:val="15"/>
                      <w:szCs w:val="15"/>
                    </w:rPr>
                    <w:t>2015</w:t>
                  </w:r>
                </w:p>
              </w:tc>
              <w:tc>
                <w:tcPr>
                  <w:tcW w:w="927" w:type="dxa"/>
                  <w:tcBorders>
                    <w:left w:val="single" w:sz="4" w:space="0" w:color="BFBFBF"/>
                    <w:right w:val="single" w:sz="4" w:space="0" w:color="BFBFBF"/>
                  </w:tcBorders>
                  <w:shd w:val="clear" w:color="auto" w:fill="C8501E"/>
                  <w:tcMar>
                    <w:left w:w="78" w:type="dxa"/>
                  </w:tcMar>
                </w:tcPr>
                <w:p w14:paraId="56F4357D" w14:textId="77777777" w:rsidR="004976E9" w:rsidRPr="00273ED1" w:rsidRDefault="004976E9" w:rsidP="00E31E69">
                  <w:pPr>
                    <w:pStyle w:val="Paragraph"/>
                    <w:spacing w:before="0" w:after="0"/>
                    <w:jc w:val="right"/>
                    <w:rPr>
                      <w:rFonts w:cs="Arial"/>
                      <w:color w:val="FFFFFF" w:themeColor="background1"/>
                      <w:sz w:val="15"/>
                      <w:szCs w:val="15"/>
                    </w:rPr>
                  </w:pPr>
                  <w:r w:rsidRPr="00273ED1">
                    <w:rPr>
                      <w:rFonts w:ascii="Calibri Light" w:hAnsi="Calibri Light" w:cs="Arial"/>
                      <w:color w:val="FFFFFF" w:themeColor="background1"/>
                      <w:sz w:val="15"/>
                      <w:szCs w:val="15"/>
                    </w:rPr>
                    <w:t>2014</w:t>
                  </w:r>
                </w:p>
              </w:tc>
            </w:tr>
            <w:tr w:rsidR="004976E9" w:rsidRPr="00273ED1" w14:paraId="12BCAE40" w14:textId="77777777" w:rsidTr="00E31E69">
              <w:trPr>
                <w:trHeight w:val="170"/>
              </w:trPr>
              <w:tc>
                <w:tcPr>
                  <w:tcW w:w="2659" w:type="dxa"/>
                  <w:tcBorders>
                    <w:left w:val="single" w:sz="4" w:space="0" w:color="BFBFBF"/>
                  </w:tcBorders>
                  <w:shd w:val="clear" w:color="auto" w:fill="auto"/>
                  <w:tcMar>
                    <w:left w:w="78" w:type="dxa"/>
                  </w:tcMar>
                  <w:vAlign w:val="bottom"/>
                </w:tcPr>
                <w:p w14:paraId="44384824" w14:textId="77777777" w:rsidR="004976E9" w:rsidRPr="00273ED1" w:rsidRDefault="004976E9" w:rsidP="00E31E69">
                  <w:pPr>
                    <w:pStyle w:val="Paragraph"/>
                    <w:spacing w:before="0" w:after="0"/>
                    <w:rPr>
                      <w:sz w:val="15"/>
                      <w:szCs w:val="15"/>
                    </w:rPr>
                  </w:pPr>
                  <w:bookmarkStart w:id="132" w:name="_Hlk488764793"/>
                  <w:bookmarkEnd w:id="132"/>
                  <w:r w:rsidRPr="00273ED1">
                    <w:rPr>
                      <w:rFonts w:ascii="Calibri Light" w:hAnsi="Calibri Light" w:cs="Arial"/>
                      <w:sz w:val="15"/>
                      <w:szCs w:val="15"/>
                    </w:rPr>
                    <w:t>Margine utile lordo</w:t>
                  </w:r>
                </w:p>
              </w:tc>
              <w:tc>
                <w:tcPr>
                  <w:tcW w:w="918" w:type="dxa"/>
                  <w:gridSpan w:val="2"/>
                  <w:shd w:val="clear" w:color="auto" w:fill="auto"/>
                  <w:tcMar>
                    <w:left w:w="78" w:type="dxa"/>
                  </w:tcMar>
                </w:tcPr>
                <w:p w14:paraId="3E34771A" w14:textId="77777777" w:rsidR="004976E9" w:rsidRPr="00273ED1" w:rsidRDefault="00C20B97" w:rsidP="00E31E69">
                  <w:pPr>
                    <w:pStyle w:val="Paragraph"/>
                    <w:spacing w:before="0" w:after="0"/>
                    <w:jc w:val="right"/>
                    <w:rPr>
                      <w:rFonts w:cs="Arial"/>
                      <w:sz w:val="15"/>
                      <w:szCs w:val="15"/>
                    </w:rPr>
                  </w:pPr>
                  <w:r w:rsidRPr="00273ED1">
                    <w:rPr>
                      <w:rFonts w:ascii="Calibri Light" w:hAnsi="Calibri Light" w:cs="Arial"/>
                      <w:sz w:val="15"/>
                      <w:szCs w:val="15"/>
                    </w:rPr>
                    <w:t>31,0%</w:t>
                  </w:r>
                </w:p>
              </w:tc>
              <w:tc>
                <w:tcPr>
                  <w:tcW w:w="922" w:type="dxa"/>
                  <w:gridSpan w:val="2"/>
                  <w:shd w:val="clear" w:color="auto" w:fill="auto"/>
                  <w:tcMar>
                    <w:left w:w="78" w:type="dxa"/>
                  </w:tcMar>
                </w:tcPr>
                <w:p w14:paraId="7DC9FB1B" w14:textId="77777777" w:rsidR="004976E9" w:rsidRPr="00273ED1" w:rsidRDefault="00C20B97" w:rsidP="00E31E69">
                  <w:pPr>
                    <w:pStyle w:val="Paragraph"/>
                    <w:spacing w:before="0" w:after="0"/>
                    <w:jc w:val="right"/>
                    <w:rPr>
                      <w:rFonts w:cs="Arial"/>
                      <w:sz w:val="15"/>
                      <w:szCs w:val="15"/>
                    </w:rPr>
                  </w:pPr>
                  <w:r w:rsidRPr="00273ED1">
                    <w:rPr>
                      <w:rFonts w:ascii="Calibri Light" w:hAnsi="Calibri Light" w:cs="Arial"/>
                      <w:sz w:val="15"/>
                      <w:szCs w:val="15"/>
                    </w:rPr>
                    <w:t>17,2%</w:t>
                  </w:r>
                </w:p>
              </w:tc>
              <w:tc>
                <w:tcPr>
                  <w:tcW w:w="919" w:type="dxa"/>
                  <w:gridSpan w:val="2"/>
                  <w:shd w:val="clear" w:color="auto" w:fill="auto"/>
                  <w:tcMar>
                    <w:left w:w="78" w:type="dxa"/>
                  </w:tcMar>
                  <w:vAlign w:val="bottom"/>
                </w:tcPr>
                <w:p w14:paraId="48B332C5"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29,3%</w:t>
                  </w:r>
                </w:p>
              </w:tc>
              <w:tc>
                <w:tcPr>
                  <w:tcW w:w="919" w:type="dxa"/>
                  <w:gridSpan w:val="2"/>
                  <w:shd w:val="clear" w:color="auto" w:fill="auto"/>
                  <w:tcMar>
                    <w:left w:w="78" w:type="dxa"/>
                  </w:tcMar>
                  <w:vAlign w:val="bottom"/>
                </w:tcPr>
                <w:p w14:paraId="1DAF8211"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24,3%</w:t>
                  </w:r>
                </w:p>
              </w:tc>
              <w:tc>
                <w:tcPr>
                  <w:tcW w:w="927" w:type="dxa"/>
                  <w:tcBorders>
                    <w:left w:val="single" w:sz="4" w:space="0" w:color="BFBFBF"/>
                    <w:right w:val="single" w:sz="4" w:space="0" w:color="BFBFBF"/>
                  </w:tcBorders>
                  <w:shd w:val="clear" w:color="auto" w:fill="auto"/>
                  <w:tcMar>
                    <w:left w:w="78" w:type="dxa"/>
                  </w:tcMar>
                </w:tcPr>
                <w:p w14:paraId="711D7920" w14:textId="77777777" w:rsidR="004976E9" w:rsidRPr="00273ED1" w:rsidRDefault="004976E9" w:rsidP="00E31E69">
                  <w:pPr>
                    <w:pStyle w:val="Paragraph"/>
                    <w:spacing w:before="0" w:after="0"/>
                    <w:jc w:val="right"/>
                    <w:rPr>
                      <w:sz w:val="15"/>
                      <w:szCs w:val="15"/>
                    </w:rPr>
                  </w:pPr>
                  <w:r w:rsidRPr="00273ED1">
                    <w:rPr>
                      <w:rFonts w:ascii="Calibri Light" w:hAnsi="Calibri Light" w:cs="Arial"/>
                      <w:sz w:val="15"/>
                      <w:szCs w:val="15"/>
                    </w:rPr>
                    <w:t>24,1%</w:t>
                  </w:r>
                </w:p>
              </w:tc>
            </w:tr>
            <w:tr w:rsidR="004976E9" w:rsidRPr="00273ED1" w14:paraId="521454C2" w14:textId="77777777" w:rsidTr="00E31E69">
              <w:trPr>
                <w:trHeight w:val="170"/>
              </w:trPr>
              <w:tc>
                <w:tcPr>
                  <w:tcW w:w="2659" w:type="dxa"/>
                  <w:tcBorders>
                    <w:left w:val="single" w:sz="4" w:space="0" w:color="BFBFBF"/>
                  </w:tcBorders>
                  <w:shd w:val="clear" w:color="auto" w:fill="auto"/>
                  <w:tcMar>
                    <w:left w:w="78" w:type="dxa"/>
                  </w:tcMar>
                  <w:vAlign w:val="bottom"/>
                </w:tcPr>
                <w:p w14:paraId="6B7576D5" w14:textId="77777777" w:rsidR="004976E9" w:rsidRPr="00273ED1" w:rsidRDefault="004976E9" w:rsidP="00E31E69">
                  <w:pPr>
                    <w:pStyle w:val="Paragraph"/>
                    <w:spacing w:before="0" w:after="0"/>
                    <w:rPr>
                      <w:sz w:val="15"/>
                      <w:szCs w:val="15"/>
                    </w:rPr>
                  </w:pPr>
                  <w:r w:rsidRPr="00273ED1">
                    <w:rPr>
                      <w:rFonts w:ascii="Calibri Light" w:hAnsi="Calibri Light" w:cs="Arial"/>
                      <w:sz w:val="15"/>
                      <w:szCs w:val="15"/>
                    </w:rPr>
                    <w:t xml:space="preserve">Margine EBITDA </w:t>
                  </w:r>
                </w:p>
              </w:tc>
              <w:tc>
                <w:tcPr>
                  <w:tcW w:w="918" w:type="dxa"/>
                  <w:gridSpan w:val="2"/>
                  <w:shd w:val="clear" w:color="auto" w:fill="auto"/>
                  <w:tcMar>
                    <w:left w:w="78" w:type="dxa"/>
                  </w:tcMar>
                </w:tcPr>
                <w:p w14:paraId="145CC251" w14:textId="77777777" w:rsidR="004976E9" w:rsidRPr="00273ED1" w:rsidRDefault="00C20B97" w:rsidP="00E31E69">
                  <w:pPr>
                    <w:pStyle w:val="Paragraph"/>
                    <w:spacing w:before="0" w:after="0"/>
                    <w:jc w:val="right"/>
                    <w:rPr>
                      <w:rFonts w:asciiTheme="minorHAnsi" w:hAnsiTheme="minorHAnsi" w:cstheme="minorHAnsi"/>
                      <w:sz w:val="15"/>
                      <w:szCs w:val="15"/>
                    </w:rPr>
                  </w:pPr>
                  <w:r w:rsidRPr="00273ED1">
                    <w:rPr>
                      <w:rFonts w:asciiTheme="minorHAnsi" w:hAnsiTheme="minorHAnsi" w:cstheme="minorHAnsi"/>
                      <w:sz w:val="15"/>
                      <w:szCs w:val="15"/>
                    </w:rPr>
                    <w:t>2,3%</w:t>
                  </w:r>
                </w:p>
              </w:tc>
              <w:tc>
                <w:tcPr>
                  <w:tcW w:w="922" w:type="dxa"/>
                  <w:gridSpan w:val="2"/>
                  <w:shd w:val="clear" w:color="auto" w:fill="auto"/>
                  <w:tcMar>
                    <w:left w:w="78" w:type="dxa"/>
                  </w:tcMar>
                </w:tcPr>
                <w:p w14:paraId="4597577F" w14:textId="77777777" w:rsidR="004976E9" w:rsidRPr="00273ED1" w:rsidRDefault="00C20B97" w:rsidP="00E31E69">
                  <w:pPr>
                    <w:pStyle w:val="Paragraph"/>
                    <w:spacing w:before="0" w:after="0"/>
                    <w:jc w:val="right"/>
                    <w:rPr>
                      <w:rFonts w:cs="Arial"/>
                      <w:sz w:val="15"/>
                      <w:szCs w:val="15"/>
                    </w:rPr>
                  </w:pPr>
                  <w:r w:rsidRPr="00273ED1">
                    <w:rPr>
                      <w:rFonts w:ascii="Calibri Light" w:hAnsi="Calibri Light" w:cs="Arial"/>
                      <w:sz w:val="15"/>
                      <w:szCs w:val="15"/>
                    </w:rPr>
                    <w:t>11,1%</w:t>
                  </w:r>
                </w:p>
              </w:tc>
              <w:tc>
                <w:tcPr>
                  <w:tcW w:w="919" w:type="dxa"/>
                  <w:gridSpan w:val="2"/>
                  <w:shd w:val="clear" w:color="auto" w:fill="auto"/>
                  <w:tcMar>
                    <w:left w:w="78" w:type="dxa"/>
                  </w:tcMar>
                  <w:vAlign w:val="bottom"/>
                </w:tcPr>
                <w:p w14:paraId="5A047435"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1,9%</w:t>
                  </w:r>
                </w:p>
              </w:tc>
              <w:tc>
                <w:tcPr>
                  <w:tcW w:w="919" w:type="dxa"/>
                  <w:gridSpan w:val="2"/>
                  <w:shd w:val="clear" w:color="auto" w:fill="auto"/>
                  <w:tcMar>
                    <w:left w:w="78" w:type="dxa"/>
                  </w:tcMar>
                  <w:vAlign w:val="bottom"/>
                </w:tcPr>
                <w:p w14:paraId="77EB039F"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11,6%</w:t>
                  </w:r>
                </w:p>
              </w:tc>
              <w:tc>
                <w:tcPr>
                  <w:tcW w:w="927" w:type="dxa"/>
                  <w:tcBorders>
                    <w:left w:val="single" w:sz="4" w:space="0" w:color="BFBFBF"/>
                    <w:right w:val="single" w:sz="4" w:space="0" w:color="BFBFBF"/>
                  </w:tcBorders>
                  <w:shd w:val="clear" w:color="auto" w:fill="auto"/>
                  <w:tcMar>
                    <w:left w:w="78" w:type="dxa"/>
                  </w:tcMar>
                  <w:vAlign w:val="bottom"/>
                </w:tcPr>
                <w:p w14:paraId="0DF6D9F5"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257,5%</w:t>
                  </w:r>
                </w:p>
              </w:tc>
            </w:tr>
            <w:tr w:rsidR="004976E9" w:rsidRPr="00273ED1" w14:paraId="136CD13E" w14:textId="77777777" w:rsidTr="00E31E69">
              <w:trPr>
                <w:trHeight w:val="170"/>
              </w:trPr>
              <w:tc>
                <w:tcPr>
                  <w:tcW w:w="2659" w:type="dxa"/>
                  <w:tcBorders>
                    <w:left w:val="single" w:sz="4" w:space="0" w:color="BFBFBF"/>
                  </w:tcBorders>
                  <w:shd w:val="clear" w:color="auto" w:fill="auto"/>
                  <w:tcMar>
                    <w:left w:w="78" w:type="dxa"/>
                  </w:tcMar>
                  <w:vAlign w:val="bottom"/>
                </w:tcPr>
                <w:p w14:paraId="71047EA0" w14:textId="77777777" w:rsidR="004976E9" w:rsidRPr="00273ED1" w:rsidRDefault="004976E9" w:rsidP="00E31E69">
                  <w:pPr>
                    <w:pStyle w:val="Paragraph"/>
                    <w:spacing w:before="0" w:after="0"/>
                    <w:rPr>
                      <w:sz w:val="15"/>
                      <w:szCs w:val="15"/>
                    </w:rPr>
                  </w:pPr>
                  <w:r w:rsidRPr="00273ED1">
                    <w:rPr>
                      <w:rFonts w:ascii="Calibri Light" w:hAnsi="Calibri Light" w:cs="Arial"/>
                      <w:sz w:val="15"/>
                      <w:szCs w:val="15"/>
                    </w:rPr>
                    <w:t>Margine operativo</w:t>
                  </w:r>
                </w:p>
              </w:tc>
              <w:tc>
                <w:tcPr>
                  <w:tcW w:w="918" w:type="dxa"/>
                  <w:gridSpan w:val="2"/>
                  <w:shd w:val="clear" w:color="auto" w:fill="auto"/>
                  <w:tcMar>
                    <w:left w:w="78" w:type="dxa"/>
                  </w:tcMar>
                </w:tcPr>
                <w:p w14:paraId="547AAC65" w14:textId="77777777" w:rsidR="004976E9" w:rsidRPr="00273ED1" w:rsidRDefault="00C20B97" w:rsidP="00E31E69">
                  <w:pPr>
                    <w:pStyle w:val="Paragraph"/>
                    <w:spacing w:before="0" w:after="0"/>
                    <w:jc w:val="right"/>
                    <w:rPr>
                      <w:rFonts w:cs="Arial"/>
                      <w:sz w:val="15"/>
                      <w:szCs w:val="15"/>
                    </w:rPr>
                  </w:pPr>
                  <w:r w:rsidRPr="00273ED1">
                    <w:rPr>
                      <w:rFonts w:ascii="Calibri Light" w:hAnsi="Calibri Light" w:cs="Arial"/>
                      <w:sz w:val="15"/>
                      <w:szCs w:val="15"/>
                    </w:rPr>
                    <w:t>6,9%</w:t>
                  </w:r>
                </w:p>
              </w:tc>
              <w:tc>
                <w:tcPr>
                  <w:tcW w:w="922" w:type="dxa"/>
                  <w:gridSpan w:val="2"/>
                  <w:shd w:val="clear" w:color="auto" w:fill="auto"/>
                  <w:tcMar>
                    <w:left w:w="78" w:type="dxa"/>
                  </w:tcMar>
                </w:tcPr>
                <w:p w14:paraId="01348AAB" w14:textId="77777777" w:rsidR="004976E9" w:rsidRPr="00273ED1" w:rsidRDefault="00C20B97" w:rsidP="00E31E69">
                  <w:pPr>
                    <w:pStyle w:val="Paragraph"/>
                    <w:spacing w:before="0" w:after="0"/>
                    <w:jc w:val="right"/>
                    <w:rPr>
                      <w:rFonts w:cs="Arial"/>
                      <w:sz w:val="15"/>
                      <w:szCs w:val="15"/>
                    </w:rPr>
                  </w:pPr>
                  <w:r w:rsidRPr="00273ED1">
                    <w:rPr>
                      <w:rFonts w:ascii="Calibri Light" w:hAnsi="Calibri Light" w:cs="Arial"/>
                      <w:sz w:val="15"/>
                      <w:szCs w:val="15"/>
                    </w:rPr>
                    <w:t>15,5%</w:t>
                  </w:r>
                </w:p>
              </w:tc>
              <w:tc>
                <w:tcPr>
                  <w:tcW w:w="919" w:type="dxa"/>
                  <w:gridSpan w:val="2"/>
                  <w:shd w:val="clear" w:color="auto" w:fill="auto"/>
                  <w:tcMar>
                    <w:left w:w="78" w:type="dxa"/>
                  </w:tcMar>
                  <w:vAlign w:val="bottom"/>
                </w:tcPr>
                <w:p w14:paraId="57B86BC8"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-1,5%</w:t>
                  </w:r>
                </w:p>
              </w:tc>
              <w:tc>
                <w:tcPr>
                  <w:tcW w:w="919" w:type="dxa"/>
                  <w:gridSpan w:val="2"/>
                  <w:shd w:val="clear" w:color="auto" w:fill="auto"/>
                  <w:tcMar>
                    <w:left w:w="78" w:type="dxa"/>
                  </w:tcMar>
                  <w:vAlign w:val="bottom"/>
                </w:tcPr>
                <w:p w14:paraId="590BB132"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7,8%</w:t>
                  </w:r>
                </w:p>
              </w:tc>
              <w:tc>
                <w:tcPr>
                  <w:tcW w:w="927" w:type="dxa"/>
                  <w:tcBorders>
                    <w:left w:val="single" w:sz="4" w:space="0" w:color="BFBFBF"/>
                    <w:right w:val="single" w:sz="4" w:space="0" w:color="BFBFBF"/>
                  </w:tcBorders>
                  <w:shd w:val="clear" w:color="auto" w:fill="auto"/>
                  <w:tcMar>
                    <w:left w:w="78" w:type="dxa"/>
                  </w:tcMar>
                  <w:vAlign w:val="bottom"/>
                </w:tcPr>
                <w:p w14:paraId="3099B2CB"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250,2%</w:t>
                  </w:r>
                </w:p>
              </w:tc>
            </w:tr>
            <w:tr w:rsidR="004976E9" w:rsidRPr="00273ED1" w14:paraId="21028CDB" w14:textId="77777777" w:rsidTr="00E31E69">
              <w:trPr>
                <w:trHeight w:val="170"/>
              </w:trPr>
              <w:tc>
                <w:tcPr>
                  <w:tcW w:w="2659" w:type="dxa"/>
                  <w:tcBorders>
                    <w:left w:val="single" w:sz="4" w:space="0" w:color="BFBFBF"/>
                  </w:tcBorders>
                  <w:shd w:val="clear" w:color="auto" w:fill="auto"/>
                  <w:tcMar>
                    <w:left w:w="78" w:type="dxa"/>
                  </w:tcMar>
                  <w:vAlign w:val="bottom"/>
                </w:tcPr>
                <w:p w14:paraId="50A3F38A" w14:textId="77777777" w:rsidR="004976E9" w:rsidRPr="00273ED1" w:rsidRDefault="004976E9" w:rsidP="00E31E69">
                  <w:pPr>
                    <w:pStyle w:val="Paragraph"/>
                    <w:spacing w:before="0" w:after="0"/>
                    <w:rPr>
                      <w:sz w:val="15"/>
                      <w:szCs w:val="15"/>
                    </w:rPr>
                  </w:pPr>
                  <w:r w:rsidRPr="00273ED1">
                    <w:rPr>
                      <w:rFonts w:ascii="Calibri Light" w:hAnsi="Calibri Light" w:cs="Arial"/>
                      <w:sz w:val="15"/>
                      <w:szCs w:val="15"/>
                    </w:rPr>
                    <w:t>Margine EBT</w:t>
                  </w:r>
                </w:p>
              </w:tc>
              <w:tc>
                <w:tcPr>
                  <w:tcW w:w="918" w:type="dxa"/>
                  <w:gridSpan w:val="2"/>
                  <w:shd w:val="clear" w:color="auto" w:fill="auto"/>
                  <w:tcMar>
                    <w:left w:w="78" w:type="dxa"/>
                  </w:tcMar>
                </w:tcPr>
                <w:p w14:paraId="3CC2E1EE" w14:textId="77777777" w:rsidR="004976E9" w:rsidRPr="00273ED1" w:rsidRDefault="00C20B97" w:rsidP="00E31E69">
                  <w:pPr>
                    <w:pStyle w:val="Paragraph"/>
                    <w:spacing w:before="0" w:after="0"/>
                    <w:jc w:val="right"/>
                    <w:rPr>
                      <w:rFonts w:cs="Arial"/>
                      <w:b/>
                      <w:sz w:val="15"/>
                      <w:szCs w:val="15"/>
                    </w:rPr>
                  </w:pPr>
                  <w:r w:rsidRPr="00273ED1">
                    <w:rPr>
                      <w:rFonts w:ascii="Calibri Light" w:hAnsi="Calibri Light" w:cs="Arial"/>
                      <w:sz w:val="15"/>
                      <w:szCs w:val="15"/>
                    </w:rPr>
                    <w:t>30,0%</w:t>
                  </w:r>
                </w:p>
              </w:tc>
              <w:tc>
                <w:tcPr>
                  <w:tcW w:w="922" w:type="dxa"/>
                  <w:gridSpan w:val="2"/>
                  <w:shd w:val="clear" w:color="auto" w:fill="auto"/>
                  <w:tcMar>
                    <w:left w:w="78" w:type="dxa"/>
                  </w:tcMar>
                </w:tcPr>
                <w:p w14:paraId="1B623769" w14:textId="77777777" w:rsidR="004976E9" w:rsidRPr="00273ED1" w:rsidRDefault="00C20B97" w:rsidP="00E31E69">
                  <w:pPr>
                    <w:pStyle w:val="Paragraph"/>
                    <w:spacing w:before="0" w:after="0"/>
                    <w:jc w:val="right"/>
                    <w:rPr>
                      <w:rFonts w:cs="Arial"/>
                      <w:b/>
                      <w:sz w:val="15"/>
                      <w:szCs w:val="15"/>
                    </w:rPr>
                  </w:pPr>
                  <w:r w:rsidRPr="00273ED1">
                    <w:rPr>
                      <w:rFonts w:ascii="Calibri Light" w:hAnsi="Calibri Light" w:cs="Arial"/>
                      <w:sz w:val="15"/>
                      <w:szCs w:val="15"/>
                    </w:rPr>
                    <w:t>38,2%</w:t>
                  </w:r>
                </w:p>
              </w:tc>
              <w:tc>
                <w:tcPr>
                  <w:tcW w:w="919" w:type="dxa"/>
                  <w:gridSpan w:val="2"/>
                  <w:shd w:val="clear" w:color="auto" w:fill="auto"/>
                  <w:tcMar>
                    <w:left w:w="78" w:type="dxa"/>
                  </w:tcMar>
                  <w:vAlign w:val="bottom"/>
                </w:tcPr>
                <w:p w14:paraId="21F489B8"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-18,4%</w:t>
                  </w:r>
                </w:p>
              </w:tc>
              <w:tc>
                <w:tcPr>
                  <w:tcW w:w="919" w:type="dxa"/>
                  <w:gridSpan w:val="2"/>
                  <w:shd w:val="clear" w:color="auto" w:fill="auto"/>
                  <w:tcMar>
                    <w:left w:w="78" w:type="dxa"/>
                  </w:tcMar>
                  <w:vAlign w:val="bottom"/>
                </w:tcPr>
                <w:p w14:paraId="3D5411C4"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-6,4%</w:t>
                  </w:r>
                </w:p>
              </w:tc>
              <w:tc>
                <w:tcPr>
                  <w:tcW w:w="927" w:type="dxa"/>
                  <w:tcBorders>
                    <w:left w:val="single" w:sz="4" w:space="0" w:color="BFBFBF"/>
                    <w:right w:val="single" w:sz="4" w:space="0" w:color="BFBFBF"/>
                  </w:tcBorders>
                  <w:shd w:val="clear" w:color="auto" w:fill="auto"/>
                  <w:tcMar>
                    <w:left w:w="78" w:type="dxa"/>
                  </w:tcMar>
                  <w:vAlign w:val="bottom"/>
                </w:tcPr>
                <w:p w14:paraId="5D3A4F56"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223,9%</w:t>
                  </w:r>
                </w:p>
              </w:tc>
            </w:tr>
            <w:tr w:rsidR="004976E9" w:rsidRPr="00273ED1" w14:paraId="58AA642C" w14:textId="77777777" w:rsidTr="00E31E69">
              <w:trPr>
                <w:trHeight w:val="170"/>
              </w:trPr>
              <w:tc>
                <w:tcPr>
                  <w:tcW w:w="2659" w:type="dxa"/>
                  <w:tcBorders>
                    <w:left w:val="single" w:sz="4" w:space="0" w:color="BFBFBF"/>
                  </w:tcBorders>
                  <w:shd w:val="clear" w:color="auto" w:fill="auto"/>
                  <w:tcMar>
                    <w:left w:w="78" w:type="dxa"/>
                  </w:tcMar>
                  <w:vAlign w:val="bottom"/>
                </w:tcPr>
                <w:p w14:paraId="79E275A3" w14:textId="77777777" w:rsidR="004976E9" w:rsidRPr="00273ED1" w:rsidRDefault="004976E9" w:rsidP="00E31E69">
                  <w:pPr>
                    <w:pStyle w:val="Paragraph"/>
                    <w:spacing w:before="0" w:after="0"/>
                    <w:rPr>
                      <w:sz w:val="15"/>
                      <w:szCs w:val="15"/>
                    </w:rPr>
                  </w:pPr>
                  <w:r w:rsidRPr="00273ED1">
                    <w:rPr>
                      <w:rFonts w:ascii="Calibri Light" w:hAnsi="Calibri Light" w:cs="Arial"/>
                      <w:sz w:val="15"/>
                      <w:szCs w:val="15"/>
                    </w:rPr>
                    <w:t>Margine netto</w:t>
                  </w:r>
                </w:p>
              </w:tc>
              <w:tc>
                <w:tcPr>
                  <w:tcW w:w="918" w:type="dxa"/>
                  <w:gridSpan w:val="2"/>
                  <w:shd w:val="clear" w:color="auto" w:fill="auto"/>
                  <w:tcMar>
                    <w:left w:w="78" w:type="dxa"/>
                  </w:tcMar>
                </w:tcPr>
                <w:p w14:paraId="7FC7E460" w14:textId="77777777" w:rsidR="004976E9" w:rsidRPr="00273ED1" w:rsidRDefault="00C20B97" w:rsidP="00E31E69">
                  <w:pPr>
                    <w:pStyle w:val="Paragraph"/>
                    <w:spacing w:before="0" w:after="0"/>
                    <w:jc w:val="right"/>
                    <w:rPr>
                      <w:rFonts w:cs="Arial"/>
                      <w:sz w:val="15"/>
                      <w:szCs w:val="15"/>
                    </w:rPr>
                  </w:pPr>
                  <w:r w:rsidRPr="00273ED1">
                    <w:rPr>
                      <w:rFonts w:ascii="Calibri Light" w:hAnsi="Calibri Light" w:cs="Arial"/>
                      <w:sz w:val="15"/>
                      <w:szCs w:val="15"/>
                    </w:rPr>
                    <w:t>30,5%</w:t>
                  </w:r>
                </w:p>
              </w:tc>
              <w:tc>
                <w:tcPr>
                  <w:tcW w:w="922" w:type="dxa"/>
                  <w:gridSpan w:val="2"/>
                  <w:shd w:val="clear" w:color="auto" w:fill="auto"/>
                  <w:tcMar>
                    <w:left w:w="78" w:type="dxa"/>
                  </w:tcMar>
                </w:tcPr>
                <w:p w14:paraId="329121F3" w14:textId="77777777" w:rsidR="004976E9" w:rsidRPr="00273ED1" w:rsidRDefault="00C20B97" w:rsidP="00E31E69">
                  <w:pPr>
                    <w:pStyle w:val="Paragraph"/>
                    <w:spacing w:before="0" w:after="0"/>
                    <w:jc w:val="right"/>
                    <w:rPr>
                      <w:rFonts w:cs="Arial"/>
                      <w:sz w:val="15"/>
                      <w:szCs w:val="15"/>
                    </w:rPr>
                  </w:pPr>
                  <w:r w:rsidRPr="00273ED1">
                    <w:rPr>
                      <w:rFonts w:ascii="Calibri Light" w:hAnsi="Calibri Light" w:cs="Arial"/>
                      <w:sz w:val="15"/>
                      <w:szCs w:val="15"/>
                    </w:rPr>
                    <w:t>38,4%</w:t>
                  </w:r>
                </w:p>
              </w:tc>
              <w:tc>
                <w:tcPr>
                  <w:tcW w:w="919" w:type="dxa"/>
                  <w:gridSpan w:val="2"/>
                  <w:shd w:val="clear" w:color="auto" w:fill="auto"/>
                  <w:tcMar>
                    <w:left w:w="78" w:type="dxa"/>
                  </w:tcMar>
                  <w:vAlign w:val="bottom"/>
                </w:tcPr>
                <w:p w14:paraId="04D0307C"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-19,5%</w:t>
                  </w:r>
                </w:p>
              </w:tc>
              <w:tc>
                <w:tcPr>
                  <w:tcW w:w="919" w:type="dxa"/>
                  <w:gridSpan w:val="2"/>
                  <w:shd w:val="clear" w:color="auto" w:fill="auto"/>
                  <w:tcMar>
                    <w:left w:w="78" w:type="dxa"/>
                  </w:tcMar>
                  <w:vAlign w:val="bottom"/>
                </w:tcPr>
                <w:p w14:paraId="41E0CA48"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-11,0%</w:t>
                  </w:r>
                </w:p>
              </w:tc>
              <w:tc>
                <w:tcPr>
                  <w:tcW w:w="927" w:type="dxa"/>
                  <w:tcBorders>
                    <w:left w:val="single" w:sz="4" w:space="0" w:color="BFBFBF"/>
                    <w:right w:val="single" w:sz="4" w:space="0" w:color="BFBFBF"/>
                  </w:tcBorders>
                  <w:shd w:val="clear" w:color="auto" w:fill="auto"/>
                  <w:tcMar>
                    <w:left w:w="78" w:type="dxa"/>
                  </w:tcMar>
                  <w:vAlign w:val="bottom"/>
                </w:tcPr>
                <w:p w14:paraId="67BCFFB3"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205,5%</w:t>
                  </w:r>
                </w:p>
              </w:tc>
            </w:tr>
            <w:tr w:rsidR="004976E9" w:rsidRPr="00273ED1" w14:paraId="21264AC8" w14:textId="77777777" w:rsidTr="00E31E69">
              <w:trPr>
                <w:trHeight w:val="170"/>
              </w:trPr>
              <w:tc>
                <w:tcPr>
                  <w:tcW w:w="2659" w:type="dxa"/>
                  <w:tcBorders>
                    <w:left w:val="single" w:sz="4" w:space="0" w:color="BFBFBF"/>
                  </w:tcBorders>
                  <w:shd w:val="clear" w:color="auto" w:fill="auto"/>
                  <w:tcMar>
                    <w:left w:w="78" w:type="dxa"/>
                  </w:tcMar>
                  <w:vAlign w:val="bottom"/>
                </w:tcPr>
                <w:p w14:paraId="1BD1C647" w14:textId="77777777" w:rsidR="004976E9" w:rsidRPr="00273ED1" w:rsidRDefault="004976E9" w:rsidP="00E31E69">
                  <w:pPr>
                    <w:pStyle w:val="Paragraph"/>
                    <w:spacing w:before="0" w:after="0"/>
                    <w:rPr>
                      <w:sz w:val="15"/>
                      <w:szCs w:val="15"/>
                    </w:rPr>
                  </w:pPr>
                  <w:r w:rsidRPr="00273ED1">
                    <w:rPr>
                      <w:rFonts w:ascii="Calibri Light" w:hAnsi="Calibri Light" w:cs="Arial"/>
                      <w:sz w:val="15"/>
                      <w:szCs w:val="15"/>
                    </w:rPr>
                    <w:t>Margine netto per gli azionisti</w:t>
                  </w:r>
                </w:p>
              </w:tc>
              <w:tc>
                <w:tcPr>
                  <w:tcW w:w="918" w:type="dxa"/>
                  <w:gridSpan w:val="2"/>
                  <w:shd w:val="clear" w:color="auto" w:fill="auto"/>
                  <w:tcMar>
                    <w:left w:w="78" w:type="dxa"/>
                  </w:tcMar>
                </w:tcPr>
                <w:p w14:paraId="59B0408C" w14:textId="77777777" w:rsidR="004976E9" w:rsidRPr="00273ED1" w:rsidRDefault="00C20B97" w:rsidP="00E31E69">
                  <w:pPr>
                    <w:pStyle w:val="Paragraph"/>
                    <w:spacing w:before="0" w:after="0"/>
                    <w:jc w:val="right"/>
                    <w:rPr>
                      <w:rFonts w:cs="Arial"/>
                      <w:sz w:val="15"/>
                      <w:szCs w:val="15"/>
                    </w:rPr>
                  </w:pPr>
                  <w:r w:rsidRPr="00273ED1">
                    <w:rPr>
                      <w:rFonts w:ascii="Calibri Light" w:hAnsi="Calibri Light" w:cs="Arial"/>
                      <w:sz w:val="15"/>
                      <w:szCs w:val="15"/>
                    </w:rPr>
                    <w:t>29,9%</w:t>
                  </w:r>
                </w:p>
              </w:tc>
              <w:tc>
                <w:tcPr>
                  <w:tcW w:w="922" w:type="dxa"/>
                  <w:gridSpan w:val="2"/>
                  <w:shd w:val="clear" w:color="auto" w:fill="auto"/>
                  <w:tcMar>
                    <w:left w:w="78" w:type="dxa"/>
                  </w:tcMar>
                </w:tcPr>
                <w:p w14:paraId="59A921E2" w14:textId="77777777" w:rsidR="004976E9" w:rsidRPr="00273ED1" w:rsidRDefault="00C20B97" w:rsidP="00E31E69">
                  <w:pPr>
                    <w:pStyle w:val="Paragraph"/>
                    <w:spacing w:before="0" w:after="0"/>
                    <w:jc w:val="right"/>
                    <w:rPr>
                      <w:rFonts w:cs="Arial"/>
                      <w:sz w:val="15"/>
                      <w:szCs w:val="15"/>
                    </w:rPr>
                  </w:pPr>
                  <w:r w:rsidRPr="00273ED1">
                    <w:rPr>
                      <w:rFonts w:ascii="Calibri Light" w:hAnsi="Calibri Light" w:cs="Arial"/>
                      <w:sz w:val="15"/>
                      <w:szCs w:val="15"/>
                    </w:rPr>
                    <w:t>38,0%</w:t>
                  </w:r>
                </w:p>
              </w:tc>
              <w:tc>
                <w:tcPr>
                  <w:tcW w:w="919" w:type="dxa"/>
                  <w:gridSpan w:val="2"/>
                  <w:shd w:val="clear" w:color="auto" w:fill="auto"/>
                  <w:tcMar>
                    <w:left w:w="78" w:type="dxa"/>
                  </w:tcMar>
                  <w:vAlign w:val="bottom"/>
                </w:tcPr>
                <w:p w14:paraId="4885D1F0"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-18,9%</w:t>
                  </w:r>
                </w:p>
              </w:tc>
              <w:tc>
                <w:tcPr>
                  <w:tcW w:w="919" w:type="dxa"/>
                  <w:gridSpan w:val="2"/>
                  <w:shd w:val="clear" w:color="auto" w:fill="auto"/>
                  <w:tcMar>
                    <w:left w:w="78" w:type="dxa"/>
                  </w:tcMar>
                  <w:vAlign w:val="bottom"/>
                </w:tcPr>
                <w:p w14:paraId="50D3C12C"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-10,6%</w:t>
                  </w:r>
                </w:p>
              </w:tc>
              <w:tc>
                <w:tcPr>
                  <w:tcW w:w="927" w:type="dxa"/>
                  <w:tcBorders>
                    <w:left w:val="single" w:sz="4" w:space="0" w:color="BFBFBF"/>
                    <w:right w:val="single" w:sz="4" w:space="0" w:color="BFBFBF"/>
                  </w:tcBorders>
                  <w:shd w:val="clear" w:color="auto" w:fill="auto"/>
                  <w:tcMar>
                    <w:left w:w="78" w:type="dxa"/>
                  </w:tcMar>
                  <w:vAlign w:val="bottom"/>
                </w:tcPr>
                <w:p w14:paraId="66A69EC8"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206,9%</w:t>
                  </w:r>
                </w:p>
              </w:tc>
            </w:tr>
            <w:tr w:rsidR="004976E9" w:rsidRPr="00273ED1" w14:paraId="00AC0E40" w14:textId="77777777" w:rsidTr="00E31E69">
              <w:trPr>
                <w:trHeight w:val="170"/>
              </w:trPr>
              <w:tc>
                <w:tcPr>
                  <w:tcW w:w="2659" w:type="dxa"/>
                  <w:tcBorders>
                    <w:left w:val="single" w:sz="4" w:space="0" w:color="BFBFBF"/>
                  </w:tcBorders>
                  <w:shd w:val="clear" w:color="auto" w:fill="auto"/>
                  <w:tcMar>
                    <w:left w:w="78" w:type="dxa"/>
                  </w:tcMar>
                  <w:vAlign w:val="bottom"/>
                </w:tcPr>
                <w:p w14:paraId="550F9241" w14:textId="77777777" w:rsidR="004976E9" w:rsidRPr="00273ED1" w:rsidRDefault="004976E9" w:rsidP="00E31E69">
                  <w:pPr>
                    <w:pStyle w:val="Paragraph"/>
                    <w:spacing w:before="0" w:after="0"/>
                    <w:rPr>
                      <w:sz w:val="15"/>
                      <w:szCs w:val="15"/>
                    </w:rPr>
                  </w:pPr>
                  <w:r w:rsidRPr="00273ED1">
                    <w:rPr>
                      <w:rFonts w:ascii="Calibri Light" w:hAnsi="Calibri Light" w:cs="Arial"/>
                      <w:sz w:val="15"/>
                      <w:szCs w:val="15"/>
                    </w:rPr>
                    <w:t>Utili per azione (EPS)</w:t>
                  </w:r>
                </w:p>
              </w:tc>
              <w:tc>
                <w:tcPr>
                  <w:tcW w:w="918" w:type="dxa"/>
                  <w:gridSpan w:val="2"/>
                  <w:shd w:val="clear" w:color="auto" w:fill="auto"/>
                  <w:tcMar>
                    <w:left w:w="78" w:type="dxa"/>
                  </w:tcMar>
                </w:tcPr>
                <w:p w14:paraId="516A98E9" w14:textId="77777777" w:rsidR="004976E9" w:rsidRPr="00273ED1" w:rsidRDefault="00C20B97" w:rsidP="00E31E69">
                  <w:pPr>
                    <w:pStyle w:val="Paragraph"/>
                    <w:spacing w:before="0" w:after="0"/>
                    <w:jc w:val="right"/>
                    <w:rPr>
                      <w:rFonts w:cs="Arial"/>
                      <w:sz w:val="15"/>
                      <w:szCs w:val="15"/>
                    </w:rPr>
                  </w:pPr>
                  <w:r w:rsidRPr="00273ED1">
                    <w:rPr>
                      <w:rFonts w:ascii="Calibri Light" w:hAnsi="Calibri Light" w:cs="Arial"/>
                      <w:sz w:val="15"/>
                      <w:szCs w:val="15"/>
                    </w:rPr>
                    <w:t>0,04</w:t>
                  </w:r>
                </w:p>
              </w:tc>
              <w:tc>
                <w:tcPr>
                  <w:tcW w:w="922" w:type="dxa"/>
                  <w:gridSpan w:val="2"/>
                  <w:shd w:val="clear" w:color="auto" w:fill="auto"/>
                  <w:tcMar>
                    <w:left w:w="78" w:type="dxa"/>
                  </w:tcMar>
                </w:tcPr>
                <w:p w14:paraId="0178FF8F" w14:textId="77777777" w:rsidR="004976E9" w:rsidRPr="00273ED1" w:rsidRDefault="00C20B97" w:rsidP="00E31E69">
                  <w:pPr>
                    <w:pStyle w:val="Paragraph"/>
                    <w:spacing w:before="0" w:after="0"/>
                    <w:jc w:val="right"/>
                    <w:rPr>
                      <w:rFonts w:cs="Arial"/>
                      <w:sz w:val="15"/>
                      <w:szCs w:val="15"/>
                    </w:rPr>
                  </w:pPr>
                  <w:r w:rsidRPr="00273ED1">
                    <w:rPr>
                      <w:rFonts w:ascii="Calibri Light" w:hAnsi="Calibri Light" w:cs="Arial"/>
                      <w:sz w:val="15"/>
                      <w:szCs w:val="15"/>
                    </w:rPr>
                    <w:t>0,06</w:t>
                  </w:r>
                </w:p>
              </w:tc>
              <w:tc>
                <w:tcPr>
                  <w:tcW w:w="919" w:type="dxa"/>
                  <w:gridSpan w:val="2"/>
                  <w:shd w:val="clear" w:color="auto" w:fill="auto"/>
                  <w:tcMar>
                    <w:left w:w="78" w:type="dxa"/>
                  </w:tcMar>
                  <w:vAlign w:val="bottom"/>
                </w:tcPr>
                <w:p w14:paraId="19F0CD6B"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-0,07</w:t>
                  </w:r>
                </w:p>
              </w:tc>
              <w:tc>
                <w:tcPr>
                  <w:tcW w:w="919" w:type="dxa"/>
                  <w:gridSpan w:val="2"/>
                  <w:shd w:val="clear" w:color="auto" w:fill="auto"/>
                  <w:tcMar>
                    <w:left w:w="78" w:type="dxa"/>
                  </w:tcMar>
                  <w:vAlign w:val="bottom"/>
                </w:tcPr>
                <w:p w14:paraId="46054BC0"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-0,04</w:t>
                  </w:r>
                </w:p>
              </w:tc>
              <w:tc>
                <w:tcPr>
                  <w:tcW w:w="927" w:type="dxa"/>
                  <w:tcBorders>
                    <w:left w:val="single" w:sz="4" w:space="0" w:color="BFBFBF"/>
                    <w:right w:val="single" w:sz="4" w:space="0" w:color="BFBFBF"/>
                  </w:tcBorders>
                  <w:shd w:val="clear" w:color="auto" w:fill="auto"/>
                  <w:tcMar>
                    <w:left w:w="78" w:type="dxa"/>
                  </w:tcMar>
                  <w:vAlign w:val="bottom"/>
                </w:tcPr>
                <w:p w14:paraId="5437EDD6"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0,39</w:t>
                  </w:r>
                </w:p>
              </w:tc>
            </w:tr>
            <w:tr w:rsidR="004976E9" w:rsidRPr="00273ED1" w14:paraId="6DFD632A" w14:textId="77777777" w:rsidTr="00E31E69">
              <w:trPr>
                <w:trHeight w:val="170"/>
              </w:trPr>
              <w:tc>
                <w:tcPr>
                  <w:tcW w:w="2659" w:type="dxa"/>
                  <w:tcBorders>
                    <w:left w:val="single" w:sz="4" w:space="0" w:color="BFBFBF"/>
                  </w:tcBorders>
                  <w:shd w:val="clear" w:color="auto" w:fill="auto"/>
                  <w:tcMar>
                    <w:left w:w="78" w:type="dxa"/>
                  </w:tcMar>
                  <w:vAlign w:val="bottom"/>
                </w:tcPr>
                <w:p w14:paraId="63AB691E" w14:textId="13E77CD0" w:rsidR="004976E9" w:rsidRPr="00273ED1" w:rsidRDefault="004976E9" w:rsidP="00E31E69">
                  <w:pPr>
                    <w:pStyle w:val="Paragraph"/>
                    <w:spacing w:before="0" w:after="0"/>
                    <w:rPr>
                      <w:sz w:val="15"/>
                      <w:szCs w:val="15"/>
                    </w:rPr>
                  </w:pPr>
                  <w:r w:rsidRPr="00273ED1">
                    <w:rPr>
                      <w:rFonts w:ascii="Calibri Light" w:hAnsi="Calibri Light" w:cs="Arial"/>
                      <w:sz w:val="15"/>
                      <w:szCs w:val="15"/>
                    </w:rPr>
                    <w:t xml:space="preserve">Prezzo di chiusura azioni (Nasdaq </w:t>
                  </w:r>
                  <w:r w:rsidR="00093EFE" w:rsidRPr="00273ED1">
                    <w:rPr>
                      <w:rFonts w:ascii="Calibri Light" w:hAnsi="Calibri Light" w:cs="Arial"/>
                      <w:sz w:val="15"/>
                      <w:szCs w:val="15"/>
                    </w:rPr>
                    <w:t>Tallin</w:t>
                  </w:r>
                  <w:r w:rsidR="00645C62" w:rsidRPr="00273ED1">
                    <w:rPr>
                      <w:rFonts w:ascii="Calibri Light" w:hAnsi="Calibri Light" w:cs="Arial"/>
                      <w:sz w:val="15"/>
                      <w:szCs w:val="15"/>
                    </w:rPr>
                    <w:t>n</w:t>
                  </w:r>
                  <w:r w:rsidRPr="00273ED1">
                    <w:rPr>
                      <w:rFonts w:ascii="Calibri Light" w:hAnsi="Calibri Light" w:cs="Arial"/>
                      <w:sz w:val="15"/>
                      <w:szCs w:val="15"/>
                    </w:rPr>
                    <w:t>)</w:t>
                  </w:r>
                </w:p>
              </w:tc>
              <w:tc>
                <w:tcPr>
                  <w:tcW w:w="918" w:type="dxa"/>
                  <w:gridSpan w:val="2"/>
                  <w:shd w:val="clear" w:color="auto" w:fill="auto"/>
                  <w:tcMar>
                    <w:left w:w="78" w:type="dxa"/>
                  </w:tcMar>
                </w:tcPr>
                <w:p w14:paraId="41EC82C2" w14:textId="77777777" w:rsidR="004976E9" w:rsidRPr="00273ED1" w:rsidRDefault="00C20B97" w:rsidP="00E31E69">
                  <w:pPr>
                    <w:pStyle w:val="Paragraph"/>
                    <w:spacing w:before="0" w:after="0"/>
                    <w:jc w:val="right"/>
                    <w:rPr>
                      <w:rFonts w:cs="Arial"/>
                      <w:sz w:val="15"/>
                      <w:szCs w:val="15"/>
                    </w:rPr>
                  </w:pPr>
                  <w:r w:rsidRPr="00273ED1">
                    <w:rPr>
                      <w:rFonts w:ascii="Calibri Light" w:hAnsi="Calibri Light" w:cs="Arial"/>
                      <w:sz w:val="15"/>
                      <w:szCs w:val="15"/>
                    </w:rPr>
                    <w:t>2,15</w:t>
                  </w:r>
                </w:p>
              </w:tc>
              <w:tc>
                <w:tcPr>
                  <w:tcW w:w="922" w:type="dxa"/>
                  <w:gridSpan w:val="2"/>
                  <w:shd w:val="clear" w:color="auto" w:fill="auto"/>
                  <w:tcMar>
                    <w:left w:w="78" w:type="dxa"/>
                  </w:tcMar>
                </w:tcPr>
                <w:p w14:paraId="29613022" w14:textId="77777777" w:rsidR="004976E9" w:rsidRPr="00273ED1" w:rsidRDefault="00C20B97" w:rsidP="00E31E69">
                  <w:pPr>
                    <w:pStyle w:val="Paragraph"/>
                    <w:spacing w:before="0" w:after="0"/>
                    <w:jc w:val="right"/>
                    <w:rPr>
                      <w:rFonts w:cs="Arial"/>
                      <w:sz w:val="15"/>
                      <w:szCs w:val="15"/>
                    </w:rPr>
                  </w:pPr>
                  <w:r w:rsidRPr="00273ED1">
                    <w:rPr>
                      <w:rFonts w:ascii="Calibri Light" w:hAnsi="Calibri Light" w:cs="Arial"/>
                      <w:sz w:val="15"/>
                      <w:szCs w:val="15"/>
                    </w:rPr>
                    <w:t>2,19</w:t>
                  </w:r>
                </w:p>
              </w:tc>
              <w:tc>
                <w:tcPr>
                  <w:tcW w:w="919" w:type="dxa"/>
                  <w:gridSpan w:val="2"/>
                  <w:shd w:val="clear" w:color="auto" w:fill="auto"/>
                  <w:tcMar>
                    <w:left w:w="78" w:type="dxa"/>
                  </w:tcMar>
                  <w:vAlign w:val="bottom"/>
                </w:tcPr>
                <w:p w14:paraId="10805229"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1,96</w:t>
                  </w:r>
                </w:p>
              </w:tc>
              <w:tc>
                <w:tcPr>
                  <w:tcW w:w="919" w:type="dxa"/>
                  <w:gridSpan w:val="2"/>
                  <w:shd w:val="clear" w:color="auto" w:fill="auto"/>
                  <w:tcMar>
                    <w:left w:w="78" w:type="dxa"/>
                  </w:tcMar>
                  <w:vAlign w:val="bottom"/>
                </w:tcPr>
                <w:p w14:paraId="25DC9F26"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2,23</w:t>
                  </w:r>
                </w:p>
              </w:tc>
              <w:tc>
                <w:tcPr>
                  <w:tcW w:w="927" w:type="dxa"/>
                  <w:tcBorders>
                    <w:left w:val="single" w:sz="4" w:space="0" w:color="BFBFBF"/>
                    <w:right w:val="single" w:sz="4" w:space="0" w:color="BFBFBF"/>
                  </w:tcBorders>
                  <w:shd w:val="clear" w:color="auto" w:fill="auto"/>
                  <w:tcMar>
                    <w:left w:w="78" w:type="dxa"/>
                  </w:tcMar>
                  <w:vAlign w:val="bottom"/>
                </w:tcPr>
                <w:p w14:paraId="1BD24DBF"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2,50</w:t>
                  </w:r>
                </w:p>
              </w:tc>
            </w:tr>
            <w:tr w:rsidR="004976E9" w:rsidRPr="00273ED1" w14:paraId="5617AF44" w14:textId="77777777" w:rsidTr="00E31E69">
              <w:trPr>
                <w:trHeight w:val="170"/>
              </w:trPr>
              <w:tc>
                <w:tcPr>
                  <w:tcW w:w="2659" w:type="dxa"/>
                  <w:tcBorders>
                    <w:left w:val="single" w:sz="4" w:space="0" w:color="BFBFBF"/>
                  </w:tcBorders>
                  <w:shd w:val="clear" w:color="auto" w:fill="auto"/>
                  <w:tcMar>
                    <w:left w:w="78" w:type="dxa"/>
                  </w:tcMar>
                  <w:vAlign w:val="bottom"/>
                </w:tcPr>
                <w:p w14:paraId="2CD226BD" w14:textId="77777777" w:rsidR="004976E9" w:rsidRPr="00273ED1" w:rsidRDefault="004976E9" w:rsidP="00E31E69">
                  <w:pPr>
                    <w:pStyle w:val="Paragraph"/>
                    <w:spacing w:before="0" w:after="0"/>
                    <w:rPr>
                      <w:sz w:val="15"/>
                      <w:szCs w:val="15"/>
                    </w:rPr>
                  </w:pPr>
                  <w:r w:rsidRPr="00273ED1">
                    <w:rPr>
                      <w:rFonts w:ascii="Calibri Light" w:hAnsi="Calibri Light" w:cs="Arial"/>
                      <w:sz w:val="15"/>
                      <w:szCs w:val="15"/>
                    </w:rPr>
                    <w:t xml:space="preserve">Indice P/E </w:t>
                  </w:r>
                </w:p>
              </w:tc>
              <w:tc>
                <w:tcPr>
                  <w:tcW w:w="918" w:type="dxa"/>
                  <w:gridSpan w:val="2"/>
                  <w:shd w:val="clear" w:color="auto" w:fill="auto"/>
                  <w:tcMar>
                    <w:left w:w="78" w:type="dxa"/>
                  </w:tcMar>
                </w:tcPr>
                <w:p w14:paraId="1524EA78" w14:textId="77777777" w:rsidR="004976E9" w:rsidRPr="00273ED1" w:rsidRDefault="00C20B97" w:rsidP="00E31E69">
                  <w:pPr>
                    <w:pStyle w:val="Paragraph"/>
                    <w:spacing w:before="0" w:after="0"/>
                    <w:jc w:val="right"/>
                    <w:rPr>
                      <w:sz w:val="15"/>
                      <w:szCs w:val="15"/>
                    </w:rPr>
                  </w:pPr>
                  <w:r w:rsidRPr="00273ED1">
                    <w:rPr>
                      <w:rFonts w:ascii="Calibri Light" w:hAnsi="Calibri Light" w:cs="Arial"/>
                      <w:sz w:val="15"/>
                      <w:szCs w:val="15"/>
                    </w:rPr>
                    <w:t>50,51</w:t>
                  </w:r>
                </w:p>
              </w:tc>
              <w:tc>
                <w:tcPr>
                  <w:tcW w:w="922" w:type="dxa"/>
                  <w:gridSpan w:val="2"/>
                  <w:shd w:val="clear" w:color="auto" w:fill="auto"/>
                  <w:tcMar>
                    <w:left w:w="78" w:type="dxa"/>
                  </w:tcMar>
                </w:tcPr>
                <w:p w14:paraId="4443ADD9" w14:textId="77777777" w:rsidR="004976E9" w:rsidRPr="00273ED1" w:rsidRDefault="00C20B97" w:rsidP="00E31E69">
                  <w:pPr>
                    <w:pStyle w:val="Paragraph"/>
                    <w:spacing w:before="0" w:after="0"/>
                    <w:jc w:val="right"/>
                    <w:rPr>
                      <w:rFonts w:cs="Arial"/>
                      <w:sz w:val="15"/>
                      <w:szCs w:val="15"/>
                    </w:rPr>
                  </w:pPr>
                  <w:r w:rsidRPr="00273ED1">
                    <w:rPr>
                      <w:rFonts w:ascii="Calibri Light" w:hAnsi="Calibri Light" w:cs="Arial"/>
                      <w:sz w:val="15"/>
                      <w:szCs w:val="15"/>
                    </w:rPr>
                    <w:t>37,70</w:t>
                  </w:r>
                </w:p>
              </w:tc>
              <w:tc>
                <w:tcPr>
                  <w:tcW w:w="919" w:type="dxa"/>
                  <w:gridSpan w:val="2"/>
                  <w:shd w:val="clear" w:color="auto" w:fill="auto"/>
                  <w:tcMar>
                    <w:left w:w="78" w:type="dxa"/>
                  </w:tcMar>
                  <w:vAlign w:val="bottom"/>
                </w:tcPr>
                <w:p w14:paraId="737136C5"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-28,00</w:t>
                  </w:r>
                </w:p>
              </w:tc>
              <w:tc>
                <w:tcPr>
                  <w:tcW w:w="919" w:type="dxa"/>
                  <w:gridSpan w:val="2"/>
                  <w:shd w:val="clear" w:color="auto" w:fill="auto"/>
                  <w:tcMar>
                    <w:left w:w="78" w:type="dxa"/>
                  </w:tcMar>
                  <w:vAlign w:val="bottom"/>
                </w:tcPr>
                <w:p w14:paraId="594F14B5"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-55,75</w:t>
                  </w:r>
                </w:p>
              </w:tc>
              <w:tc>
                <w:tcPr>
                  <w:tcW w:w="927" w:type="dxa"/>
                  <w:tcBorders>
                    <w:left w:val="single" w:sz="4" w:space="0" w:color="BFBFBF"/>
                    <w:right w:val="single" w:sz="4" w:space="0" w:color="BFBFBF"/>
                  </w:tcBorders>
                  <w:shd w:val="clear" w:color="auto" w:fill="auto"/>
                  <w:tcMar>
                    <w:left w:w="78" w:type="dxa"/>
                  </w:tcMar>
                  <w:vAlign w:val="bottom"/>
                </w:tcPr>
                <w:p w14:paraId="49DA4862"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6,41</w:t>
                  </w:r>
                </w:p>
              </w:tc>
            </w:tr>
            <w:tr w:rsidR="004976E9" w:rsidRPr="00273ED1" w14:paraId="06C44CC5" w14:textId="77777777" w:rsidTr="00E31E69">
              <w:trPr>
                <w:trHeight w:val="170"/>
              </w:trPr>
              <w:tc>
                <w:tcPr>
                  <w:tcW w:w="7264" w:type="dxa"/>
                  <w:gridSpan w:val="10"/>
                  <w:tcBorders>
                    <w:left w:val="single" w:sz="4" w:space="0" w:color="BFBFBF"/>
                  </w:tcBorders>
                  <w:shd w:val="clear" w:color="auto" w:fill="auto"/>
                  <w:tcMar>
                    <w:left w:w="78" w:type="dxa"/>
                  </w:tcMar>
                  <w:vAlign w:val="bottom"/>
                </w:tcPr>
                <w:p w14:paraId="65ABB179" w14:textId="77777777" w:rsidR="004976E9" w:rsidRPr="00273ED1" w:rsidRDefault="004976E9" w:rsidP="00E31E69">
                  <w:pPr>
                    <w:pStyle w:val="Paragraph"/>
                    <w:spacing w:before="0" w:after="0"/>
                    <w:rPr>
                      <w:sz w:val="15"/>
                      <w:szCs w:val="15"/>
                    </w:rPr>
                  </w:pPr>
                  <w:r w:rsidRPr="00273ED1">
                    <w:rPr>
                      <w:rFonts w:ascii="Calibri Light" w:hAnsi="Calibri Light" w:cs="Arial"/>
                      <w:i/>
                      <w:iCs/>
                      <w:color w:val="000000" w:themeColor="text1"/>
                      <w:sz w:val="15"/>
                      <w:szCs w:val="15"/>
                      <w:lang w:eastAsia="lt-LT"/>
                    </w:rPr>
                    <w:t>Fonte: Bilanci, la Società</w:t>
                  </w:r>
                </w:p>
              </w:tc>
            </w:tr>
            <w:tr w:rsidR="004976E9" w:rsidRPr="00273ED1" w14:paraId="1EAA67CE" w14:textId="77777777" w:rsidTr="00E31E69">
              <w:trPr>
                <w:trHeight w:val="170"/>
              </w:trPr>
              <w:tc>
                <w:tcPr>
                  <w:tcW w:w="2667" w:type="dxa"/>
                  <w:gridSpan w:val="2"/>
                  <w:tcBorders>
                    <w:left w:val="single" w:sz="4" w:space="0" w:color="BFBFBF"/>
                  </w:tcBorders>
                  <w:shd w:val="clear" w:color="auto" w:fill="C8501E"/>
                  <w:tcMar>
                    <w:left w:w="78" w:type="dxa"/>
                  </w:tcMar>
                  <w:vAlign w:val="bottom"/>
                </w:tcPr>
                <w:p w14:paraId="33C1E4EE" w14:textId="77777777" w:rsidR="004976E9" w:rsidRPr="00273ED1" w:rsidRDefault="004976E9" w:rsidP="00E31E69">
                  <w:pPr>
                    <w:pStyle w:val="Paragraph"/>
                    <w:spacing w:before="0" w:after="0"/>
                    <w:jc w:val="left"/>
                    <w:rPr>
                      <w:sz w:val="15"/>
                      <w:szCs w:val="15"/>
                    </w:rPr>
                  </w:pPr>
                  <w:r w:rsidRPr="00273ED1">
                    <w:rPr>
                      <w:rFonts w:ascii="Calibri Light" w:hAnsi="Calibri Light" w:cs="Arial"/>
                      <w:i/>
                      <w:iCs/>
                      <w:color w:val="FFFFFF" w:themeColor="background1"/>
                      <w:sz w:val="15"/>
                      <w:szCs w:val="15"/>
                    </w:rPr>
                    <w:t>In migliaia di Euro</w:t>
                  </w:r>
                </w:p>
              </w:tc>
              <w:tc>
                <w:tcPr>
                  <w:tcW w:w="1145" w:type="dxa"/>
                  <w:gridSpan w:val="2"/>
                  <w:shd w:val="clear" w:color="auto" w:fill="C8501E"/>
                  <w:tcMar>
                    <w:left w:w="78" w:type="dxa"/>
                  </w:tcMar>
                  <w:vAlign w:val="bottom"/>
                </w:tcPr>
                <w:p w14:paraId="30783D41"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FFFFFF" w:themeColor="background1"/>
                      <w:sz w:val="15"/>
                      <w:szCs w:val="15"/>
                    </w:rPr>
                    <w:t>30 giugno</w:t>
                  </w:r>
                </w:p>
              </w:tc>
              <w:tc>
                <w:tcPr>
                  <w:tcW w:w="3452" w:type="dxa"/>
                  <w:gridSpan w:val="6"/>
                  <w:tcBorders>
                    <w:left w:val="single" w:sz="4" w:space="0" w:color="BFBFBF"/>
                    <w:right w:val="single" w:sz="4" w:space="0" w:color="BFBFBF"/>
                  </w:tcBorders>
                  <w:shd w:val="clear" w:color="auto" w:fill="C8501E"/>
                  <w:tcMar>
                    <w:left w:w="78" w:type="dxa"/>
                  </w:tcMar>
                  <w:vAlign w:val="bottom"/>
                </w:tcPr>
                <w:p w14:paraId="0FD2A256" w14:textId="77777777" w:rsidR="004976E9" w:rsidRPr="00273ED1" w:rsidRDefault="004976E9" w:rsidP="00E31E69">
                  <w:pPr>
                    <w:pStyle w:val="Paragraph"/>
                    <w:spacing w:before="0" w:after="0"/>
                    <w:jc w:val="center"/>
                    <w:rPr>
                      <w:sz w:val="15"/>
                      <w:szCs w:val="15"/>
                    </w:rPr>
                  </w:pPr>
                  <w:r w:rsidRPr="00273ED1">
                    <w:rPr>
                      <w:rFonts w:ascii="Calibri Light" w:hAnsi="Calibri Light" w:cs="Arial"/>
                      <w:color w:val="FFFFFF" w:themeColor="background1"/>
                      <w:sz w:val="15"/>
                      <w:szCs w:val="15"/>
                    </w:rPr>
                    <w:t>31 dicembre</w:t>
                  </w:r>
                </w:p>
              </w:tc>
            </w:tr>
            <w:tr w:rsidR="004976E9" w:rsidRPr="00273ED1" w14:paraId="1F0037D6" w14:textId="77777777" w:rsidTr="00E31E69">
              <w:trPr>
                <w:trHeight w:val="170"/>
              </w:trPr>
              <w:tc>
                <w:tcPr>
                  <w:tcW w:w="2667" w:type="dxa"/>
                  <w:gridSpan w:val="2"/>
                  <w:tcBorders>
                    <w:left w:val="single" w:sz="4" w:space="0" w:color="BFBFBF"/>
                  </w:tcBorders>
                  <w:shd w:val="clear" w:color="auto" w:fill="C8501E"/>
                  <w:tcMar>
                    <w:left w:w="78" w:type="dxa"/>
                  </w:tcMar>
                </w:tcPr>
                <w:p w14:paraId="0A5D03E9" w14:textId="77777777" w:rsidR="004976E9" w:rsidRPr="00273ED1" w:rsidRDefault="004976E9" w:rsidP="00E31E69">
                  <w:pPr>
                    <w:pStyle w:val="Paragraph"/>
                    <w:spacing w:before="0" w:after="0"/>
                    <w:rPr>
                      <w:rFonts w:asciiTheme="majorHAnsi" w:hAnsiTheme="majorHAnsi" w:cs="Arial"/>
                      <w:color w:val="FFFFFF"/>
                      <w:sz w:val="15"/>
                      <w:szCs w:val="15"/>
                    </w:rPr>
                  </w:pPr>
                </w:p>
              </w:tc>
              <w:tc>
                <w:tcPr>
                  <w:tcW w:w="1145" w:type="dxa"/>
                  <w:gridSpan w:val="2"/>
                  <w:shd w:val="clear" w:color="auto" w:fill="C8501E"/>
                  <w:tcMar>
                    <w:left w:w="78" w:type="dxa"/>
                  </w:tcMar>
                </w:tcPr>
                <w:p w14:paraId="2D6BAC5B" w14:textId="77777777" w:rsidR="004976E9" w:rsidRPr="00273ED1" w:rsidRDefault="004976E9" w:rsidP="00E31E69">
                  <w:pPr>
                    <w:pStyle w:val="Paragraph"/>
                    <w:spacing w:before="0" w:after="0"/>
                    <w:jc w:val="right"/>
                    <w:rPr>
                      <w:rFonts w:cs="Arial"/>
                      <w:color w:val="FFFFFF" w:themeColor="background1"/>
                      <w:sz w:val="15"/>
                      <w:szCs w:val="15"/>
                    </w:rPr>
                  </w:pPr>
                  <w:r w:rsidRPr="00273ED1">
                    <w:rPr>
                      <w:rFonts w:ascii="Calibri Light" w:hAnsi="Calibri Light" w:cs="Arial"/>
                      <w:color w:val="FFFFFF" w:themeColor="background1"/>
                      <w:sz w:val="15"/>
                      <w:szCs w:val="15"/>
                    </w:rPr>
                    <w:t>2017</w:t>
                  </w:r>
                </w:p>
              </w:tc>
              <w:tc>
                <w:tcPr>
                  <w:tcW w:w="1145" w:type="dxa"/>
                  <w:gridSpan w:val="2"/>
                  <w:shd w:val="clear" w:color="auto" w:fill="C8501E"/>
                  <w:tcMar>
                    <w:left w:w="78" w:type="dxa"/>
                  </w:tcMar>
                </w:tcPr>
                <w:p w14:paraId="16BFE711" w14:textId="77777777" w:rsidR="004976E9" w:rsidRPr="00273ED1" w:rsidRDefault="004976E9" w:rsidP="00E31E69">
                  <w:pPr>
                    <w:pStyle w:val="Paragraph"/>
                    <w:spacing w:before="0" w:after="0"/>
                    <w:jc w:val="right"/>
                    <w:rPr>
                      <w:rFonts w:cs="Arial"/>
                      <w:color w:val="FFFFFF" w:themeColor="background1"/>
                      <w:sz w:val="15"/>
                      <w:szCs w:val="15"/>
                    </w:rPr>
                  </w:pPr>
                  <w:r w:rsidRPr="00273ED1">
                    <w:rPr>
                      <w:rFonts w:ascii="Calibri Light" w:hAnsi="Calibri Light" w:cs="Arial"/>
                      <w:color w:val="FFFFFF" w:themeColor="background1"/>
                      <w:sz w:val="15"/>
                      <w:szCs w:val="15"/>
                    </w:rPr>
                    <w:t>2016</w:t>
                  </w:r>
                </w:p>
              </w:tc>
              <w:tc>
                <w:tcPr>
                  <w:tcW w:w="1146" w:type="dxa"/>
                  <w:gridSpan w:val="2"/>
                  <w:shd w:val="clear" w:color="auto" w:fill="C8501E"/>
                  <w:tcMar>
                    <w:left w:w="78" w:type="dxa"/>
                  </w:tcMar>
                </w:tcPr>
                <w:p w14:paraId="5B104001" w14:textId="77777777" w:rsidR="004976E9" w:rsidRPr="00273ED1" w:rsidRDefault="004976E9" w:rsidP="00E31E69">
                  <w:pPr>
                    <w:pStyle w:val="Paragraph"/>
                    <w:spacing w:before="0" w:after="0"/>
                    <w:jc w:val="right"/>
                    <w:rPr>
                      <w:rFonts w:cs="Arial"/>
                      <w:color w:val="FFFFFF" w:themeColor="background1"/>
                      <w:sz w:val="15"/>
                      <w:szCs w:val="15"/>
                    </w:rPr>
                  </w:pPr>
                  <w:r w:rsidRPr="00273ED1">
                    <w:rPr>
                      <w:rFonts w:ascii="Calibri Light" w:hAnsi="Calibri Light" w:cs="Arial"/>
                      <w:color w:val="FFFFFF" w:themeColor="background1"/>
                      <w:sz w:val="15"/>
                      <w:szCs w:val="15"/>
                    </w:rPr>
                    <w:t>2015</w:t>
                  </w:r>
                </w:p>
              </w:tc>
              <w:tc>
                <w:tcPr>
                  <w:tcW w:w="1161" w:type="dxa"/>
                  <w:gridSpan w:val="2"/>
                  <w:tcBorders>
                    <w:left w:val="single" w:sz="4" w:space="0" w:color="BFBFBF"/>
                    <w:right w:val="single" w:sz="4" w:space="0" w:color="BFBFBF"/>
                  </w:tcBorders>
                  <w:shd w:val="clear" w:color="auto" w:fill="C8501E"/>
                  <w:tcMar>
                    <w:left w:w="78" w:type="dxa"/>
                  </w:tcMar>
                </w:tcPr>
                <w:p w14:paraId="1974557C" w14:textId="77777777" w:rsidR="004976E9" w:rsidRPr="00273ED1" w:rsidRDefault="004976E9" w:rsidP="00E31E69">
                  <w:pPr>
                    <w:pStyle w:val="Paragraph"/>
                    <w:spacing w:before="0" w:after="0"/>
                    <w:jc w:val="right"/>
                    <w:rPr>
                      <w:rFonts w:cs="Arial"/>
                      <w:color w:val="FFFFFF" w:themeColor="background1"/>
                      <w:sz w:val="15"/>
                      <w:szCs w:val="15"/>
                    </w:rPr>
                  </w:pPr>
                  <w:r w:rsidRPr="00273ED1">
                    <w:rPr>
                      <w:rFonts w:ascii="Calibri Light" w:hAnsi="Calibri Light" w:cs="Arial"/>
                      <w:color w:val="FFFFFF" w:themeColor="background1"/>
                      <w:sz w:val="15"/>
                      <w:szCs w:val="15"/>
                    </w:rPr>
                    <w:t>2014</w:t>
                  </w:r>
                </w:p>
              </w:tc>
            </w:tr>
            <w:tr w:rsidR="004976E9" w:rsidRPr="00273ED1" w14:paraId="03AD53E9" w14:textId="77777777" w:rsidTr="00E31E69">
              <w:trPr>
                <w:trHeight w:val="170"/>
              </w:trPr>
              <w:tc>
                <w:tcPr>
                  <w:tcW w:w="2667" w:type="dxa"/>
                  <w:gridSpan w:val="2"/>
                  <w:tcBorders>
                    <w:left w:val="single" w:sz="4" w:space="0" w:color="BFBFBF"/>
                  </w:tcBorders>
                  <w:shd w:val="clear" w:color="auto" w:fill="auto"/>
                  <w:tcMar>
                    <w:left w:w="78" w:type="dxa"/>
                  </w:tcMar>
                  <w:vAlign w:val="bottom"/>
                </w:tcPr>
                <w:p w14:paraId="666AD2A6" w14:textId="77777777" w:rsidR="004976E9" w:rsidRPr="00273ED1" w:rsidRDefault="004976E9" w:rsidP="00E31E69">
                  <w:pPr>
                    <w:pStyle w:val="Paragraph"/>
                    <w:spacing w:before="0" w:after="0"/>
                    <w:rPr>
                      <w:sz w:val="15"/>
                      <w:szCs w:val="15"/>
                    </w:rPr>
                  </w:pPr>
                  <w:bookmarkStart w:id="133" w:name="_Hlk488764806"/>
                  <w:bookmarkEnd w:id="133"/>
                  <w:r w:rsidRPr="00273ED1">
                    <w:rPr>
                      <w:rFonts w:ascii="Calibri Light" w:hAnsi="Calibri Light" w:cs="Arial"/>
                      <w:sz w:val="15"/>
                      <w:szCs w:val="15"/>
                    </w:rPr>
                    <w:t>Indice di capitale</w:t>
                  </w:r>
                </w:p>
              </w:tc>
              <w:tc>
                <w:tcPr>
                  <w:tcW w:w="1145" w:type="dxa"/>
                  <w:gridSpan w:val="2"/>
                  <w:shd w:val="clear" w:color="auto" w:fill="auto"/>
                  <w:tcMar>
                    <w:left w:w="78" w:type="dxa"/>
                  </w:tcMar>
                </w:tcPr>
                <w:p w14:paraId="2B201634" w14:textId="77777777" w:rsidR="004976E9" w:rsidRPr="00273ED1" w:rsidRDefault="00C20B97" w:rsidP="00E31E69">
                  <w:pPr>
                    <w:pStyle w:val="Paragraph"/>
                    <w:spacing w:before="0" w:after="0"/>
                    <w:jc w:val="right"/>
                    <w:rPr>
                      <w:rFonts w:cs="Arial"/>
                      <w:sz w:val="15"/>
                      <w:szCs w:val="15"/>
                    </w:rPr>
                  </w:pPr>
                  <w:r w:rsidRPr="00273ED1">
                    <w:rPr>
                      <w:rFonts w:ascii="Calibri Light" w:hAnsi="Calibri Light" w:cs="Arial"/>
                      <w:sz w:val="15"/>
                      <w:szCs w:val="15"/>
                    </w:rPr>
                    <w:t>50,9%</w:t>
                  </w:r>
                </w:p>
              </w:tc>
              <w:tc>
                <w:tcPr>
                  <w:tcW w:w="1145" w:type="dxa"/>
                  <w:gridSpan w:val="2"/>
                  <w:shd w:val="clear" w:color="auto" w:fill="auto"/>
                  <w:tcMar>
                    <w:left w:w="78" w:type="dxa"/>
                  </w:tcMar>
                  <w:vAlign w:val="bottom"/>
                </w:tcPr>
                <w:p w14:paraId="090091F3"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56,4%</w:t>
                  </w:r>
                </w:p>
              </w:tc>
              <w:tc>
                <w:tcPr>
                  <w:tcW w:w="1146" w:type="dxa"/>
                  <w:gridSpan w:val="2"/>
                  <w:shd w:val="clear" w:color="auto" w:fill="auto"/>
                  <w:tcMar>
                    <w:left w:w="78" w:type="dxa"/>
                  </w:tcMar>
                  <w:vAlign w:val="bottom"/>
                </w:tcPr>
                <w:p w14:paraId="75EBCE92"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64,0%</w:t>
                  </w:r>
                </w:p>
              </w:tc>
              <w:tc>
                <w:tcPr>
                  <w:tcW w:w="1161" w:type="dxa"/>
                  <w:gridSpan w:val="2"/>
                  <w:tcBorders>
                    <w:left w:val="single" w:sz="4" w:space="0" w:color="BFBFBF"/>
                    <w:right w:val="single" w:sz="4" w:space="0" w:color="BFBFBF"/>
                  </w:tcBorders>
                  <w:shd w:val="clear" w:color="auto" w:fill="auto"/>
                  <w:tcMar>
                    <w:left w:w="78" w:type="dxa"/>
                  </w:tcMar>
                  <w:vAlign w:val="bottom"/>
                </w:tcPr>
                <w:p w14:paraId="7260B930"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68,6%</w:t>
                  </w:r>
                </w:p>
              </w:tc>
            </w:tr>
            <w:tr w:rsidR="004976E9" w:rsidRPr="00273ED1" w14:paraId="047DEAA2" w14:textId="77777777" w:rsidTr="00E31E69">
              <w:trPr>
                <w:trHeight w:val="170"/>
              </w:trPr>
              <w:tc>
                <w:tcPr>
                  <w:tcW w:w="2667" w:type="dxa"/>
                  <w:gridSpan w:val="2"/>
                  <w:tcBorders>
                    <w:left w:val="single" w:sz="4" w:space="0" w:color="BFBFBF"/>
                  </w:tcBorders>
                  <w:shd w:val="clear" w:color="auto" w:fill="auto"/>
                  <w:tcMar>
                    <w:left w:w="78" w:type="dxa"/>
                  </w:tcMar>
                  <w:vAlign w:val="bottom"/>
                </w:tcPr>
                <w:p w14:paraId="2B78D3A8" w14:textId="77777777" w:rsidR="004976E9" w:rsidRPr="00273ED1" w:rsidRDefault="004976E9" w:rsidP="00E31E69">
                  <w:pPr>
                    <w:pStyle w:val="Paragraph"/>
                    <w:spacing w:before="0" w:after="0"/>
                    <w:rPr>
                      <w:sz w:val="15"/>
                      <w:szCs w:val="15"/>
                    </w:rPr>
                  </w:pPr>
                  <w:r w:rsidRPr="00273ED1">
                    <w:rPr>
                      <w:rFonts w:ascii="Calibri Light" w:hAnsi="Calibri Light" w:cs="Arial"/>
                      <w:sz w:val="15"/>
                      <w:szCs w:val="15"/>
                    </w:rPr>
                    <w:t xml:space="preserve">Indice indebitamento </w:t>
                  </w:r>
                </w:p>
              </w:tc>
              <w:tc>
                <w:tcPr>
                  <w:tcW w:w="1145" w:type="dxa"/>
                  <w:gridSpan w:val="2"/>
                  <w:shd w:val="clear" w:color="auto" w:fill="auto"/>
                  <w:tcMar>
                    <w:left w:w="78" w:type="dxa"/>
                  </w:tcMar>
                </w:tcPr>
                <w:p w14:paraId="555CAED8" w14:textId="77777777" w:rsidR="004976E9" w:rsidRPr="00273ED1" w:rsidRDefault="00C20B97" w:rsidP="00E31E69">
                  <w:pPr>
                    <w:pStyle w:val="Paragraph"/>
                    <w:spacing w:before="0" w:after="0"/>
                    <w:jc w:val="right"/>
                    <w:rPr>
                      <w:rFonts w:cs="Arial"/>
                      <w:sz w:val="15"/>
                      <w:szCs w:val="15"/>
                    </w:rPr>
                  </w:pPr>
                  <w:r w:rsidRPr="00273ED1">
                    <w:rPr>
                      <w:rFonts w:ascii="Calibri Light" w:hAnsi="Calibri Light" w:cs="Arial"/>
                      <w:sz w:val="15"/>
                      <w:szCs w:val="15"/>
                    </w:rPr>
                    <w:t>74,6%</w:t>
                  </w:r>
                </w:p>
              </w:tc>
              <w:tc>
                <w:tcPr>
                  <w:tcW w:w="1145" w:type="dxa"/>
                  <w:gridSpan w:val="2"/>
                  <w:shd w:val="clear" w:color="auto" w:fill="auto"/>
                  <w:tcMar>
                    <w:left w:w="78" w:type="dxa"/>
                  </w:tcMar>
                  <w:vAlign w:val="bottom"/>
                </w:tcPr>
                <w:p w14:paraId="5FAC7400"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57,6%</w:t>
                  </w:r>
                </w:p>
              </w:tc>
              <w:tc>
                <w:tcPr>
                  <w:tcW w:w="1146" w:type="dxa"/>
                  <w:gridSpan w:val="2"/>
                  <w:shd w:val="clear" w:color="auto" w:fill="auto"/>
                  <w:tcMar>
                    <w:left w:w="78" w:type="dxa"/>
                  </w:tcMar>
                  <w:vAlign w:val="bottom"/>
                </w:tcPr>
                <w:p w14:paraId="75EB148A"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41,9%</w:t>
                  </w:r>
                </w:p>
              </w:tc>
              <w:tc>
                <w:tcPr>
                  <w:tcW w:w="1161" w:type="dxa"/>
                  <w:gridSpan w:val="2"/>
                  <w:tcBorders>
                    <w:left w:val="single" w:sz="4" w:space="0" w:color="BFBFBF"/>
                    <w:right w:val="single" w:sz="4" w:space="0" w:color="BFBFBF"/>
                  </w:tcBorders>
                  <w:shd w:val="clear" w:color="auto" w:fill="auto"/>
                  <w:tcMar>
                    <w:left w:w="78" w:type="dxa"/>
                  </w:tcMar>
                  <w:vAlign w:val="bottom"/>
                </w:tcPr>
                <w:p w14:paraId="567FEB97"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34,9%</w:t>
                  </w:r>
                </w:p>
              </w:tc>
            </w:tr>
            <w:tr w:rsidR="004976E9" w:rsidRPr="00273ED1" w14:paraId="7A1B9D7A" w14:textId="77777777" w:rsidTr="00E31E69">
              <w:trPr>
                <w:trHeight w:val="170"/>
              </w:trPr>
              <w:tc>
                <w:tcPr>
                  <w:tcW w:w="2667" w:type="dxa"/>
                  <w:gridSpan w:val="2"/>
                  <w:tcBorders>
                    <w:left w:val="single" w:sz="4" w:space="0" w:color="BFBFBF"/>
                  </w:tcBorders>
                  <w:shd w:val="clear" w:color="auto" w:fill="auto"/>
                  <w:tcMar>
                    <w:left w:w="78" w:type="dxa"/>
                  </w:tcMar>
                  <w:vAlign w:val="bottom"/>
                </w:tcPr>
                <w:p w14:paraId="6D9EF61B" w14:textId="77777777" w:rsidR="004976E9" w:rsidRPr="00273ED1" w:rsidRDefault="004976E9" w:rsidP="00E31E69">
                  <w:pPr>
                    <w:pStyle w:val="Paragraph"/>
                    <w:spacing w:before="0" w:after="0"/>
                    <w:rPr>
                      <w:sz w:val="15"/>
                      <w:szCs w:val="15"/>
                    </w:rPr>
                  </w:pPr>
                  <w:r w:rsidRPr="00273ED1">
                    <w:rPr>
                      <w:rFonts w:ascii="Calibri Light" w:hAnsi="Calibri Light" w:cs="Arial"/>
                      <w:sz w:val="15"/>
                      <w:szCs w:val="15"/>
                    </w:rPr>
                    <w:t>Indice debito netto capitale</w:t>
                  </w:r>
                </w:p>
              </w:tc>
              <w:tc>
                <w:tcPr>
                  <w:tcW w:w="1145" w:type="dxa"/>
                  <w:gridSpan w:val="2"/>
                  <w:shd w:val="clear" w:color="auto" w:fill="auto"/>
                  <w:tcMar>
                    <w:left w:w="78" w:type="dxa"/>
                  </w:tcMar>
                </w:tcPr>
                <w:p w14:paraId="06545EED" w14:textId="77777777" w:rsidR="004976E9" w:rsidRPr="00273ED1" w:rsidRDefault="00C20B97" w:rsidP="00E31E69">
                  <w:pPr>
                    <w:pStyle w:val="Paragraph"/>
                    <w:spacing w:before="0" w:after="0"/>
                    <w:jc w:val="right"/>
                    <w:rPr>
                      <w:rFonts w:cs="Arial"/>
                      <w:sz w:val="15"/>
                      <w:szCs w:val="15"/>
                    </w:rPr>
                  </w:pPr>
                  <w:r w:rsidRPr="00273ED1">
                    <w:rPr>
                      <w:rFonts w:ascii="Calibri Light" w:hAnsi="Calibri Light" w:cs="Arial"/>
                      <w:sz w:val="15"/>
                      <w:szCs w:val="15"/>
                    </w:rPr>
                    <w:t>41,4%</w:t>
                  </w:r>
                </w:p>
              </w:tc>
              <w:tc>
                <w:tcPr>
                  <w:tcW w:w="1145" w:type="dxa"/>
                  <w:gridSpan w:val="2"/>
                  <w:shd w:val="clear" w:color="auto" w:fill="auto"/>
                  <w:tcMar>
                    <w:left w:w="78" w:type="dxa"/>
                  </w:tcMar>
                  <w:vAlign w:val="bottom"/>
                </w:tcPr>
                <w:p w14:paraId="6DCA59F9"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33,7%</w:t>
                  </w:r>
                </w:p>
              </w:tc>
              <w:tc>
                <w:tcPr>
                  <w:tcW w:w="1146" w:type="dxa"/>
                  <w:gridSpan w:val="2"/>
                  <w:shd w:val="clear" w:color="auto" w:fill="auto"/>
                  <w:tcMar>
                    <w:left w:w="78" w:type="dxa"/>
                  </w:tcMar>
                  <w:vAlign w:val="bottom"/>
                </w:tcPr>
                <w:p w14:paraId="06EAA849"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25,5%</w:t>
                  </w:r>
                </w:p>
              </w:tc>
              <w:tc>
                <w:tcPr>
                  <w:tcW w:w="1161" w:type="dxa"/>
                  <w:gridSpan w:val="2"/>
                  <w:tcBorders>
                    <w:left w:val="single" w:sz="4" w:space="0" w:color="BFBFBF"/>
                    <w:right w:val="single" w:sz="4" w:space="0" w:color="BFBFBF"/>
                  </w:tcBorders>
                  <w:shd w:val="clear" w:color="auto" w:fill="auto"/>
                  <w:tcMar>
                    <w:left w:w="78" w:type="dxa"/>
                  </w:tcMar>
                  <w:vAlign w:val="bottom"/>
                </w:tcPr>
                <w:p w14:paraId="7346B1B0"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24,6%</w:t>
                  </w:r>
                </w:p>
              </w:tc>
            </w:tr>
            <w:tr w:rsidR="004976E9" w:rsidRPr="00273ED1" w14:paraId="30F18172" w14:textId="77777777" w:rsidTr="00E31E69">
              <w:trPr>
                <w:trHeight w:val="170"/>
              </w:trPr>
              <w:tc>
                <w:tcPr>
                  <w:tcW w:w="2667" w:type="dxa"/>
                  <w:gridSpan w:val="2"/>
                  <w:tcBorders>
                    <w:left w:val="single" w:sz="4" w:space="0" w:color="BFBFBF"/>
                  </w:tcBorders>
                  <w:shd w:val="clear" w:color="auto" w:fill="auto"/>
                  <w:tcMar>
                    <w:left w:w="78" w:type="dxa"/>
                  </w:tcMar>
                  <w:vAlign w:val="bottom"/>
                </w:tcPr>
                <w:p w14:paraId="10754AEF" w14:textId="77777777" w:rsidR="004976E9" w:rsidRPr="00273ED1" w:rsidRDefault="004976E9" w:rsidP="00E31E69">
                  <w:pPr>
                    <w:pStyle w:val="Paragraph"/>
                    <w:spacing w:before="0" w:after="0"/>
                    <w:rPr>
                      <w:sz w:val="15"/>
                      <w:szCs w:val="15"/>
                    </w:rPr>
                  </w:pPr>
                  <w:r w:rsidRPr="00273ED1">
                    <w:rPr>
                      <w:rFonts w:ascii="Calibri Light" w:hAnsi="Calibri Light" w:cs="Arial"/>
                      <w:sz w:val="15"/>
                      <w:szCs w:val="15"/>
                    </w:rPr>
                    <w:t>Indice debito EBITDA</w:t>
                  </w:r>
                </w:p>
              </w:tc>
              <w:tc>
                <w:tcPr>
                  <w:tcW w:w="1145" w:type="dxa"/>
                  <w:gridSpan w:val="2"/>
                  <w:shd w:val="clear" w:color="auto" w:fill="auto"/>
                  <w:tcMar>
                    <w:left w:w="78" w:type="dxa"/>
                  </w:tcMar>
                </w:tcPr>
                <w:p w14:paraId="7EC85ECE" w14:textId="77777777" w:rsidR="004976E9" w:rsidRPr="00273ED1" w:rsidRDefault="00C20B97" w:rsidP="00E31E69">
                  <w:pPr>
                    <w:pStyle w:val="Paragraph"/>
                    <w:spacing w:before="0" w:after="0"/>
                    <w:jc w:val="right"/>
                    <w:rPr>
                      <w:rFonts w:cs="Arial"/>
                      <w:b/>
                      <w:sz w:val="15"/>
                      <w:szCs w:val="15"/>
                    </w:rPr>
                  </w:pPr>
                  <w:r w:rsidRPr="00273ED1">
                    <w:rPr>
                      <w:rFonts w:ascii="Calibri Light" w:hAnsi="Calibri Light" w:cs="Arial"/>
                      <w:sz w:val="15"/>
                      <w:szCs w:val="15"/>
                    </w:rPr>
                    <w:t>334,0</w:t>
                  </w:r>
                </w:p>
              </w:tc>
              <w:tc>
                <w:tcPr>
                  <w:tcW w:w="1145" w:type="dxa"/>
                  <w:gridSpan w:val="2"/>
                  <w:shd w:val="clear" w:color="auto" w:fill="auto"/>
                  <w:tcMar>
                    <w:left w:w="78" w:type="dxa"/>
                  </w:tcMar>
                  <w:vAlign w:val="bottom"/>
                </w:tcPr>
                <w:p w14:paraId="67E9F693"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 xml:space="preserve">119,7   </w:t>
                  </w:r>
                </w:p>
              </w:tc>
              <w:tc>
                <w:tcPr>
                  <w:tcW w:w="1146" w:type="dxa"/>
                  <w:gridSpan w:val="2"/>
                  <w:shd w:val="clear" w:color="auto" w:fill="auto"/>
                  <w:tcMar>
                    <w:left w:w="78" w:type="dxa"/>
                  </w:tcMar>
                  <w:vAlign w:val="bottom"/>
                </w:tcPr>
                <w:p w14:paraId="15A55B6B"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 xml:space="preserve">16,5   </w:t>
                  </w:r>
                </w:p>
              </w:tc>
              <w:tc>
                <w:tcPr>
                  <w:tcW w:w="1161" w:type="dxa"/>
                  <w:gridSpan w:val="2"/>
                  <w:tcBorders>
                    <w:left w:val="single" w:sz="4" w:space="0" w:color="BFBFBF"/>
                    <w:right w:val="single" w:sz="4" w:space="0" w:color="BFBFBF"/>
                  </w:tcBorders>
                  <w:shd w:val="clear" w:color="auto" w:fill="auto"/>
                  <w:tcMar>
                    <w:left w:w="78" w:type="dxa"/>
                  </w:tcMar>
                  <w:vAlign w:val="bottom"/>
                </w:tcPr>
                <w:p w14:paraId="03B0CE93"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 xml:space="preserve">1,1   </w:t>
                  </w:r>
                </w:p>
              </w:tc>
            </w:tr>
            <w:tr w:rsidR="004976E9" w:rsidRPr="00273ED1" w14:paraId="3F535E67" w14:textId="77777777" w:rsidTr="00E31E69">
              <w:trPr>
                <w:trHeight w:val="170"/>
              </w:trPr>
              <w:tc>
                <w:tcPr>
                  <w:tcW w:w="2667" w:type="dxa"/>
                  <w:gridSpan w:val="2"/>
                  <w:tcBorders>
                    <w:left w:val="single" w:sz="4" w:space="0" w:color="BFBFBF"/>
                  </w:tcBorders>
                  <w:shd w:val="clear" w:color="auto" w:fill="auto"/>
                  <w:tcMar>
                    <w:left w:w="78" w:type="dxa"/>
                  </w:tcMar>
                  <w:vAlign w:val="bottom"/>
                </w:tcPr>
                <w:p w14:paraId="3BFFB40D" w14:textId="77777777" w:rsidR="004976E9" w:rsidRPr="00273ED1" w:rsidRDefault="004976E9" w:rsidP="00E31E69">
                  <w:pPr>
                    <w:pStyle w:val="Paragraph"/>
                    <w:spacing w:before="0" w:after="0"/>
                    <w:rPr>
                      <w:sz w:val="15"/>
                      <w:szCs w:val="15"/>
                    </w:rPr>
                  </w:pPr>
                  <w:r w:rsidRPr="00273ED1">
                    <w:rPr>
                      <w:rFonts w:ascii="Calibri Light" w:hAnsi="Calibri Light" w:cs="Arial"/>
                      <w:sz w:val="15"/>
                      <w:szCs w:val="15"/>
                    </w:rPr>
                    <w:t>Indice corrente</w:t>
                  </w:r>
                </w:p>
              </w:tc>
              <w:tc>
                <w:tcPr>
                  <w:tcW w:w="1145" w:type="dxa"/>
                  <w:gridSpan w:val="2"/>
                  <w:shd w:val="clear" w:color="auto" w:fill="auto"/>
                  <w:tcMar>
                    <w:left w:w="78" w:type="dxa"/>
                  </w:tcMar>
                </w:tcPr>
                <w:p w14:paraId="5BAB350E" w14:textId="77777777" w:rsidR="004976E9" w:rsidRPr="00273ED1" w:rsidRDefault="00C20B97" w:rsidP="00E31E69">
                  <w:pPr>
                    <w:pStyle w:val="Paragraph"/>
                    <w:spacing w:before="0" w:after="0"/>
                    <w:jc w:val="right"/>
                    <w:rPr>
                      <w:rFonts w:cs="Arial"/>
                      <w:sz w:val="15"/>
                      <w:szCs w:val="15"/>
                    </w:rPr>
                  </w:pPr>
                  <w:r w:rsidRPr="00273ED1">
                    <w:rPr>
                      <w:rFonts w:ascii="Calibri Light" w:hAnsi="Calibri Light" w:cs="Arial"/>
                      <w:sz w:val="15"/>
                      <w:szCs w:val="15"/>
                    </w:rPr>
                    <w:t>2,0</w:t>
                  </w:r>
                </w:p>
              </w:tc>
              <w:tc>
                <w:tcPr>
                  <w:tcW w:w="1145" w:type="dxa"/>
                  <w:gridSpan w:val="2"/>
                  <w:shd w:val="clear" w:color="auto" w:fill="auto"/>
                  <w:tcMar>
                    <w:left w:w="78" w:type="dxa"/>
                  </w:tcMar>
                  <w:vAlign w:val="bottom"/>
                </w:tcPr>
                <w:p w14:paraId="521F4E39"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 xml:space="preserve">1,2   </w:t>
                  </w:r>
                </w:p>
              </w:tc>
              <w:tc>
                <w:tcPr>
                  <w:tcW w:w="1146" w:type="dxa"/>
                  <w:gridSpan w:val="2"/>
                  <w:shd w:val="clear" w:color="auto" w:fill="auto"/>
                  <w:tcMar>
                    <w:left w:w="78" w:type="dxa"/>
                  </w:tcMar>
                  <w:vAlign w:val="bottom"/>
                </w:tcPr>
                <w:p w14:paraId="1608CF61"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 xml:space="preserve">1,3   </w:t>
                  </w:r>
                </w:p>
              </w:tc>
              <w:tc>
                <w:tcPr>
                  <w:tcW w:w="1161" w:type="dxa"/>
                  <w:gridSpan w:val="2"/>
                  <w:tcBorders>
                    <w:left w:val="single" w:sz="4" w:space="0" w:color="BFBFBF"/>
                    <w:right w:val="single" w:sz="4" w:space="0" w:color="BFBFBF"/>
                  </w:tcBorders>
                  <w:shd w:val="clear" w:color="auto" w:fill="auto"/>
                  <w:tcMar>
                    <w:left w:w="78" w:type="dxa"/>
                  </w:tcMar>
                  <w:vAlign w:val="bottom"/>
                </w:tcPr>
                <w:p w14:paraId="6B087A94"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 xml:space="preserve">0,8   </w:t>
                  </w:r>
                </w:p>
              </w:tc>
            </w:tr>
            <w:tr w:rsidR="004976E9" w:rsidRPr="00273ED1" w14:paraId="397AA595" w14:textId="77777777" w:rsidTr="00E31E69">
              <w:trPr>
                <w:trHeight w:val="170"/>
              </w:trPr>
              <w:tc>
                <w:tcPr>
                  <w:tcW w:w="2667" w:type="dxa"/>
                  <w:gridSpan w:val="2"/>
                  <w:tcBorders>
                    <w:left w:val="single" w:sz="4" w:space="0" w:color="BFBFBF"/>
                  </w:tcBorders>
                  <w:shd w:val="clear" w:color="auto" w:fill="auto"/>
                  <w:tcMar>
                    <w:left w:w="78" w:type="dxa"/>
                  </w:tcMar>
                  <w:vAlign w:val="bottom"/>
                </w:tcPr>
                <w:p w14:paraId="7C5958C6" w14:textId="77777777" w:rsidR="004976E9" w:rsidRPr="00273ED1" w:rsidRDefault="004976E9" w:rsidP="00E31E69">
                  <w:pPr>
                    <w:pStyle w:val="Paragraph"/>
                    <w:spacing w:before="0" w:after="0"/>
                    <w:rPr>
                      <w:sz w:val="15"/>
                      <w:szCs w:val="15"/>
                    </w:rPr>
                  </w:pPr>
                  <w:r w:rsidRPr="00273ED1">
                    <w:rPr>
                      <w:rFonts w:ascii="Calibri Light" w:hAnsi="Calibri Light" w:cs="Arial"/>
                      <w:sz w:val="15"/>
                      <w:szCs w:val="15"/>
                    </w:rPr>
                    <w:t>Rendimento patrimonio</w:t>
                  </w:r>
                </w:p>
              </w:tc>
              <w:tc>
                <w:tcPr>
                  <w:tcW w:w="1145" w:type="dxa"/>
                  <w:gridSpan w:val="2"/>
                  <w:shd w:val="clear" w:color="auto" w:fill="auto"/>
                  <w:tcMar>
                    <w:left w:w="78" w:type="dxa"/>
                  </w:tcMar>
                </w:tcPr>
                <w:p w14:paraId="0AAFAF73" w14:textId="24D50315" w:rsidR="004976E9" w:rsidRPr="00273ED1" w:rsidRDefault="00C20B97" w:rsidP="00E31E69">
                  <w:pPr>
                    <w:pStyle w:val="Paragraph"/>
                    <w:spacing w:before="0" w:after="0"/>
                    <w:jc w:val="right"/>
                    <w:rPr>
                      <w:rFonts w:cs="Arial"/>
                      <w:sz w:val="15"/>
                      <w:szCs w:val="15"/>
                    </w:rPr>
                  </w:pPr>
                  <w:r w:rsidRPr="00273ED1">
                    <w:rPr>
                      <w:rFonts w:ascii="Calibri Light" w:hAnsi="Calibri Light" w:cs="Arial"/>
                      <w:sz w:val="15"/>
                      <w:szCs w:val="15"/>
                    </w:rPr>
                    <w:t>1,6%</w:t>
                  </w:r>
                </w:p>
              </w:tc>
              <w:tc>
                <w:tcPr>
                  <w:tcW w:w="1145" w:type="dxa"/>
                  <w:gridSpan w:val="2"/>
                  <w:shd w:val="clear" w:color="auto" w:fill="auto"/>
                  <w:tcMar>
                    <w:left w:w="78" w:type="dxa"/>
                  </w:tcMar>
                  <w:vAlign w:val="bottom"/>
                </w:tcPr>
                <w:p w14:paraId="10EA8AA6"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-3,0%</w:t>
                  </w:r>
                </w:p>
              </w:tc>
              <w:tc>
                <w:tcPr>
                  <w:tcW w:w="1146" w:type="dxa"/>
                  <w:gridSpan w:val="2"/>
                  <w:shd w:val="clear" w:color="auto" w:fill="auto"/>
                  <w:tcMar>
                    <w:left w:w="78" w:type="dxa"/>
                  </w:tcMar>
                  <w:vAlign w:val="bottom"/>
                </w:tcPr>
                <w:p w14:paraId="10D5BACE"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-1,6%</w:t>
                  </w:r>
                </w:p>
              </w:tc>
              <w:tc>
                <w:tcPr>
                  <w:tcW w:w="1161" w:type="dxa"/>
                  <w:gridSpan w:val="2"/>
                  <w:tcBorders>
                    <w:left w:val="single" w:sz="4" w:space="0" w:color="BFBFBF"/>
                    <w:right w:val="single" w:sz="4" w:space="0" w:color="BFBFBF"/>
                  </w:tcBorders>
                  <w:shd w:val="clear" w:color="auto" w:fill="auto"/>
                  <w:tcMar>
                    <w:left w:w="78" w:type="dxa"/>
                  </w:tcMar>
                  <w:vAlign w:val="bottom"/>
                </w:tcPr>
                <w:p w14:paraId="726C22A9"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19,0%</w:t>
                  </w:r>
                </w:p>
              </w:tc>
            </w:tr>
            <w:tr w:rsidR="004976E9" w:rsidRPr="00273ED1" w14:paraId="0EF1658E" w14:textId="77777777" w:rsidTr="00E31E69">
              <w:trPr>
                <w:trHeight w:val="170"/>
              </w:trPr>
              <w:tc>
                <w:tcPr>
                  <w:tcW w:w="2667" w:type="dxa"/>
                  <w:gridSpan w:val="2"/>
                  <w:tcBorders>
                    <w:left w:val="single" w:sz="4" w:space="0" w:color="BFBFBF"/>
                  </w:tcBorders>
                  <w:shd w:val="clear" w:color="auto" w:fill="auto"/>
                  <w:tcMar>
                    <w:left w:w="78" w:type="dxa"/>
                  </w:tcMar>
                  <w:vAlign w:val="bottom"/>
                </w:tcPr>
                <w:p w14:paraId="312F0618" w14:textId="77777777" w:rsidR="004976E9" w:rsidRPr="00273ED1" w:rsidRDefault="004976E9" w:rsidP="00E31E69">
                  <w:pPr>
                    <w:pStyle w:val="Paragraph"/>
                    <w:spacing w:before="0" w:after="0"/>
                    <w:rPr>
                      <w:sz w:val="15"/>
                      <w:szCs w:val="15"/>
                    </w:rPr>
                  </w:pPr>
                  <w:r w:rsidRPr="00273ED1">
                    <w:rPr>
                      <w:rFonts w:ascii="Calibri Light" w:hAnsi="Calibri Light" w:cs="Arial"/>
                      <w:sz w:val="15"/>
                      <w:szCs w:val="15"/>
                    </w:rPr>
                    <w:t>Rendimento capitale</w:t>
                  </w:r>
                </w:p>
              </w:tc>
              <w:tc>
                <w:tcPr>
                  <w:tcW w:w="1145" w:type="dxa"/>
                  <w:gridSpan w:val="2"/>
                  <w:shd w:val="clear" w:color="auto" w:fill="auto"/>
                  <w:tcMar>
                    <w:left w:w="78" w:type="dxa"/>
                  </w:tcMar>
                </w:tcPr>
                <w:p w14:paraId="74098CB3" w14:textId="32ABF66E" w:rsidR="004976E9" w:rsidRPr="00273ED1" w:rsidRDefault="00281BD5" w:rsidP="00E31E69">
                  <w:pPr>
                    <w:pStyle w:val="Paragraph"/>
                    <w:spacing w:before="0" w:after="0"/>
                    <w:jc w:val="right"/>
                    <w:rPr>
                      <w:rFonts w:cs="Arial"/>
                      <w:sz w:val="15"/>
                      <w:szCs w:val="15"/>
                    </w:rPr>
                  </w:pPr>
                  <w:r w:rsidRPr="00273ED1">
                    <w:rPr>
                      <w:rFonts w:ascii="Calibri Light" w:hAnsi="Calibri Light" w:cs="Arial"/>
                      <w:sz w:val="15"/>
                      <w:szCs w:val="15"/>
                    </w:rPr>
                    <w:t>-</w:t>
                  </w:r>
                  <w:r w:rsidR="00C20B97" w:rsidRPr="00273ED1">
                    <w:rPr>
                      <w:rFonts w:ascii="Calibri Light" w:hAnsi="Calibri Light" w:cs="Arial"/>
                      <w:sz w:val="15"/>
                      <w:szCs w:val="15"/>
                    </w:rPr>
                    <w:t>2,</w:t>
                  </w:r>
                  <w:r w:rsidRPr="00273ED1">
                    <w:rPr>
                      <w:rFonts w:ascii="Calibri Light" w:hAnsi="Calibri Light" w:cs="Arial"/>
                      <w:sz w:val="15"/>
                      <w:szCs w:val="15"/>
                    </w:rPr>
                    <w:t>9</w:t>
                  </w:r>
                  <w:r w:rsidR="00C20B97" w:rsidRPr="00273ED1">
                    <w:rPr>
                      <w:rFonts w:ascii="Calibri Light" w:hAnsi="Calibri Light" w:cs="Arial"/>
                      <w:sz w:val="15"/>
                      <w:szCs w:val="15"/>
                    </w:rPr>
                    <w:t>%</w:t>
                  </w:r>
                </w:p>
              </w:tc>
              <w:tc>
                <w:tcPr>
                  <w:tcW w:w="1145" w:type="dxa"/>
                  <w:gridSpan w:val="2"/>
                  <w:shd w:val="clear" w:color="auto" w:fill="auto"/>
                  <w:tcMar>
                    <w:left w:w="78" w:type="dxa"/>
                  </w:tcMar>
                  <w:vAlign w:val="bottom"/>
                </w:tcPr>
                <w:p w14:paraId="2D67A1E5"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-4,8%</w:t>
                  </w:r>
                </w:p>
              </w:tc>
              <w:tc>
                <w:tcPr>
                  <w:tcW w:w="1146" w:type="dxa"/>
                  <w:gridSpan w:val="2"/>
                  <w:shd w:val="clear" w:color="auto" w:fill="auto"/>
                  <w:tcMar>
                    <w:left w:w="78" w:type="dxa"/>
                  </w:tcMar>
                  <w:vAlign w:val="bottom"/>
                </w:tcPr>
                <w:p w14:paraId="7BBA9332"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-2,3%</w:t>
                  </w:r>
                </w:p>
              </w:tc>
              <w:tc>
                <w:tcPr>
                  <w:tcW w:w="1161" w:type="dxa"/>
                  <w:gridSpan w:val="2"/>
                  <w:tcBorders>
                    <w:left w:val="single" w:sz="4" w:space="0" w:color="BFBFBF"/>
                    <w:right w:val="single" w:sz="4" w:space="0" w:color="BFBFBF"/>
                  </w:tcBorders>
                  <w:shd w:val="clear" w:color="auto" w:fill="auto"/>
                  <w:tcMar>
                    <w:left w:w="78" w:type="dxa"/>
                  </w:tcMar>
                  <w:vAlign w:val="bottom"/>
                </w:tcPr>
                <w:p w14:paraId="3FADF088" w14:textId="77777777" w:rsidR="004976E9" w:rsidRPr="00273ED1" w:rsidRDefault="004976E9" w:rsidP="00E31E69">
                  <w:pPr>
                    <w:pStyle w:val="Paragraph"/>
                    <w:spacing w:before="0" w:after="0"/>
                    <w:jc w:val="right"/>
                    <w:rPr>
                      <w:sz w:val="15"/>
                      <w:szCs w:val="15"/>
                    </w:rPr>
                  </w:pPr>
                  <w:r w:rsidRPr="00273ED1">
                    <w:rPr>
                      <w:rFonts w:ascii="Calibri Light" w:hAnsi="Calibri Light" w:cs="Arial"/>
                      <w:color w:val="000000" w:themeColor="text1"/>
                      <w:sz w:val="15"/>
                      <w:szCs w:val="15"/>
                    </w:rPr>
                    <w:t>28,4%</w:t>
                  </w:r>
                </w:p>
              </w:tc>
            </w:tr>
            <w:tr w:rsidR="004976E9" w:rsidRPr="00273ED1" w14:paraId="4FA8D4A6" w14:textId="77777777" w:rsidTr="00E31E69">
              <w:trPr>
                <w:trHeight w:val="170"/>
              </w:trPr>
              <w:tc>
                <w:tcPr>
                  <w:tcW w:w="7264" w:type="dxa"/>
                  <w:gridSpan w:val="10"/>
                  <w:tcBorders>
                    <w:top w:val="single" w:sz="4" w:space="0" w:color="BFBFBF"/>
                    <w:left w:val="single" w:sz="4" w:space="0" w:color="BFBFBF"/>
                    <w:bottom w:val="single" w:sz="4" w:space="0" w:color="BFBFBF"/>
                  </w:tcBorders>
                  <w:shd w:val="clear" w:color="auto" w:fill="auto"/>
                  <w:tcMar>
                    <w:left w:w="78" w:type="dxa"/>
                  </w:tcMar>
                  <w:vAlign w:val="bottom"/>
                </w:tcPr>
                <w:p w14:paraId="5DD1AB63" w14:textId="77777777" w:rsidR="004976E9" w:rsidRPr="00273ED1" w:rsidRDefault="004976E9" w:rsidP="00E31E69">
                  <w:pPr>
                    <w:pStyle w:val="Paragraph"/>
                    <w:spacing w:before="0" w:after="0"/>
                    <w:rPr>
                      <w:sz w:val="15"/>
                      <w:szCs w:val="15"/>
                    </w:rPr>
                  </w:pPr>
                  <w:r w:rsidRPr="00273ED1">
                    <w:rPr>
                      <w:rFonts w:ascii="Calibri Light" w:hAnsi="Calibri Light" w:cs="Arial"/>
                      <w:i/>
                      <w:iCs/>
                      <w:color w:val="000000" w:themeColor="text1"/>
                      <w:sz w:val="15"/>
                      <w:szCs w:val="15"/>
                      <w:lang w:eastAsia="lt-LT"/>
                    </w:rPr>
                    <w:t>Fonte: Bilanci, la Società</w:t>
                  </w:r>
                </w:p>
              </w:tc>
            </w:tr>
          </w:tbl>
          <w:p w14:paraId="1AF2BC6C" w14:textId="77777777" w:rsidR="004976E9" w:rsidRPr="00273ED1" w:rsidRDefault="004976E9" w:rsidP="00E31E69">
            <w:pPr>
              <w:jc w:val="both"/>
              <w:rPr>
                <w:sz w:val="15"/>
                <w:szCs w:val="15"/>
              </w:rPr>
            </w:pPr>
            <w:r w:rsidRPr="00273ED1">
              <w:rPr>
                <w:rFonts w:ascii="Arial" w:hAnsi="Arial" w:cs="Arial"/>
                <w:sz w:val="15"/>
                <w:szCs w:val="15"/>
              </w:rPr>
              <w:t>Formule impiegate per calcolare gli indici finanziari:</w:t>
            </w:r>
          </w:p>
          <w:tbl>
            <w:tblPr>
              <w:tblStyle w:val="TableGrid"/>
              <w:tblW w:w="7259" w:type="dxa"/>
              <w:tblBorders>
                <w:top w:val="single" w:sz="4" w:space="0" w:color="BFBFBF"/>
                <w:left w:val="single" w:sz="4" w:space="0" w:color="BFBFBF"/>
              </w:tblBorders>
              <w:tblCellMar>
                <w:left w:w="78" w:type="dxa"/>
              </w:tblCellMar>
              <w:tblLook w:val="04A0" w:firstRow="1" w:lastRow="0" w:firstColumn="1" w:lastColumn="0" w:noHBand="0" w:noVBand="1"/>
            </w:tblPr>
            <w:tblGrid>
              <w:gridCol w:w="2669"/>
              <w:gridCol w:w="4590"/>
            </w:tblGrid>
            <w:tr w:rsidR="004976E9" w:rsidRPr="00273ED1" w14:paraId="2A1BA5D0" w14:textId="77777777" w:rsidTr="00E31E69">
              <w:trPr>
                <w:trHeight w:val="170"/>
              </w:trPr>
              <w:tc>
                <w:tcPr>
                  <w:tcW w:w="2669" w:type="dxa"/>
                  <w:tcBorders>
                    <w:top w:val="single" w:sz="4" w:space="0" w:color="BFBFBF"/>
                    <w:left w:val="single" w:sz="4" w:space="0" w:color="BFBFBF"/>
                  </w:tcBorders>
                  <w:shd w:val="clear" w:color="auto" w:fill="auto"/>
                  <w:tcMar>
                    <w:left w:w="78" w:type="dxa"/>
                  </w:tcMar>
                </w:tcPr>
                <w:p w14:paraId="6D334616" w14:textId="77777777" w:rsidR="004976E9" w:rsidRPr="00273ED1" w:rsidRDefault="004976E9" w:rsidP="00E31E69">
                  <w:pPr>
                    <w:rPr>
                      <w:sz w:val="15"/>
                      <w:szCs w:val="15"/>
                    </w:rPr>
                  </w:pPr>
                  <w:r w:rsidRPr="00273ED1">
                    <w:rPr>
                      <w:rFonts w:ascii="Arial" w:hAnsi="Arial" w:cs="Arial"/>
                      <w:sz w:val="15"/>
                      <w:szCs w:val="15"/>
                    </w:rPr>
                    <w:t>Margine utile lordo, %</w:t>
                  </w:r>
                </w:p>
              </w:tc>
              <w:tc>
                <w:tcPr>
                  <w:tcW w:w="4589" w:type="dxa"/>
                  <w:tcBorders>
                    <w:top w:val="single" w:sz="4" w:space="0" w:color="BFBFBF"/>
                    <w:left w:val="single" w:sz="4" w:space="0" w:color="BFBFBF"/>
                    <w:right w:val="single" w:sz="4" w:space="0" w:color="BFBFBF"/>
                  </w:tcBorders>
                  <w:shd w:val="clear" w:color="auto" w:fill="auto"/>
                  <w:tcMar>
                    <w:left w:w="78" w:type="dxa"/>
                  </w:tcMar>
                </w:tcPr>
                <w:p w14:paraId="6314A570" w14:textId="77777777" w:rsidR="004976E9" w:rsidRPr="00273ED1" w:rsidRDefault="004976E9" w:rsidP="00E31E69">
                  <w:pPr>
                    <w:rPr>
                      <w:sz w:val="15"/>
                      <w:szCs w:val="15"/>
                    </w:rPr>
                  </w:pPr>
                  <w:r w:rsidRPr="00273ED1">
                    <w:rPr>
                      <w:rFonts w:ascii="Arial" w:hAnsi="Arial" w:cs="Arial"/>
                      <w:sz w:val="15"/>
                      <w:szCs w:val="15"/>
                    </w:rPr>
                    <w:t>Utile lordo / ricavi*100</w:t>
                  </w:r>
                </w:p>
              </w:tc>
            </w:tr>
            <w:tr w:rsidR="004976E9" w:rsidRPr="00273ED1" w14:paraId="44FA06B7" w14:textId="77777777" w:rsidTr="00E31E69">
              <w:trPr>
                <w:trHeight w:val="170"/>
              </w:trPr>
              <w:tc>
                <w:tcPr>
                  <w:tcW w:w="2669" w:type="dxa"/>
                  <w:tcBorders>
                    <w:left w:val="single" w:sz="4" w:space="0" w:color="BFBFBF"/>
                  </w:tcBorders>
                  <w:shd w:val="clear" w:color="auto" w:fill="auto"/>
                  <w:tcMar>
                    <w:left w:w="78" w:type="dxa"/>
                  </w:tcMar>
                </w:tcPr>
                <w:p w14:paraId="01B4D42A" w14:textId="77777777" w:rsidR="004976E9" w:rsidRPr="00273ED1" w:rsidRDefault="004976E9" w:rsidP="00E31E69">
                  <w:pPr>
                    <w:rPr>
                      <w:sz w:val="15"/>
                      <w:szCs w:val="15"/>
                    </w:rPr>
                  </w:pPr>
                  <w:r w:rsidRPr="00273ED1">
                    <w:rPr>
                      <w:rFonts w:ascii="Arial" w:hAnsi="Arial" w:cs="Arial"/>
                      <w:sz w:val="15"/>
                      <w:szCs w:val="15"/>
                    </w:rPr>
                    <w:t>Margine EBITDA, %</w:t>
                  </w:r>
                </w:p>
              </w:tc>
              <w:tc>
                <w:tcPr>
                  <w:tcW w:w="4589" w:type="dxa"/>
                  <w:tcBorders>
                    <w:left w:val="single" w:sz="4" w:space="0" w:color="BFBFBF"/>
                    <w:right w:val="single" w:sz="4" w:space="0" w:color="BFBFBF"/>
                  </w:tcBorders>
                  <w:shd w:val="clear" w:color="auto" w:fill="auto"/>
                  <w:tcMar>
                    <w:left w:w="78" w:type="dxa"/>
                  </w:tcMar>
                </w:tcPr>
                <w:p w14:paraId="113BFA32" w14:textId="77777777" w:rsidR="004976E9" w:rsidRPr="00273ED1" w:rsidRDefault="004976E9" w:rsidP="00E31E69">
                  <w:pPr>
                    <w:rPr>
                      <w:sz w:val="15"/>
                      <w:szCs w:val="15"/>
                    </w:rPr>
                  </w:pPr>
                  <w:r w:rsidRPr="00273ED1">
                    <w:rPr>
                      <w:rFonts w:ascii="Arial" w:hAnsi="Arial" w:cs="Arial"/>
                      <w:sz w:val="15"/>
                      <w:szCs w:val="15"/>
                    </w:rPr>
                    <w:t>EBITDA / ricavi*100</w:t>
                  </w:r>
                </w:p>
              </w:tc>
            </w:tr>
            <w:tr w:rsidR="004976E9" w:rsidRPr="00273ED1" w14:paraId="77BD428C" w14:textId="77777777" w:rsidTr="00E31E69">
              <w:trPr>
                <w:trHeight w:val="170"/>
              </w:trPr>
              <w:tc>
                <w:tcPr>
                  <w:tcW w:w="2669" w:type="dxa"/>
                  <w:tcBorders>
                    <w:left w:val="single" w:sz="4" w:space="0" w:color="BFBFBF"/>
                  </w:tcBorders>
                  <w:shd w:val="clear" w:color="auto" w:fill="auto"/>
                  <w:tcMar>
                    <w:left w:w="78" w:type="dxa"/>
                  </w:tcMar>
                </w:tcPr>
                <w:p w14:paraId="46E06DF3" w14:textId="77777777" w:rsidR="004976E9" w:rsidRPr="00273ED1" w:rsidRDefault="004976E9" w:rsidP="00E31E69">
                  <w:pPr>
                    <w:rPr>
                      <w:sz w:val="15"/>
                      <w:szCs w:val="15"/>
                    </w:rPr>
                  </w:pPr>
                  <w:r w:rsidRPr="00273ED1">
                    <w:rPr>
                      <w:rFonts w:ascii="Arial" w:hAnsi="Arial" w:cs="Arial"/>
                      <w:sz w:val="15"/>
                      <w:szCs w:val="15"/>
                    </w:rPr>
                    <w:t>Margine operativo, %</w:t>
                  </w:r>
                </w:p>
              </w:tc>
              <w:tc>
                <w:tcPr>
                  <w:tcW w:w="4589" w:type="dxa"/>
                  <w:tcBorders>
                    <w:left w:val="single" w:sz="4" w:space="0" w:color="BFBFBF"/>
                    <w:right w:val="single" w:sz="4" w:space="0" w:color="BFBFBF"/>
                  </w:tcBorders>
                  <w:shd w:val="clear" w:color="auto" w:fill="auto"/>
                  <w:tcMar>
                    <w:left w:w="78" w:type="dxa"/>
                  </w:tcMar>
                </w:tcPr>
                <w:p w14:paraId="2AE6EA75" w14:textId="77777777" w:rsidR="004976E9" w:rsidRPr="00273ED1" w:rsidRDefault="004976E9" w:rsidP="00E31E69">
                  <w:pPr>
                    <w:rPr>
                      <w:sz w:val="15"/>
                      <w:szCs w:val="15"/>
                    </w:rPr>
                  </w:pPr>
                  <w:r w:rsidRPr="00273ED1">
                    <w:rPr>
                      <w:rFonts w:ascii="Arial" w:hAnsi="Arial" w:cs="Arial"/>
                      <w:sz w:val="15"/>
                      <w:szCs w:val="15"/>
                    </w:rPr>
                    <w:t>Risultato operativo / ricavi*100</w:t>
                  </w:r>
                </w:p>
              </w:tc>
            </w:tr>
            <w:tr w:rsidR="004976E9" w:rsidRPr="00273ED1" w14:paraId="285E85BE" w14:textId="77777777" w:rsidTr="00E31E69">
              <w:trPr>
                <w:trHeight w:val="170"/>
              </w:trPr>
              <w:tc>
                <w:tcPr>
                  <w:tcW w:w="2669" w:type="dxa"/>
                  <w:tcBorders>
                    <w:left w:val="single" w:sz="4" w:space="0" w:color="BFBFBF"/>
                  </w:tcBorders>
                  <w:shd w:val="clear" w:color="auto" w:fill="auto"/>
                  <w:tcMar>
                    <w:left w:w="78" w:type="dxa"/>
                  </w:tcMar>
                </w:tcPr>
                <w:p w14:paraId="32AEEFF8" w14:textId="77777777" w:rsidR="004976E9" w:rsidRPr="00273ED1" w:rsidRDefault="004976E9" w:rsidP="00E31E69">
                  <w:pPr>
                    <w:rPr>
                      <w:sz w:val="15"/>
                      <w:szCs w:val="15"/>
                    </w:rPr>
                  </w:pPr>
                  <w:r w:rsidRPr="00273ED1">
                    <w:rPr>
                      <w:rFonts w:ascii="Arial" w:hAnsi="Arial" w:cs="Arial"/>
                      <w:sz w:val="15"/>
                      <w:szCs w:val="15"/>
                    </w:rPr>
                    <w:t>Margine EBT, %</w:t>
                  </w:r>
                </w:p>
              </w:tc>
              <w:tc>
                <w:tcPr>
                  <w:tcW w:w="4589" w:type="dxa"/>
                  <w:tcBorders>
                    <w:left w:val="single" w:sz="4" w:space="0" w:color="BFBFBF"/>
                    <w:right w:val="single" w:sz="4" w:space="0" w:color="BFBFBF"/>
                  </w:tcBorders>
                  <w:shd w:val="clear" w:color="auto" w:fill="auto"/>
                  <w:tcMar>
                    <w:left w:w="78" w:type="dxa"/>
                  </w:tcMar>
                </w:tcPr>
                <w:p w14:paraId="7C38C15A" w14:textId="77777777" w:rsidR="004976E9" w:rsidRPr="00273ED1" w:rsidRDefault="004976E9" w:rsidP="00E31E69">
                  <w:pPr>
                    <w:rPr>
                      <w:sz w:val="15"/>
                      <w:szCs w:val="15"/>
                    </w:rPr>
                  </w:pPr>
                  <w:r w:rsidRPr="00273ED1">
                    <w:rPr>
                      <w:rFonts w:ascii="Arial" w:hAnsi="Arial" w:cs="Arial"/>
                      <w:sz w:val="15"/>
                      <w:szCs w:val="15"/>
                    </w:rPr>
                    <w:t>EBT / ricavi*100</w:t>
                  </w:r>
                </w:p>
              </w:tc>
            </w:tr>
            <w:tr w:rsidR="004976E9" w:rsidRPr="00273ED1" w14:paraId="0E307A55" w14:textId="77777777" w:rsidTr="00E31E69">
              <w:trPr>
                <w:trHeight w:val="170"/>
              </w:trPr>
              <w:tc>
                <w:tcPr>
                  <w:tcW w:w="2669" w:type="dxa"/>
                  <w:tcBorders>
                    <w:left w:val="single" w:sz="4" w:space="0" w:color="BFBFBF"/>
                  </w:tcBorders>
                  <w:shd w:val="clear" w:color="auto" w:fill="auto"/>
                  <w:tcMar>
                    <w:left w:w="78" w:type="dxa"/>
                  </w:tcMar>
                </w:tcPr>
                <w:p w14:paraId="4D3DA12A" w14:textId="77777777" w:rsidR="004976E9" w:rsidRPr="00273ED1" w:rsidRDefault="004976E9" w:rsidP="00E31E69">
                  <w:pPr>
                    <w:rPr>
                      <w:sz w:val="15"/>
                      <w:szCs w:val="15"/>
                    </w:rPr>
                  </w:pPr>
                  <w:r w:rsidRPr="00273ED1">
                    <w:rPr>
                      <w:rFonts w:ascii="Arial" w:hAnsi="Arial" w:cs="Arial"/>
                      <w:sz w:val="15"/>
                      <w:szCs w:val="15"/>
                    </w:rPr>
                    <w:t xml:space="preserve">Margine </w:t>
                  </w:r>
                  <w:r w:rsidR="00555C9F" w:rsidRPr="00273ED1">
                    <w:rPr>
                      <w:rFonts w:ascii="Arial" w:hAnsi="Arial" w:cs="Arial"/>
                      <w:sz w:val="15"/>
                      <w:szCs w:val="15"/>
                    </w:rPr>
                    <w:t>netto, %</w:t>
                  </w:r>
                </w:p>
              </w:tc>
              <w:tc>
                <w:tcPr>
                  <w:tcW w:w="4589" w:type="dxa"/>
                  <w:tcBorders>
                    <w:left w:val="single" w:sz="4" w:space="0" w:color="BFBFBF"/>
                    <w:right w:val="single" w:sz="4" w:space="0" w:color="BFBFBF"/>
                  </w:tcBorders>
                  <w:shd w:val="clear" w:color="auto" w:fill="auto"/>
                  <w:tcMar>
                    <w:left w:w="78" w:type="dxa"/>
                  </w:tcMar>
                </w:tcPr>
                <w:p w14:paraId="505CAB9D" w14:textId="77777777" w:rsidR="004976E9" w:rsidRPr="00273ED1" w:rsidRDefault="004976E9" w:rsidP="00E31E69">
                  <w:pPr>
                    <w:rPr>
                      <w:sz w:val="15"/>
                      <w:szCs w:val="15"/>
                    </w:rPr>
                  </w:pPr>
                  <w:r w:rsidRPr="00273ED1">
                    <w:rPr>
                      <w:rFonts w:ascii="Arial" w:hAnsi="Arial" w:cs="Arial"/>
                      <w:sz w:val="15"/>
                      <w:szCs w:val="15"/>
                    </w:rPr>
                    <w:t>Risultato netto / ricavi*100</w:t>
                  </w:r>
                </w:p>
              </w:tc>
            </w:tr>
            <w:tr w:rsidR="004976E9" w:rsidRPr="00273ED1" w14:paraId="72978C0B" w14:textId="77777777" w:rsidTr="00E31E69">
              <w:trPr>
                <w:trHeight w:val="170"/>
              </w:trPr>
              <w:tc>
                <w:tcPr>
                  <w:tcW w:w="2669" w:type="dxa"/>
                  <w:tcBorders>
                    <w:left w:val="single" w:sz="4" w:space="0" w:color="BFBFBF"/>
                  </w:tcBorders>
                  <w:shd w:val="clear" w:color="auto" w:fill="auto"/>
                  <w:tcMar>
                    <w:left w:w="78" w:type="dxa"/>
                  </w:tcMar>
                </w:tcPr>
                <w:p w14:paraId="74D1CF9D" w14:textId="77777777" w:rsidR="004976E9" w:rsidRPr="00273ED1" w:rsidRDefault="004976E9" w:rsidP="00E31E69">
                  <w:pPr>
                    <w:rPr>
                      <w:sz w:val="15"/>
                      <w:szCs w:val="15"/>
                    </w:rPr>
                  </w:pPr>
                  <w:r w:rsidRPr="00273ED1">
                    <w:rPr>
                      <w:rFonts w:ascii="Arial" w:hAnsi="Arial" w:cs="Arial"/>
                      <w:sz w:val="15"/>
                      <w:szCs w:val="15"/>
                    </w:rPr>
                    <w:t>Margine netto per gli azionisti, %</w:t>
                  </w:r>
                </w:p>
              </w:tc>
              <w:tc>
                <w:tcPr>
                  <w:tcW w:w="4589" w:type="dxa"/>
                  <w:tcBorders>
                    <w:left w:val="single" w:sz="4" w:space="0" w:color="BFBFBF"/>
                    <w:right w:val="single" w:sz="4" w:space="0" w:color="BFBFBF"/>
                  </w:tcBorders>
                  <w:shd w:val="clear" w:color="auto" w:fill="auto"/>
                  <w:tcMar>
                    <w:left w:w="78" w:type="dxa"/>
                  </w:tcMar>
                </w:tcPr>
                <w:p w14:paraId="3016B7D7" w14:textId="77777777" w:rsidR="004976E9" w:rsidRPr="00273ED1" w:rsidRDefault="004976E9" w:rsidP="00E31E69">
                  <w:pPr>
                    <w:rPr>
                      <w:sz w:val="15"/>
                      <w:szCs w:val="15"/>
                    </w:rPr>
                  </w:pPr>
                  <w:r w:rsidRPr="00273ED1">
                    <w:rPr>
                      <w:rFonts w:ascii="Arial" w:hAnsi="Arial" w:cs="Arial"/>
                      <w:sz w:val="15"/>
                      <w:szCs w:val="15"/>
                    </w:rPr>
                    <w:t>Risultato netto per gli azionisti / ricavi* 100</w:t>
                  </w:r>
                </w:p>
              </w:tc>
            </w:tr>
            <w:tr w:rsidR="004976E9" w:rsidRPr="00273ED1" w14:paraId="552809A2" w14:textId="77777777" w:rsidTr="00E31E69">
              <w:trPr>
                <w:trHeight w:val="170"/>
              </w:trPr>
              <w:tc>
                <w:tcPr>
                  <w:tcW w:w="2669" w:type="dxa"/>
                  <w:tcBorders>
                    <w:left w:val="single" w:sz="4" w:space="0" w:color="BFBFBF"/>
                  </w:tcBorders>
                  <w:shd w:val="clear" w:color="auto" w:fill="auto"/>
                  <w:tcMar>
                    <w:left w:w="78" w:type="dxa"/>
                  </w:tcMar>
                </w:tcPr>
                <w:p w14:paraId="3AE47323" w14:textId="77777777" w:rsidR="004976E9" w:rsidRPr="00273ED1" w:rsidRDefault="004976E9" w:rsidP="00E31E69">
                  <w:pPr>
                    <w:rPr>
                      <w:sz w:val="15"/>
                      <w:szCs w:val="15"/>
                    </w:rPr>
                  </w:pPr>
                  <w:r w:rsidRPr="00273ED1">
                    <w:rPr>
                      <w:rFonts w:ascii="Arial" w:hAnsi="Arial" w:cs="Arial"/>
                      <w:sz w:val="15"/>
                      <w:szCs w:val="15"/>
                    </w:rPr>
                    <w:t>Utile per azione (EPS)</w:t>
                  </w:r>
                </w:p>
              </w:tc>
              <w:tc>
                <w:tcPr>
                  <w:tcW w:w="4589" w:type="dxa"/>
                  <w:tcBorders>
                    <w:left w:val="single" w:sz="4" w:space="0" w:color="BFBFBF"/>
                    <w:right w:val="single" w:sz="4" w:space="0" w:color="BFBFBF"/>
                  </w:tcBorders>
                  <w:shd w:val="clear" w:color="auto" w:fill="auto"/>
                  <w:tcMar>
                    <w:left w:w="78" w:type="dxa"/>
                  </w:tcMar>
                </w:tcPr>
                <w:p w14:paraId="6921EA57" w14:textId="77777777" w:rsidR="004976E9" w:rsidRPr="00273ED1" w:rsidRDefault="004976E9" w:rsidP="00E31E69">
                  <w:pPr>
                    <w:rPr>
                      <w:sz w:val="15"/>
                      <w:szCs w:val="15"/>
                    </w:rPr>
                  </w:pPr>
                  <w:r w:rsidRPr="00273ED1">
                    <w:rPr>
                      <w:rFonts w:ascii="Arial" w:hAnsi="Arial" w:cs="Arial"/>
                      <w:sz w:val="15"/>
                      <w:szCs w:val="15"/>
                    </w:rPr>
                    <w:t>Risultato netto / media del numero azioni</w:t>
                  </w:r>
                </w:p>
              </w:tc>
            </w:tr>
            <w:tr w:rsidR="004976E9" w:rsidRPr="00273ED1" w14:paraId="592718C3" w14:textId="77777777" w:rsidTr="00E31E69">
              <w:trPr>
                <w:trHeight w:val="170"/>
              </w:trPr>
              <w:tc>
                <w:tcPr>
                  <w:tcW w:w="2669" w:type="dxa"/>
                  <w:tcBorders>
                    <w:left w:val="single" w:sz="4" w:space="0" w:color="BFBFBF"/>
                  </w:tcBorders>
                  <w:shd w:val="clear" w:color="auto" w:fill="auto"/>
                  <w:tcMar>
                    <w:left w:w="78" w:type="dxa"/>
                  </w:tcMar>
                </w:tcPr>
                <w:p w14:paraId="7C06799E" w14:textId="77777777" w:rsidR="004976E9" w:rsidRPr="00273ED1" w:rsidRDefault="004976E9" w:rsidP="00E31E69">
                  <w:pPr>
                    <w:rPr>
                      <w:sz w:val="15"/>
                      <w:szCs w:val="15"/>
                    </w:rPr>
                  </w:pPr>
                  <w:r w:rsidRPr="00273ED1">
                    <w:rPr>
                      <w:rFonts w:ascii="Arial" w:hAnsi="Arial" w:cs="Arial"/>
                      <w:sz w:val="15"/>
                      <w:szCs w:val="15"/>
                    </w:rPr>
                    <w:t>Indice P/E</w:t>
                  </w:r>
                </w:p>
              </w:tc>
              <w:tc>
                <w:tcPr>
                  <w:tcW w:w="4589" w:type="dxa"/>
                  <w:tcBorders>
                    <w:left w:val="single" w:sz="4" w:space="0" w:color="BFBFBF"/>
                    <w:right w:val="single" w:sz="4" w:space="0" w:color="BFBFBF"/>
                  </w:tcBorders>
                  <w:shd w:val="clear" w:color="auto" w:fill="auto"/>
                  <w:tcMar>
                    <w:left w:w="78" w:type="dxa"/>
                  </w:tcMar>
                </w:tcPr>
                <w:p w14:paraId="1F74A693" w14:textId="77777777" w:rsidR="004976E9" w:rsidRPr="00273ED1" w:rsidRDefault="004976E9" w:rsidP="00E31E69">
                  <w:pPr>
                    <w:rPr>
                      <w:sz w:val="15"/>
                      <w:szCs w:val="15"/>
                    </w:rPr>
                  </w:pPr>
                  <w:r w:rsidRPr="00273ED1">
                    <w:rPr>
                      <w:rFonts w:ascii="Arial" w:hAnsi="Arial" w:cs="Arial"/>
                      <w:sz w:val="15"/>
                      <w:szCs w:val="15"/>
                    </w:rPr>
                    <w:t>Prezzo di chiusura delle azioni / EPS</w:t>
                  </w:r>
                </w:p>
              </w:tc>
            </w:tr>
            <w:tr w:rsidR="004976E9" w:rsidRPr="00273ED1" w14:paraId="2B859AFC" w14:textId="77777777" w:rsidTr="00E31E69">
              <w:trPr>
                <w:trHeight w:val="170"/>
              </w:trPr>
              <w:tc>
                <w:tcPr>
                  <w:tcW w:w="2669" w:type="dxa"/>
                  <w:tcBorders>
                    <w:left w:val="single" w:sz="4" w:space="0" w:color="BFBFBF"/>
                  </w:tcBorders>
                  <w:shd w:val="clear" w:color="auto" w:fill="auto"/>
                  <w:tcMar>
                    <w:left w:w="78" w:type="dxa"/>
                  </w:tcMar>
                </w:tcPr>
                <w:p w14:paraId="4BEDD5FE" w14:textId="77777777" w:rsidR="004976E9" w:rsidRPr="00273ED1" w:rsidRDefault="004976E9" w:rsidP="00E31E69">
                  <w:pPr>
                    <w:rPr>
                      <w:sz w:val="15"/>
                      <w:szCs w:val="15"/>
                    </w:rPr>
                  </w:pPr>
                  <w:r w:rsidRPr="00273ED1">
                    <w:rPr>
                      <w:rFonts w:ascii="Arial" w:hAnsi="Arial" w:cs="Arial"/>
                      <w:sz w:val="15"/>
                      <w:szCs w:val="15"/>
                    </w:rPr>
                    <w:t>Indice di capitale, %</w:t>
                  </w:r>
                </w:p>
              </w:tc>
              <w:tc>
                <w:tcPr>
                  <w:tcW w:w="4589" w:type="dxa"/>
                  <w:tcBorders>
                    <w:left w:val="single" w:sz="4" w:space="0" w:color="BFBFBF"/>
                    <w:right w:val="single" w:sz="4" w:space="0" w:color="BFBFBF"/>
                  </w:tcBorders>
                  <w:shd w:val="clear" w:color="auto" w:fill="auto"/>
                  <w:tcMar>
                    <w:left w:w="78" w:type="dxa"/>
                  </w:tcMar>
                </w:tcPr>
                <w:p w14:paraId="7E37535A" w14:textId="77777777" w:rsidR="004976E9" w:rsidRPr="00273ED1" w:rsidRDefault="004976E9" w:rsidP="00E31E69">
                  <w:pPr>
                    <w:rPr>
                      <w:sz w:val="15"/>
                      <w:szCs w:val="15"/>
                    </w:rPr>
                  </w:pPr>
                  <w:r w:rsidRPr="00273ED1">
                    <w:rPr>
                      <w:rFonts w:ascii="Arial" w:hAnsi="Arial" w:cs="Arial"/>
                      <w:sz w:val="15"/>
                      <w:szCs w:val="15"/>
                    </w:rPr>
                    <w:t>Capitale / totale attivo* 100</w:t>
                  </w:r>
                </w:p>
              </w:tc>
            </w:tr>
            <w:tr w:rsidR="004976E9" w:rsidRPr="00273ED1" w14:paraId="6DEDD6F6" w14:textId="77777777" w:rsidTr="00E31E69">
              <w:trPr>
                <w:trHeight w:val="170"/>
              </w:trPr>
              <w:tc>
                <w:tcPr>
                  <w:tcW w:w="2669" w:type="dxa"/>
                  <w:tcBorders>
                    <w:left w:val="single" w:sz="4" w:space="0" w:color="BFBFBF"/>
                  </w:tcBorders>
                  <w:shd w:val="clear" w:color="auto" w:fill="auto"/>
                  <w:tcMar>
                    <w:left w:w="78" w:type="dxa"/>
                  </w:tcMar>
                </w:tcPr>
                <w:p w14:paraId="3F976F9E" w14:textId="77777777" w:rsidR="004976E9" w:rsidRPr="00273ED1" w:rsidRDefault="004976E9" w:rsidP="00E31E69">
                  <w:pPr>
                    <w:rPr>
                      <w:sz w:val="15"/>
                      <w:szCs w:val="15"/>
                    </w:rPr>
                  </w:pPr>
                  <w:r w:rsidRPr="00273ED1">
                    <w:rPr>
                      <w:rFonts w:ascii="Arial" w:hAnsi="Arial" w:cs="Arial"/>
                      <w:sz w:val="15"/>
                      <w:szCs w:val="15"/>
                    </w:rPr>
                    <w:t xml:space="preserve">Indice indebitamento, % </w:t>
                  </w:r>
                </w:p>
              </w:tc>
              <w:tc>
                <w:tcPr>
                  <w:tcW w:w="4589" w:type="dxa"/>
                  <w:tcBorders>
                    <w:left w:val="single" w:sz="4" w:space="0" w:color="BFBFBF"/>
                    <w:right w:val="single" w:sz="4" w:space="0" w:color="BFBFBF"/>
                  </w:tcBorders>
                  <w:shd w:val="clear" w:color="auto" w:fill="auto"/>
                  <w:tcMar>
                    <w:left w:w="78" w:type="dxa"/>
                  </w:tcMar>
                </w:tcPr>
                <w:p w14:paraId="2FA1D179" w14:textId="77777777" w:rsidR="004976E9" w:rsidRPr="00273ED1" w:rsidRDefault="004976E9" w:rsidP="00E31E69">
                  <w:pPr>
                    <w:rPr>
                      <w:sz w:val="15"/>
                      <w:szCs w:val="15"/>
                    </w:rPr>
                  </w:pPr>
                  <w:r w:rsidRPr="00273ED1">
                    <w:rPr>
                      <w:rFonts w:ascii="Arial" w:hAnsi="Arial" w:cs="Arial"/>
                      <w:sz w:val="15"/>
                      <w:szCs w:val="15"/>
                    </w:rPr>
                    <w:t>Passività fruttifere / capitale* 100</w:t>
                  </w:r>
                </w:p>
              </w:tc>
            </w:tr>
            <w:tr w:rsidR="004976E9" w:rsidRPr="00273ED1" w14:paraId="38E39754" w14:textId="77777777" w:rsidTr="00E31E69">
              <w:trPr>
                <w:trHeight w:val="170"/>
              </w:trPr>
              <w:tc>
                <w:tcPr>
                  <w:tcW w:w="2669" w:type="dxa"/>
                  <w:tcBorders>
                    <w:left w:val="single" w:sz="4" w:space="0" w:color="BFBFBF"/>
                  </w:tcBorders>
                  <w:shd w:val="clear" w:color="auto" w:fill="auto"/>
                  <w:tcMar>
                    <w:left w:w="78" w:type="dxa"/>
                  </w:tcMar>
                </w:tcPr>
                <w:p w14:paraId="585C8A8F" w14:textId="77777777" w:rsidR="004976E9" w:rsidRPr="00273ED1" w:rsidRDefault="004976E9" w:rsidP="00E31E69">
                  <w:pPr>
                    <w:rPr>
                      <w:sz w:val="15"/>
                      <w:szCs w:val="15"/>
                    </w:rPr>
                  </w:pPr>
                  <w:r w:rsidRPr="00273ED1">
                    <w:rPr>
                      <w:rFonts w:ascii="Arial" w:hAnsi="Arial" w:cs="Arial"/>
                      <w:sz w:val="15"/>
                      <w:szCs w:val="15"/>
                    </w:rPr>
                    <w:t>Indice debito netto capitale, %</w:t>
                  </w:r>
                </w:p>
              </w:tc>
              <w:tc>
                <w:tcPr>
                  <w:tcW w:w="4589" w:type="dxa"/>
                  <w:tcBorders>
                    <w:left w:val="single" w:sz="4" w:space="0" w:color="BFBFBF"/>
                    <w:right w:val="single" w:sz="4" w:space="0" w:color="BFBFBF"/>
                  </w:tcBorders>
                  <w:shd w:val="clear" w:color="auto" w:fill="auto"/>
                  <w:tcMar>
                    <w:left w:w="78" w:type="dxa"/>
                  </w:tcMar>
                </w:tcPr>
                <w:p w14:paraId="713C7F11" w14:textId="77777777" w:rsidR="004976E9" w:rsidRPr="00273ED1" w:rsidRDefault="004976E9" w:rsidP="00E31E69">
                  <w:pPr>
                    <w:rPr>
                      <w:sz w:val="15"/>
                      <w:szCs w:val="15"/>
                    </w:rPr>
                  </w:pPr>
                  <w:r w:rsidRPr="00273ED1">
                    <w:rPr>
                      <w:rFonts w:ascii="Arial" w:hAnsi="Arial" w:cs="Arial"/>
                      <w:sz w:val="15"/>
                      <w:szCs w:val="15"/>
                    </w:rPr>
                    <w:t>(passività fruttifere – disponibilità liquide e mezzi equivalenti) / (passività fruttifere – disponibilità liquide e mezzi equivalenti + capitale) * 100</w:t>
                  </w:r>
                </w:p>
              </w:tc>
            </w:tr>
            <w:tr w:rsidR="004976E9" w:rsidRPr="00273ED1" w14:paraId="2672B331" w14:textId="77777777" w:rsidTr="00E31E69">
              <w:trPr>
                <w:trHeight w:val="170"/>
              </w:trPr>
              <w:tc>
                <w:tcPr>
                  <w:tcW w:w="2669" w:type="dxa"/>
                  <w:tcBorders>
                    <w:left w:val="single" w:sz="4" w:space="0" w:color="BFBFBF"/>
                  </w:tcBorders>
                  <w:shd w:val="clear" w:color="auto" w:fill="auto"/>
                  <w:tcMar>
                    <w:left w:w="78" w:type="dxa"/>
                  </w:tcMar>
                </w:tcPr>
                <w:p w14:paraId="0E313794" w14:textId="77777777" w:rsidR="004976E9" w:rsidRPr="00273ED1" w:rsidRDefault="004976E9" w:rsidP="00E31E69">
                  <w:pPr>
                    <w:rPr>
                      <w:sz w:val="15"/>
                      <w:szCs w:val="15"/>
                    </w:rPr>
                  </w:pPr>
                  <w:r w:rsidRPr="00273ED1">
                    <w:rPr>
                      <w:rFonts w:ascii="Arial" w:hAnsi="Arial" w:cs="Arial"/>
                      <w:sz w:val="15"/>
                      <w:szCs w:val="15"/>
                    </w:rPr>
                    <w:t>Indice debito su EBITDA</w:t>
                  </w:r>
                </w:p>
              </w:tc>
              <w:tc>
                <w:tcPr>
                  <w:tcW w:w="4589" w:type="dxa"/>
                  <w:tcBorders>
                    <w:left w:val="single" w:sz="4" w:space="0" w:color="BFBFBF"/>
                    <w:right w:val="single" w:sz="4" w:space="0" w:color="BFBFBF"/>
                  </w:tcBorders>
                  <w:shd w:val="clear" w:color="auto" w:fill="auto"/>
                  <w:tcMar>
                    <w:left w:w="78" w:type="dxa"/>
                  </w:tcMar>
                </w:tcPr>
                <w:p w14:paraId="112DD5E0" w14:textId="77777777" w:rsidR="004976E9" w:rsidRPr="00273ED1" w:rsidRDefault="004976E9" w:rsidP="00E31E69">
                  <w:pPr>
                    <w:rPr>
                      <w:sz w:val="15"/>
                      <w:szCs w:val="15"/>
                    </w:rPr>
                  </w:pPr>
                  <w:r w:rsidRPr="00273ED1">
                    <w:rPr>
                      <w:rFonts w:ascii="Arial" w:hAnsi="Arial" w:cs="Arial"/>
                      <w:sz w:val="15"/>
                      <w:szCs w:val="15"/>
                    </w:rPr>
                    <w:t>Passività fruttifere / EBITDA</w:t>
                  </w:r>
                </w:p>
              </w:tc>
            </w:tr>
            <w:tr w:rsidR="004976E9" w:rsidRPr="00273ED1" w14:paraId="5DBA8CF3" w14:textId="77777777" w:rsidTr="00E31E69">
              <w:trPr>
                <w:trHeight w:val="170"/>
              </w:trPr>
              <w:tc>
                <w:tcPr>
                  <w:tcW w:w="2669" w:type="dxa"/>
                  <w:tcBorders>
                    <w:left w:val="single" w:sz="4" w:space="0" w:color="BFBFBF"/>
                  </w:tcBorders>
                  <w:shd w:val="clear" w:color="auto" w:fill="auto"/>
                  <w:tcMar>
                    <w:left w:w="78" w:type="dxa"/>
                  </w:tcMar>
                </w:tcPr>
                <w:p w14:paraId="195116DA" w14:textId="77777777" w:rsidR="004976E9" w:rsidRPr="00273ED1" w:rsidRDefault="004976E9" w:rsidP="00E31E69">
                  <w:pPr>
                    <w:rPr>
                      <w:sz w:val="15"/>
                      <w:szCs w:val="15"/>
                    </w:rPr>
                  </w:pPr>
                  <w:r w:rsidRPr="00273ED1">
                    <w:rPr>
                      <w:rFonts w:ascii="Arial" w:hAnsi="Arial" w:cs="Arial"/>
                      <w:sz w:val="15"/>
                      <w:szCs w:val="15"/>
                    </w:rPr>
                    <w:t>Indice corrente</w:t>
                  </w:r>
                </w:p>
              </w:tc>
              <w:tc>
                <w:tcPr>
                  <w:tcW w:w="4589" w:type="dxa"/>
                  <w:tcBorders>
                    <w:left w:val="single" w:sz="4" w:space="0" w:color="BFBFBF"/>
                    <w:right w:val="single" w:sz="4" w:space="0" w:color="BFBFBF"/>
                  </w:tcBorders>
                  <w:shd w:val="clear" w:color="auto" w:fill="auto"/>
                  <w:tcMar>
                    <w:left w:w="78" w:type="dxa"/>
                  </w:tcMar>
                </w:tcPr>
                <w:p w14:paraId="56E65793" w14:textId="77777777" w:rsidR="004976E9" w:rsidRPr="00273ED1" w:rsidRDefault="004976E9" w:rsidP="00E31E69">
                  <w:pPr>
                    <w:rPr>
                      <w:sz w:val="15"/>
                      <w:szCs w:val="15"/>
                    </w:rPr>
                  </w:pPr>
                  <w:r w:rsidRPr="00273ED1">
                    <w:rPr>
                      <w:rFonts w:ascii="Arial" w:hAnsi="Arial" w:cs="Arial"/>
                      <w:sz w:val="15"/>
                      <w:szCs w:val="15"/>
                    </w:rPr>
                    <w:t>Attivo corrente/ passivo corrente</w:t>
                  </w:r>
                </w:p>
              </w:tc>
            </w:tr>
            <w:tr w:rsidR="004976E9" w:rsidRPr="00273ED1" w14:paraId="0A75F608" w14:textId="77777777" w:rsidTr="00E31E69">
              <w:trPr>
                <w:trHeight w:val="170"/>
              </w:trPr>
              <w:tc>
                <w:tcPr>
                  <w:tcW w:w="2669" w:type="dxa"/>
                  <w:tcBorders>
                    <w:left w:val="single" w:sz="4" w:space="0" w:color="BFBFBF"/>
                  </w:tcBorders>
                  <w:shd w:val="clear" w:color="auto" w:fill="auto"/>
                  <w:tcMar>
                    <w:left w:w="78" w:type="dxa"/>
                  </w:tcMar>
                </w:tcPr>
                <w:p w14:paraId="58BE2B5B" w14:textId="77777777" w:rsidR="004976E9" w:rsidRPr="00273ED1" w:rsidRDefault="004976E9" w:rsidP="00E31E69">
                  <w:pPr>
                    <w:rPr>
                      <w:sz w:val="15"/>
                      <w:szCs w:val="15"/>
                    </w:rPr>
                  </w:pPr>
                  <w:r w:rsidRPr="00273ED1">
                    <w:rPr>
                      <w:rFonts w:ascii="Arial" w:hAnsi="Arial" w:cs="Arial"/>
                      <w:sz w:val="15"/>
                      <w:szCs w:val="15"/>
                    </w:rPr>
                    <w:t>Rendimento patrimonio, %</w:t>
                  </w:r>
                </w:p>
              </w:tc>
              <w:tc>
                <w:tcPr>
                  <w:tcW w:w="4589" w:type="dxa"/>
                  <w:tcBorders>
                    <w:left w:val="single" w:sz="4" w:space="0" w:color="BFBFBF"/>
                    <w:right w:val="single" w:sz="4" w:space="0" w:color="BFBFBF"/>
                  </w:tcBorders>
                  <w:shd w:val="clear" w:color="auto" w:fill="auto"/>
                  <w:tcMar>
                    <w:left w:w="78" w:type="dxa"/>
                  </w:tcMar>
                </w:tcPr>
                <w:p w14:paraId="12921D2D" w14:textId="77777777" w:rsidR="004976E9" w:rsidRPr="00273ED1" w:rsidRDefault="004976E9" w:rsidP="00E31E69">
                  <w:pPr>
                    <w:rPr>
                      <w:sz w:val="15"/>
                      <w:szCs w:val="15"/>
                    </w:rPr>
                  </w:pPr>
                  <w:r w:rsidRPr="00273ED1">
                    <w:rPr>
                      <w:rFonts w:ascii="Arial" w:hAnsi="Arial" w:cs="Arial"/>
                      <w:sz w:val="15"/>
                      <w:szCs w:val="15"/>
                    </w:rPr>
                    <w:t>Risultato netto / media totale attivo* 100</w:t>
                  </w:r>
                </w:p>
              </w:tc>
            </w:tr>
            <w:tr w:rsidR="004976E9" w:rsidRPr="00273ED1" w14:paraId="0344ECC0" w14:textId="77777777" w:rsidTr="00E31E69">
              <w:trPr>
                <w:trHeight w:val="170"/>
              </w:trPr>
              <w:tc>
                <w:tcPr>
                  <w:tcW w:w="2669" w:type="dxa"/>
                  <w:tcBorders>
                    <w:top w:val="single" w:sz="4" w:space="0" w:color="BFBFBF"/>
                    <w:left w:val="single" w:sz="4" w:space="0" w:color="BFBFBF"/>
                    <w:bottom w:val="single" w:sz="4" w:space="0" w:color="BFBFBF"/>
                  </w:tcBorders>
                  <w:shd w:val="clear" w:color="auto" w:fill="auto"/>
                  <w:tcMar>
                    <w:left w:w="78" w:type="dxa"/>
                  </w:tcMar>
                </w:tcPr>
                <w:p w14:paraId="6A6C4A99" w14:textId="77777777" w:rsidR="004976E9" w:rsidRPr="00273ED1" w:rsidRDefault="004976E9" w:rsidP="00E31E69">
                  <w:pPr>
                    <w:rPr>
                      <w:sz w:val="15"/>
                      <w:szCs w:val="15"/>
                    </w:rPr>
                  </w:pPr>
                  <w:r w:rsidRPr="00273ED1">
                    <w:rPr>
                      <w:rFonts w:ascii="Arial" w:hAnsi="Arial" w:cs="Arial"/>
                      <w:sz w:val="15"/>
                      <w:szCs w:val="15"/>
                    </w:rPr>
                    <w:t>Rendimento capitale, %</w:t>
                  </w:r>
                </w:p>
              </w:tc>
              <w:tc>
                <w:tcPr>
                  <w:tcW w:w="4589" w:type="dxa"/>
                  <w:tcBorders>
                    <w:top w:val="single" w:sz="4" w:space="0" w:color="BFBFBF"/>
                    <w:left w:val="single" w:sz="4" w:space="0" w:color="BFBFBF"/>
                    <w:bottom w:val="single" w:sz="4" w:space="0" w:color="BFBFBF"/>
                    <w:right w:val="single" w:sz="4" w:space="0" w:color="BFBFBF"/>
                  </w:tcBorders>
                  <w:shd w:val="clear" w:color="auto" w:fill="auto"/>
                  <w:tcMar>
                    <w:left w:w="78" w:type="dxa"/>
                  </w:tcMar>
                </w:tcPr>
                <w:p w14:paraId="5776CA8A" w14:textId="77777777" w:rsidR="004976E9" w:rsidRPr="00273ED1" w:rsidRDefault="004976E9" w:rsidP="00E31E69">
                  <w:pPr>
                    <w:rPr>
                      <w:sz w:val="15"/>
                      <w:szCs w:val="15"/>
                    </w:rPr>
                  </w:pPr>
                  <w:r w:rsidRPr="00273ED1">
                    <w:rPr>
                      <w:rFonts w:ascii="Arial" w:hAnsi="Arial" w:cs="Arial"/>
                      <w:sz w:val="15"/>
                      <w:szCs w:val="15"/>
                    </w:rPr>
                    <w:t>Risultato netto per gli azionisti / media capitale* 100</w:t>
                  </w:r>
                </w:p>
              </w:tc>
            </w:tr>
          </w:tbl>
          <w:p w14:paraId="063B2259" w14:textId="77777777" w:rsidR="004976E9" w:rsidRPr="00273ED1" w:rsidRDefault="004976E9" w:rsidP="00E31E69">
            <w:pPr>
              <w:jc w:val="both"/>
              <w:rPr>
                <w:rFonts w:ascii="Arial" w:hAnsi="Arial" w:cs="Arial"/>
                <w:sz w:val="15"/>
                <w:szCs w:val="15"/>
              </w:rPr>
            </w:pPr>
          </w:p>
        </w:tc>
      </w:tr>
      <w:tr w:rsidR="004976E9" w:rsidRPr="00273ED1" w14:paraId="71E6F8CD" w14:textId="77777777" w:rsidTr="00E31E69">
        <w:tc>
          <w:tcPr>
            <w:tcW w:w="706" w:type="dxa"/>
            <w:tcBorders>
              <w:top w:val="single" w:sz="4" w:space="0" w:color="808080"/>
              <w:left w:val="single" w:sz="4" w:space="0" w:color="BFBFBF"/>
              <w:bottom w:val="single" w:sz="4" w:space="0" w:color="808080"/>
              <w:right w:val="single" w:sz="4" w:space="0" w:color="808080"/>
            </w:tcBorders>
            <w:shd w:val="clear" w:color="auto" w:fill="auto"/>
            <w:tcMar>
              <w:left w:w="83" w:type="dxa"/>
            </w:tcMar>
          </w:tcPr>
          <w:p w14:paraId="3B9303F6" w14:textId="77777777" w:rsidR="004976E9" w:rsidRPr="00273ED1" w:rsidRDefault="004976E9" w:rsidP="00E31E69">
            <w:pPr>
              <w:rPr>
                <w:rFonts w:ascii="Arial" w:hAnsi="Arial" w:cs="Arial"/>
                <w:sz w:val="15"/>
                <w:szCs w:val="15"/>
              </w:rPr>
            </w:pPr>
            <w:r w:rsidRPr="00273ED1">
              <w:rPr>
                <w:rFonts w:ascii="Arial" w:hAnsi="Arial" w:cs="Arial"/>
                <w:sz w:val="15"/>
                <w:szCs w:val="15"/>
              </w:rPr>
              <w:lastRenderedPageBreak/>
              <w:t>B.8</w:t>
            </w:r>
          </w:p>
        </w:tc>
        <w:tc>
          <w:tcPr>
            <w:tcW w:w="1553" w:type="dxa"/>
            <w:tcBorders>
              <w:top w:val="single" w:sz="4" w:space="0" w:color="808080"/>
              <w:left w:val="single" w:sz="4" w:space="0" w:color="808080"/>
              <w:bottom w:val="single" w:sz="4" w:space="0" w:color="808080"/>
              <w:right w:val="single" w:sz="4" w:space="0" w:color="808080"/>
            </w:tcBorders>
            <w:shd w:val="clear" w:color="auto" w:fill="auto"/>
            <w:tcMar>
              <w:left w:w="83" w:type="dxa"/>
            </w:tcMar>
          </w:tcPr>
          <w:p w14:paraId="120BBEF6" w14:textId="77777777" w:rsidR="004976E9" w:rsidRPr="00273ED1" w:rsidRDefault="004976E9" w:rsidP="00E31E69">
            <w:pPr>
              <w:rPr>
                <w:sz w:val="15"/>
                <w:szCs w:val="15"/>
              </w:rPr>
            </w:pPr>
            <w:r w:rsidRPr="00273ED1">
              <w:rPr>
                <w:rFonts w:ascii="Arial" w:hAnsi="Arial" w:cs="Arial"/>
                <w:sz w:val="15"/>
                <w:szCs w:val="15"/>
              </w:rPr>
              <w:t xml:space="preserve">Informazioni finanziarie proforma fondamentali selezionate </w:t>
            </w:r>
          </w:p>
        </w:tc>
        <w:tc>
          <w:tcPr>
            <w:tcW w:w="7493" w:type="dxa"/>
            <w:tcBorders>
              <w:top w:val="single" w:sz="4" w:space="0" w:color="808080"/>
              <w:left w:val="single" w:sz="4" w:space="0" w:color="808080"/>
              <w:bottom w:val="single" w:sz="4" w:space="0" w:color="808080"/>
              <w:right w:val="single" w:sz="4" w:space="0" w:color="BFBFBF"/>
            </w:tcBorders>
            <w:shd w:val="clear" w:color="auto" w:fill="auto"/>
            <w:tcMar>
              <w:left w:w="83" w:type="dxa"/>
            </w:tcMar>
          </w:tcPr>
          <w:p w14:paraId="67A9A334" w14:textId="77777777" w:rsidR="004976E9" w:rsidRPr="00273ED1" w:rsidRDefault="004976E9" w:rsidP="00E31E69">
            <w:pPr>
              <w:rPr>
                <w:sz w:val="15"/>
                <w:szCs w:val="15"/>
              </w:rPr>
            </w:pPr>
            <w:r w:rsidRPr="00273ED1">
              <w:rPr>
                <w:rFonts w:ascii="Arial" w:hAnsi="Arial" w:cs="Arial"/>
                <w:sz w:val="15"/>
                <w:szCs w:val="15"/>
              </w:rPr>
              <w:t xml:space="preserve">Non applicabile. </w:t>
            </w:r>
          </w:p>
        </w:tc>
      </w:tr>
      <w:tr w:rsidR="004976E9" w:rsidRPr="00273ED1" w14:paraId="45692E78" w14:textId="77777777" w:rsidTr="00E31E69">
        <w:tc>
          <w:tcPr>
            <w:tcW w:w="706" w:type="dxa"/>
            <w:tcBorders>
              <w:top w:val="single" w:sz="4" w:space="0" w:color="808080"/>
              <w:left w:val="single" w:sz="4" w:space="0" w:color="BFBFBF"/>
              <w:bottom w:val="single" w:sz="4" w:space="0" w:color="808080"/>
              <w:right w:val="single" w:sz="4" w:space="0" w:color="808080"/>
            </w:tcBorders>
            <w:shd w:val="clear" w:color="auto" w:fill="auto"/>
            <w:tcMar>
              <w:left w:w="83" w:type="dxa"/>
            </w:tcMar>
          </w:tcPr>
          <w:p w14:paraId="44E3B46D" w14:textId="77777777" w:rsidR="004976E9" w:rsidRPr="00273ED1" w:rsidRDefault="004976E9" w:rsidP="00E31E69">
            <w:pPr>
              <w:rPr>
                <w:rFonts w:ascii="Arial" w:hAnsi="Arial" w:cs="Arial"/>
                <w:sz w:val="15"/>
                <w:szCs w:val="15"/>
              </w:rPr>
            </w:pPr>
            <w:r w:rsidRPr="00273ED1">
              <w:rPr>
                <w:rFonts w:ascii="Arial" w:hAnsi="Arial" w:cs="Arial"/>
                <w:sz w:val="15"/>
                <w:szCs w:val="15"/>
              </w:rPr>
              <w:t>B.9</w:t>
            </w:r>
          </w:p>
        </w:tc>
        <w:tc>
          <w:tcPr>
            <w:tcW w:w="1553" w:type="dxa"/>
            <w:tcBorders>
              <w:top w:val="single" w:sz="4" w:space="0" w:color="808080"/>
              <w:left w:val="single" w:sz="4" w:space="0" w:color="808080"/>
              <w:bottom w:val="single" w:sz="4" w:space="0" w:color="808080"/>
              <w:right w:val="single" w:sz="4" w:space="0" w:color="808080"/>
            </w:tcBorders>
            <w:shd w:val="clear" w:color="auto" w:fill="auto"/>
            <w:tcMar>
              <w:left w:w="83" w:type="dxa"/>
            </w:tcMar>
          </w:tcPr>
          <w:p w14:paraId="6E8D9F6C" w14:textId="77777777" w:rsidR="004976E9" w:rsidRPr="00273ED1" w:rsidRDefault="004976E9" w:rsidP="00E31E69">
            <w:pPr>
              <w:rPr>
                <w:sz w:val="15"/>
                <w:szCs w:val="15"/>
              </w:rPr>
            </w:pPr>
            <w:r w:rsidRPr="00273ED1">
              <w:rPr>
                <w:rFonts w:ascii="Arial" w:hAnsi="Arial" w:cs="Arial"/>
                <w:sz w:val="15"/>
                <w:szCs w:val="15"/>
              </w:rPr>
              <w:t>Previsione o stima degli utili</w:t>
            </w:r>
          </w:p>
        </w:tc>
        <w:tc>
          <w:tcPr>
            <w:tcW w:w="7493" w:type="dxa"/>
            <w:tcBorders>
              <w:top w:val="single" w:sz="4" w:space="0" w:color="808080"/>
              <w:left w:val="single" w:sz="4" w:space="0" w:color="808080"/>
              <w:bottom w:val="single" w:sz="4" w:space="0" w:color="808080"/>
              <w:right w:val="single" w:sz="4" w:space="0" w:color="BFBFBF"/>
            </w:tcBorders>
            <w:shd w:val="clear" w:color="auto" w:fill="auto"/>
            <w:tcMar>
              <w:left w:w="83" w:type="dxa"/>
            </w:tcMar>
          </w:tcPr>
          <w:p w14:paraId="4A29ECAB" w14:textId="0A199CA7" w:rsidR="004976E9" w:rsidRPr="00273ED1" w:rsidRDefault="004976E9" w:rsidP="00E31E69">
            <w:pPr>
              <w:jc w:val="both"/>
              <w:rPr>
                <w:sz w:val="15"/>
                <w:szCs w:val="15"/>
              </w:rPr>
            </w:pPr>
            <w:r w:rsidRPr="00273ED1">
              <w:rPr>
                <w:rFonts w:ascii="Arial" w:hAnsi="Arial" w:cs="Arial"/>
                <w:sz w:val="15"/>
                <w:szCs w:val="15"/>
              </w:rPr>
              <w:t>Alla data del Prospetto, la Società non ha emesso alcuna previsione o stim</w:t>
            </w:r>
            <w:r w:rsidR="00093EFE" w:rsidRPr="00273ED1">
              <w:rPr>
                <w:rFonts w:ascii="Arial" w:hAnsi="Arial" w:cs="Arial"/>
                <w:sz w:val="15"/>
                <w:szCs w:val="15"/>
              </w:rPr>
              <w:t>e</w:t>
            </w:r>
            <w:r w:rsidRPr="00273ED1">
              <w:rPr>
                <w:rFonts w:ascii="Arial" w:hAnsi="Arial" w:cs="Arial"/>
                <w:sz w:val="15"/>
                <w:szCs w:val="15"/>
              </w:rPr>
              <w:t xml:space="preserve"> degli utili. </w:t>
            </w:r>
          </w:p>
        </w:tc>
      </w:tr>
      <w:tr w:rsidR="004976E9" w:rsidRPr="00273ED1" w14:paraId="52DE1594" w14:textId="77777777" w:rsidTr="00E31E69">
        <w:tc>
          <w:tcPr>
            <w:tcW w:w="706" w:type="dxa"/>
            <w:tcBorders>
              <w:top w:val="single" w:sz="4" w:space="0" w:color="808080"/>
              <w:left w:val="single" w:sz="4" w:space="0" w:color="BFBFBF"/>
              <w:bottom w:val="single" w:sz="4" w:space="0" w:color="808080"/>
              <w:right w:val="single" w:sz="4" w:space="0" w:color="808080"/>
            </w:tcBorders>
            <w:shd w:val="clear" w:color="auto" w:fill="auto"/>
            <w:tcMar>
              <w:left w:w="83" w:type="dxa"/>
            </w:tcMar>
          </w:tcPr>
          <w:p w14:paraId="6F287CF8" w14:textId="77777777" w:rsidR="004976E9" w:rsidRPr="00273ED1" w:rsidRDefault="004976E9" w:rsidP="00E31E69">
            <w:pPr>
              <w:rPr>
                <w:rFonts w:ascii="Arial" w:hAnsi="Arial" w:cs="Arial"/>
                <w:sz w:val="15"/>
                <w:szCs w:val="15"/>
              </w:rPr>
            </w:pPr>
            <w:r w:rsidRPr="00273ED1">
              <w:rPr>
                <w:rFonts w:ascii="Arial" w:hAnsi="Arial" w:cs="Arial"/>
                <w:sz w:val="15"/>
                <w:szCs w:val="15"/>
              </w:rPr>
              <w:t>B.10</w:t>
            </w:r>
          </w:p>
        </w:tc>
        <w:tc>
          <w:tcPr>
            <w:tcW w:w="1553" w:type="dxa"/>
            <w:tcBorders>
              <w:top w:val="single" w:sz="4" w:space="0" w:color="808080"/>
              <w:left w:val="single" w:sz="4" w:space="0" w:color="808080"/>
              <w:bottom w:val="single" w:sz="4" w:space="0" w:color="808080"/>
              <w:right w:val="single" w:sz="4" w:space="0" w:color="808080"/>
            </w:tcBorders>
            <w:shd w:val="clear" w:color="auto" w:fill="auto"/>
            <w:tcMar>
              <w:left w:w="83" w:type="dxa"/>
            </w:tcMar>
          </w:tcPr>
          <w:p w14:paraId="7F4F2BF4" w14:textId="77777777" w:rsidR="004976E9" w:rsidRPr="00273ED1" w:rsidRDefault="004976E9" w:rsidP="00E31E69">
            <w:pPr>
              <w:rPr>
                <w:sz w:val="15"/>
                <w:szCs w:val="15"/>
              </w:rPr>
            </w:pPr>
            <w:r w:rsidRPr="00273ED1">
              <w:rPr>
                <w:rFonts w:ascii="Arial" w:hAnsi="Arial" w:cs="Arial"/>
                <w:sz w:val="15"/>
                <w:szCs w:val="15"/>
              </w:rPr>
              <w:t>Rilievi contenuti nella relazione di revisione relativa alle informazioni finanziarie storiche</w:t>
            </w:r>
          </w:p>
        </w:tc>
        <w:tc>
          <w:tcPr>
            <w:tcW w:w="7493" w:type="dxa"/>
            <w:tcBorders>
              <w:top w:val="single" w:sz="4" w:space="0" w:color="808080"/>
              <w:left w:val="single" w:sz="4" w:space="0" w:color="808080"/>
              <w:bottom w:val="single" w:sz="4" w:space="0" w:color="808080"/>
              <w:right w:val="single" w:sz="4" w:space="0" w:color="BFBFBF"/>
            </w:tcBorders>
            <w:shd w:val="clear" w:color="auto" w:fill="auto"/>
            <w:tcMar>
              <w:left w:w="83" w:type="dxa"/>
            </w:tcMar>
          </w:tcPr>
          <w:p w14:paraId="1B562535" w14:textId="77777777" w:rsidR="004976E9" w:rsidRPr="00273ED1" w:rsidRDefault="004976E9" w:rsidP="00E31E69">
            <w:pPr>
              <w:jc w:val="both"/>
              <w:rPr>
                <w:sz w:val="15"/>
                <w:szCs w:val="15"/>
              </w:rPr>
            </w:pPr>
            <w:r w:rsidRPr="00273ED1">
              <w:rPr>
                <w:rFonts w:ascii="Arial" w:hAnsi="Arial" w:cs="Arial"/>
                <w:sz w:val="15"/>
                <w:szCs w:val="15"/>
                <w:lang w:eastAsia="lt-LT"/>
              </w:rPr>
              <w:t>Le relazioni di revisione emesse sul bilancio annuale consolidato soggetto a revisione della Società per gli anni 2015 e 2016 non contengono alcun rilievo.</w:t>
            </w:r>
          </w:p>
        </w:tc>
      </w:tr>
      <w:tr w:rsidR="004976E9" w:rsidRPr="00273ED1" w14:paraId="32009AA1" w14:textId="77777777" w:rsidTr="00E31E69">
        <w:tc>
          <w:tcPr>
            <w:tcW w:w="706" w:type="dxa"/>
            <w:tcBorders>
              <w:top w:val="single" w:sz="4" w:space="0" w:color="808080"/>
              <w:left w:val="single" w:sz="4" w:space="0" w:color="BFBFBF"/>
              <w:bottom w:val="single" w:sz="4" w:space="0" w:color="808080"/>
              <w:right w:val="single" w:sz="4" w:space="0" w:color="808080"/>
            </w:tcBorders>
            <w:shd w:val="clear" w:color="auto" w:fill="auto"/>
            <w:tcMar>
              <w:left w:w="83" w:type="dxa"/>
            </w:tcMar>
          </w:tcPr>
          <w:p w14:paraId="2CEEB8DE" w14:textId="77777777" w:rsidR="004976E9" w:rsidRPr="00273ED1" w:rsidRDefault="004976E9" w:rsidP="00E31E69">
            <w:pPr>
              <w:rPr>
                <w:rFonts w:ascii="Arial" w:hAnsi="Arial" w:cs="Arial"/>
                <w:sz w:val="15"/>
                <w:szCs w:val="15"/>
              </w:rPr>
            </w:pPr>
            <w:r w:rsidRPr="00273ED1">
              <w:rPr>
                <w:rFonts w:ascii="Arial" w:hAnsi="Arial" w:cs="Arial"/>
                <w:sz w:val="15"/>
                <w:szCs w:val="15"/>
              </w:rPr>
              <w:t>B.11</w:t>
            </w:r>
          </w:p>
        </w:tc>
        <w:tc>
          <w:tcPr>
            <w:tcW w:w="1553" w:type="dxa"/>
            <w:tcBorders>
              <w:top w:val="single" w:sz="4" w:space="0" w:color="808080"/>
              <w:left w:val="single" w:sz="4" w:space="0" w:color="808080"/>
              <w:bottom w:val="single" w:sz="4" w:space="0" w:color="808080"/>
              <w:right w:val="single" w:sz="4" w:space="0" w:color="808080"/>
            </w:tcBorders>
            <w:shd w:val="clear" w:color="auto" w:fill="auto"/>
            <w:tcMar>
              <w:left w:w="83" w:type="dxa"/>
            </w:tcMar>
          </w:tcPr>
          <w:p w14:paraId="5D36D7EA" w14:textId="77777777" w:rsidR="004976E9" w:rsidRPr="00273ED1" w:rsidRDefault="004976E9" w:rsidP="00E31E69">
            <w:pPr>
              <w:rPr>
                <w:sz w:val="15"/>
                <w:szCs w:val="15"/>
              </w:rPr>
            </w:pPr>
            <w:r w:rsidRPr="00273ED1">
              <w:rPr>
                <w:rFonts w:ascii="Arial" w:hAnsi="Arial" w:cs="Arial"/>
                <w:sz w:val="15"/>
                <w:szCs w:val="15"/>
              </w:rPr>
              <w:t>Capitale circolante</w:t>
            </w:r>
          </w:p>
        </w:tc>
        <w:tc>
          <w:tcPr>
            <w:tcW w:w="7493" w:type="dxa"/>
            <w:tcBorders>
              <w:top w:val="single" w:sz="4" w:space="0" w:color="808080"/>
              <w:left w:val="single" w:sz="4" w:space="0" w:color="808080"/>
              <w:bottom w:val="single" w:sz="4" w:space="0" w:color="808080"/>
              <w:right w:val="single" w:sz="4" w:space="0" w:color="BFBFBF"/>
            </w:tcBorders>
            <w:shd w:val="clear" w:color="auto" w:fill="auto"/>
            <w:tcMar>
              <w:left w:w="83" w:type="dxa"/>
            </w:tcMar>
          </w:tcPr>
          <w:p w14:paraId="1C061FD9" w14:textId="700017F2" w:rsidR="004976E9" w:rsidRPr="00273ED1" w:rsidRDefault="00E15507" w:rsidP="00E31E69">
            <w:pPr>
              <w:jc w:val="both"/>
              <w:rPr>
                <w:sz w:val="15"/>
                <w:szCs w:val="15"/>
              </w:rPr>
            </w:pPr>
            <w:r w:rsidRPr="00273ED1">
              <w:rPr>
                <w:rFonts w:ascii="Arial" w:hAnsi="Arial" w:cs="Arial"/>
                <w:sz w:val="15"/>
                <w:szCs w:val="15"/>
              </w:rPr>
              <w:t>L’Organo Amministrativo</w:t>
            </w:r>
            <w:r w:rsidR="004976E9" w:rsidRPr="00273ED1">
              <w:rPr>
                <w:rFonts w:ascii="Arial" w:hAnsi="Arial" w:cs="Arial"/>
                <w:sz w:val="15"/>
                <w:szCs w:val="15"/>
              </w:rPr>
              <w:t xml:space="preserve"> ritiene che il capitale circolante del Gruppo sia sufficiente a coprire tutte le passività quanto meno per il periodo di 12 mesi successivo alla data del presente Prospetto.</w:t>
            </w:r>
          </w:p>
        </w:tc>
      </w:tr>
      <w:tr w:rsidR="004976E9" w:rsidRPr="00273ED1" w14:paraId="693D50E6" w14:textId="77777777" w:rsidTr="00E31E69">
        <w:tc>
          <w:tcPr>
            <w:tcW w:w="9752" w:type="dxa"/>
            <w:gridSpan w:val="3"/>
            <w:tcBorders>
              <w:top w:val="single" w:sz="4" w:space="0" w:color="808080"/>
              <w:left w:val="single" w:sz="4" w:space="0" w:color="BFBFBF"/>
              <w:bottom w:val="single" w:sz="4" w:space="0" w:color="808080"/>
              <w:right w:val="single" w:sz="4" w:space="0" w:color="BFBFBF"/>
            </w:tcBorders>
            <w:shd w:val="clear" w:color="auto" w:fill="C8501E"/>
            <w:tcMar>
              <w:left w:w="83" w:type="dxa"/>
            </w:tcMar>
          </w:tcPr>
          <w:p w14:paraId="5C38E150" w14:textId="77777777" w:rsidR="004976E9" w:rsidRPr="00273ED1" w:rsidRDefault="004976E9" w:rsidP="00E31E69">
            <w:pPr>
              <w:jc w:val="center"/>
              <w:rPr>
                <w:rFonts w:ascii="Arial" w:hAnsi="Arial" w:cs="Arial"/>
                <w:b/>
                <w:color w:val="FFFFFF" w:themeColor="background1"/>
                <w:sz w:val="15"/>
                <w:szCs w:val="15"/>
              </w:rPr>
            </w:pPr>
          </w:p>
          <w:p w14:paraId="0D289734" w14:textId="77777777" w:rsidR="004976E9" w:rsidRPr="00273ED1" w:rsidRDefault="004976E9" w:rsidP="00E31E69">
            <w:pPr>
              <w:jc w:val="center"/>
              <w:rPr>
                <w:sz w:val="15"/>
                <w:szCs w:val="15"/>
              </w:rPr>
            </w:pPr>
            <w:r w:rsidRPr="00273ED1">
              <w:rPr>
                <w:rFonts w:ascii="Arial" w:hAnsi="Arial" w:cs="Arial"/>
                <w:b/>
                <w:bCs/>
                <w:color w:val="FFFFFF" w:themeColor="background1"/>
                <w:sz w:val="15"/>
                <w:szCs w:val="15"/>
              </w:rPr>
              <w:t>Sezione C — Strumenti finanziari</w:t>
            </w:r>
          </w:p>
        </w:tc>
      </w:tr>
      <w:tr w:rsidR="004976E9" w:rsidRPr="00273ED1" w14:paraId="782005BE" w14:textId="77777777" w:rsidTr="00E31E69">
        <w:tc>
          <w:tcPr>
            <w:tcW w:w="706" w:type="dxa"/>
            <w:tcBorders>
              <w:top w:val="single" w:sz="4" w:space="0" w:color="808080"/>
              <w:left w:val="single" w:sz="4" w:space="0" w:color="BFBFBF"/>
              <w:bottom w:val="single" w:sz="4" w:space="0" w:color="808080"/>
              <w:right w:val="single" w:sz="4" w:space="0" w:color="808080"/>
            </w:tcBorders>
            <w:shd w:val="clear" w:color="auto" w:fill="auto"/>
            <w:tcMar>
              <w:left w:w="83" w:type="dxa"/>
            </w:tcMar>
          </w:tcPr>
          <w:p w14:paraId="70556B6E" w14:textId="77777777" w:rsidR="004976E9" w:rsidRPr="00273ED1" w:rsidRDefault="004976E9" w:rsidP="00E31E69">
            <w:pPr>
              <w:rPr>
                <w:sz w:val="15"/>
                <w:szCs w:val="15"/>
              </w:rPr>
            </w:pPr>
            <w:r w:rsidRPr="00273ED1">
              <w:rPr>
                <w:rFonts w:ascii="Arial" w:hAnsi="Arial" w:cs="Arial"/>
                <w:i/>
                <w:iCs/>
                <w:sz w:val="15"/>
                <w:szCs w:val="15"/>
              </w:rPr>
              <w:t>Ele-mento</w:t>
            </w:r>
          </w:p>
        </w:tc>
        <w:tc>
          <w:tcPr>
            <w:tcW w:w="1553" w:type="dxa"/>
            <w:tcBorders>
              <w:top w:val="single" w:sz="4" w:space="0" w:color="808080"/>
              <w:left w:val="single" w:sz="4" w:space="0" w:color="808080"/>
              <w:bottom w:val="single" w:sz="4" w:space="0" w:color="808080"/>
              <w:right w:val="single" w:sz="4" w:space="0" w:color="808080"/>
            </w:tcBorders>
            <w:shd w:val="clear" w:color="auto" w:fill="auto"/>
            <w:tcMar>
              <w:left w:w="83" w:type="dxa"/>
            </w:tcMar>
          </w:tcPr>
          <w:p w14:paraId="18076009" w14:textId="77777777" w:rsidR="004976E9" w:rsidRPr="00273ED1" w:rsidRDefault="004976E9" w:rsidP="00E31E69">
            <w:pPr>
              <w:rPr>
                <w:sz w:val="15"/>
                <w:szCs w:val="15"/>
              </w:rPr>
            </w:pPr>
            <w:r w:rsidRPr="00273ED1">
              <w:rPr>
                <w:rFonts w:ascii="Arial" w:hAnsi="Arial" w:cs="Arial"/>
                <w:i/>
                <w:iCs/>
                <w:sz w:val="15"/>
                <w:szCs w:val="15"/>
              </w:rPr>
              <w:t>Titolo</w:t>
            </w:r>
          </w:p>
        </w:tc>
        <w:tc>
          <w:tcPr>
            <w:tcW w:w="7493" w:type="dxa"/>
            <w:tcBorders>
              <w:top w:val="single" w:sz="4" w:space="0" w:color="808080"/>
              <w:left w:val="single" w:sz="4" w:space="0" w:color="808080"/>
              <w:bottom w:val="single" w:sz="4" w:space="0" w:color="808080"/>
              <w:right w:val="single" w:sz="4" w:space="0" w:color="BFBFBF"/>
            </w:tcBorders>
            <w:shd w:val="clear" w:color="auto" w:fill="auto"/>
            <w:tcMar>
              <w:left w:w="83" w:type="dxa"/>
            </w:tcMar>
          </w:tcPr>
          <w:p w14:paraId="6DFC0385" w14:textId="77777777" w:rsidR="004976E9" w:rsidRPr="00273ED1" w:rsidRDefault="004976E9" w:rsidP="00E31E69">
            <w:pPr>
              <w:rPr>
                <w:sz w:val="15"/>
                <w:szCs w:val="15"/>
              </w:rPr>
            </w:pPr>
            <w:r w:rsidRPr="00273ED1">
              <w:rPr>
                <w:rFonts w:ascii="Arial" w:hAnsi="Arial" w:cs="Arial"/>
                <w:i/>
                <w:iCs/>
                <w:sz w:val="15"/>
                <w:szCs w:val="15"/>
              </w:rPr>
              <w:t>Informazione</w:t>
            </w:r>
          </w:p>
        </w:tc>
      </w:tr>
      <w:tr w:rsidR="004976E9" w:rsidRPr="00273ED1" w14:paraId="747BEEAE" w14:textId="77777777" w:rsidTr="00E31E69">
        <w:tc>
          <w:tcPr>
            <w:tcW w:w="706" w:type="dxa"/>
            <w:tcBorders>
              <w:top w:val="single" w:sz="4" w:space="0" w:color="808080"/>
              <w:left w:val="single" w:sz="4" w:space="0" w:color="BFBFBF"/>
              <w:bottom w:val="single" w:sz="4" w:space="0" w:color="808080"/>
              <w:right w:val="single" w:sz="4" w:space="0" w:color="808080"/>
            </w:tcBorders>
            <w:shd w:val="clear" w:color="auto" w:fill="auto"/>
            <w:tcMar>
              <w:left w:w="83" w:type="dxa"/>
            </w:tcMar>
          </w:tcPr>
          <w:p w14:paraId="7F8930BF" w14:textId="77777777" w:rsidR="004976E9" w:rsidRPr="00273ED1" w:rsidRDefault="004976E9" w:rsidP="00E31E69">
            <w:pPr>
              <w:rPr>
                <w:rFonts w:ascii="Arial" w:hAnsi="Arial" w:cs="Arial"/>
                <w:sz w:val="15"/>
                <w:szCs w:val="15"/>
              </w:rPr>
            </w:pPr>
            <w:r w:rsidRPr="00273ED1">
              <w:rPr>
                <w:rFonts w:ascii="Arial" w:hAnsi="Arial" w:cs="Arial"/>
                <w:sz w:val="15"/>
                <w:szCs w:val="15"/>
              </w:rPr>
              <w:t>C.1</w:t>
            </w:r>
          </w:p>
        </w:tc>
        <w:tc>
          <w:tcPr>
            <w:tcW w:w="1553" w:type="dxa"/>
            <w:tcBorders>
              <w:top w:val="single" w:sz="4" w:space="0" w:color="808080"/>
              <w:left w:val="single" w:sz="4" w:space="0" w:color="808080"/>
              <w:bottom w:val="single" w:sz="4" w:space="0" w:color="808080"/>
              <w:right w:val="single" w:sz="4" w:space="0" w:color="808080"/>
            </w:tcBorders>
            <w:shd w:val="clear" w:color="auto" w:fill="auto"/>
            <w:tcMar>
              <w:left w:w="83" w:type="dxa"/>
            </w:tcMar>
          </w:tcPr>
          <w:p w14:paraId="4D2010CA" w14:textId="77777777" w:rsidR="004976E9" w:rsidRPr="00273ED1" w:rsidRDefault="004976E9" w:rsidP="00E31E69">
            <w:pPr>
              <w:rPr>
                <w:sz w:val="15"/>
                <w:szCs w:val="15"/>
              </w:rPr>
            </w:pPr>
            <w:r w:rsidRPr="00273ED1">
              <w:rPr>
                <w:rFonts w:ascii="Arial" w:hAnsi="Arial" w:cs="Arial"/>
                <w:sz w:val="15"/>
                <w:szCs w:val="15"/>
              </w:rPr>
              <w:t>Tipo e classe e codice di identificazione degli strumenti finanziari</w:t>
            </w:r>
          </w:p>
        </w:tc>
        <w:tc>
          <w:tcPr>
            <w:tcW w:w="7493" w:type="dxa"/>
            <w:tcBorders>
              <w:top w:val="single" w:sz="4" w:space="0" w:color="808080"/>
              <w:left w:val="single" w:sz="4" w:space="0" w:color="808080"/>
              <w:bottom w:val="single" w:sz="4" w:space="0" w:color="808080"/>
              <w:right w:val="single" w:sz="4" w:space="0" w:color="BFBFBF"/>
            </w:tcBorders>
            <w:shd w:val="clear" w:color="auto" w:fill="auto"/>
            <w:tcMar>
              <w:left w:w="83" w:type="dxa"/>
            </w:tcMar>
          </w:tcPr>
          <w:p w14:paraId="6230E388" w14:textId="77777777" w:rsidR="004976E9" w:rsidRPr="00273ED1" w:rsidRDefault="004976E9" w:rsidP="00E31E69">
            <w:pPr>
              <w:jc w:val="both"/>
              <w:rPr>
                <w:sz w:val="15"/>
                <w:szCs w:val="15"/>
              </w:rPr>
            </w:pPr>
            <w:r w:rsidRPr="00273ED1">
              <w:rPr>
                <w:rFonts w:ascii="Arial" w:hAnsi="Arial" w:cs="Arial"/>
                <w:sz w:val="15"/>
                <w:szCs w:val="15"/>
              </w:rPr>
              <w:t>Strumento finanziario: AS Pro Kapital Grupp azioni ordinarie</w:t>
            </w:r>
          </w:p>
          <w:p w14:paraId="0895C38F" w14:textId="77777777" w:rsidR="004976E9" w:rsidRPr="00273ED1" w:rsidRDefault="004976E9" w:rsidP="00E31E69">
            <w:pPr>
              <w:jc w:val="both"/>
              <w:rPr>
                <w:sz w:val="15"/>
                <w:szCs w:val="15"/>
              </w:rPr>
            </w:pPr>
            <w:r w:rsidRPr="00273ED1">
              <w:rPr>
                <w:rFonts w:ascii="Arial" w:hAnsi="Arial" w:cs="Arial"/>
                <w:sz w:val="15"/>
                <w:szCs w:val="15"/>
              </w:rPr>
              <w:t>codice ISIN: EE3100006040</w:t>
            </w:r>
          </w:p>
        </w:tc>
      </w:tr>
      <w:tr w:rsidR="004976E9" w:rsidRPr="00273ED1" w14:paraId="38F09CB8" w14:textId="77777777" w:rsidTr="00E31E69">
        <w:tc>
          <w:tcPr>
            <w:tcW w:w="706" w:type="dxa"/>
            <w:tcBorders>
              <w:top w:val="single" w:sz="4" w:space="0" w:color="808080"/>
              <w:left w:val="single" w:sz="4" w:space="0" w:color="BFBFBF"/>
              <w:bottom w:val="single" w:sz="4" w:space="0" w:color="808080"/>
              <w:right w:val="single" w:sz="4" w:space="0" w:color="808080"/>
            </w:tcBorders>
            <w:shd w:val="clear" w:color="auto" w:fill="auto"/>
            <w:tcMar>
              <w:left w:w="83" w:type="dxa"/>
            </w:tcMar>
          </w:tcPr>
          <w:p w14:paraId="51809015" w14:textId="77777777" w:rsidR="004976E9" w:rsidRPr="00273ED1" w:rsidRDefault="004976E9" w:rsidP="00E31E69">
            <w:pPr>
              <w:rPr>
                <w:rFonts w:ascii="Arial" w:hAnsi="Arial" w:cs="Arial"/>
                <w:sz w:val="15"/>
                <w:szCs w:val="15"/>
              </w:rPr>
            </w:pPr>
            <w:r w:rsidRPr="00273ED1">
              <w:rPr>
                <w:rFonts w:ascii="Arial" w:hAnsi="Arial" w:cs="Arial"/>
                <w:sz w:val="15"/>
                <w:szCs w:val="15"/>
              </w:rPr>
              <w:t>C.2</w:t>
            </w:r>
          </w:p>
        </w:tc>
        <w:tc>
          <w:tcPr>
            <w:tcW w:w="1553" w:type="dxa"/>
            <w:tcBorders>
              <w:top w:val="single" w:sz="4" w:space="0" w:color="808080"/>
              <w:left w:val="single" w:sz="4" w:space="0" w:color="808080"/>
              <w:bottom w:val="single" w:sz="4" w:space="0" w:color="808080"/>
              <w:right w:val="single" w:sz="4" w:space="0" w:color="808080"/>
            </w:tcBorders>
            <w:shd w:val="clear" w:color="auto" w:fill="auto"/>
            <w:tcMar>
              <w:left w:w="83" w:type="dxa"/>
            </w:tcMar>
          </w:tcPr>
          <w:p w14:paraId="4C244DAB" w14:textId="77777777" w:rsidR="004976E9" w:rsidRPr="00273ED1" w:rsidRDefault="004976E9" w:rsidP="00E31E69">
            <w:pPr>
              <w:rPr>
                <w:sz w:val="15"/>
                <w:szCs w:val="15"/>
              </w:rPr>
            </w:pPr>
            <w:r w:rsidRPr="00273ED1">
              <w:rPr>
                <w:rFonts w:ascii="Arial" w:hAnsi="Arial" w:cs="Arial"/>
                <w:sz w:val="15"/>
                <w:szCs w:val="15"/>
              </w:rPr>
              <w:t>Valuta di emissione</w:t>
            </w:r>
          </w:p>
        </w:tc>
        <w:tc>
          <w:tcPr>
            <w:tcW w:w="7493" w:type="dxa"/>
            <w:tcBorders>
              <w:top w:val="single" w:sz="4" w:space="0" w:color="808080"/>
              <w:left w:val="single" w:sz="4" w:space="0" w:color="808080"/>
              <w:bottom w:val="single" w:sz="4" w:space="0" w:color="808080"/>
              <w:right w:val="single" w:sz="4" w:space="0" w:color="BFBFBF"/>
            </w:tcBorders>
            <w:shd w:val="clear" w:color="auto" w:fill="auto"/>
            <w:tcMar>
              <w:left w:w="83" w:type="dxa"/>
            </w:tcMar>
          </w:tcPr>
          <w:p w14:paraId="27C4835F" w14:textId="77777777" w:rsidR="004976E9" w:rsidRPr="00273ED1" w:rsidRDefault="004976E9" w:rsidP="00E31E69">
            <w:pPr>
              <w:jc w:val="both"/>
              <w:rPr>
                <w:sz w:val="15"/>
                <w:szCs w:val="15"/>
              </w:rPr>
            </w:pPr>
            <w:r w:rsidRPr="00273ED1">
              <w:rPr>
                <w:rFonts w:ascii="Arial" w:hAnsi="Arial" w:cs="Arial"/>
                <w:sz w:val="15"/>
                <w:szCs w:val="15"/>
              </w:rPr>
              <w:t>EURO</w:t>
            </w:r>
          </w:p>
        </w:tc>
      </w:tr>
      <w:tr w:rsidR="004976E9" w:rsidRPr="00273ED1" w14:paraId="7B565E42" w14:textId="77777777" w:rsidTr="00E31E69">
        <w:tc>
          <w:tcPr>
            <w:tcW w:w="706" w:type="dxa"/>
            <w:tcBorders>
              <w:top w:val="single" w:sz="4" w:space="0" w:color="808080"/>
              <w:left w:val="single" w:sz="4" w:space="0" w:color="BFBFBF"/>
              <w:bottom w:val="single" w:sz="4" w:space="0" w:color="808080"/>
              <w:right w:val="single" w:sz="4" w:space="0" w:color="808080"/>
            </w:tcBorders>
            <w:shd w:val="clear" w:color="auto" w:fill="auto"/>
            <w:tcMar>
              <w:left w:w="83" w:type="dxa"/>
            </w:tcMar>
          </w:tcPr>
          <w:p w14:paraId="01B90415" w14:textId="77777777" w:rsidR="004976E9" w:rsidRPr="00273ED1" w:rsidRDefault="004976E9" w:rsidP="00E31E69">
            <w:pPr>
              <w:rPr>
                <w:rFonts w:ascii="Arial" w:hAnsi="Arial" w:cs="Arial"/>
                <w:sz w:val="15"/>
                <w:szCs w:val="15"/>
              </w:rPr>
            </w:pPr>
            <w:r w:rsidRPr="00273ED1">
              <w:rPr>
                <w:rFonts w:ascii="Arial" w:hAnsi="Arial" w:cs="Arial"/>
                <w:sz w:val="15"/>
                <w:szCs w:val="15"/>
              </w:rPr>
              <w:t>C.3</w:t>
            </w:r>
          </w:p>
        </w:tc>
        <w:tc>
          <w:tcPr>
            <w:tcW w:w="1553" w:type="dxa"/>
            <w:tcBorders>
              <w:top w:val="single" w:sz="4" w:space="0" w:color="808080"/>
              <w:left w:val="single" w:sz="4" w:space="0" w:color="808080"/>
              <w:bottom w:val="single" w:sz="4" w:space="0" w:color="808080"/>
              <w:right w:val="single" w:sz="4" w:space="0" w:color="808080"/>
            </w:tcBorders>
            <w:shd w:val="clear" w:color="auto" w:fill="auto"/>
            <w:tcMar>
              <w:left w:w="83" w:type="dxa"/>
            </w:tcMar>
          </w:tcPr>
          <w:p w14:paraId="31DE46D0" w14:textId="77777777" w:rsidR="004976E9" w:rsidRPr="00273ED1" w:rsidRDefault="004976E9" w:rsidP="00E31E69">
            <w:pPr>
              <w:rPr>
                <w:sz w:val="15"/>
                <w:szCs w:val="15"/>
              </w:rPr>
            </w:pPr>
            <w:r w:rsidRPr="00273ED1">
              <w:rPr>
                <w:rFonts w:ascii="Arial" w:hAnsi="Arial" w:cs="Arial"/>
                <w:sz w:val="15"/>
                <w:szCs w:val="15"/>
              </w:rPr>
              <w:t>Numero di azioni emesse e interamente liberate / emesse ma non interamente liberate. Valore nominale per azione</w:t>
            </w:r>
          </w:p>
        </w:tc>
        <w:tc>
          <w:tcPr>
            <w:tcW w:w="7493" w:type="dxa"/>
            <w:tcBorders>
              <w:top w:val="single" w:sz="4" w:space="0" w:color="808080"/>
              <w:left w:val="single" w:sz="4" w:space="0" w:color="808080"/>
              <w:bottom w:val="single" w:sz="4" w:space="0" w:color="808080"/>
              <w:right w:val="single" w:sz="4" w:space="0" w:color="BFBFBF"/>
            </w:tcBorders>
            <w:shd w:val="clear" w:color="auto" w:fill="auto"/>
            <w:tcMar>
              <w:left w:w="83" w:type="dxa"/>
            </w:tcMar>
          </w:tcPr>
          <w:p w14:paraId="374F6159" w14:textId="77777777" w:rsidR="004976E9" w:rsidRPr="00273ED1" w:rsidRDefault="004976E9" w:rsidP="00E31E69">
            <w:pPr>
              <w:jc w:val="both"/>
              <w:rPr>
                <w:sz w:val="15"/>
                <w:szCs w:val="15"/>
              </w:rPr>
            </w:pPr>
            <w:r w:rsidRPr="00273ED1">
              <w:rPr>
                <w:rFonts w:ascii="Arial" w:hAnsi="Arial" w:cs="Arial"/>
                <w:sz w:val="15"/>
                <w:szCs w:val="15"/>
              </w:rPr>
              <w:t xml:space="preserve">Alla data de presente Prospetto, la Società ha un capitale registrato pari a EURO 10.854.344,40 suddiviso in 54.271.722 azioni autorizzate, interamente liberate ed emesse per un valore nominale pari a </w:t>
            </w:r>
            <w:r w:rsidR="004B1CF1" w:rsidRPr="00273ED1">
              <w:rPr>
                <w:rFonts w:ascii="Arial" w:hAnsi="Arial" w:cs="Arial"/>
                <w:sz w:val="15"/>
                <w:szCs w:val="15"/>
              </w:rPr>
              <w:t xml:space="preserve">EURO 0,2 ciascuna. Non vi sono </w:t>
            </w:r>
            <w:r w:rsidRPr="00273ED1">
              <w:rPr>
                <w:rFonts w:ascii="Arial" w:hAnsi="Arial" w:cs="Arial"/>
                <w:sz w:val="15"/>
                <w:szCs w:val="15"/>
              </w:rPr>
              <w:t xml:space="preserve">azioni emesse, ma non interamente liberate. </w:t>
            </w:r>
          </w:p>
        </w:tc>
      </w:tr>
      <w:tr w:rsidR="004976E9" w:rsidRPr="00273ED1" w14:paraId="76B6E09C" w14:textId="77777777" w:rsidTr="00E31E69">
        <w:tc>
          <w:tcPr>
            <w:tcW w:w="706" w:type="dxa"/>
            <w:tcBorders>
              <w:top w:val="single" w:sz="4" w:space="0" w:color="808080"/>
              <w:left w:val="single" w:sz="4" w:space="0" w:color="BFBFBF"/>
              <w:bottom w:val="single" w:sz="4" w:space="0" w:color="808080"/>
              <w:right w:val="single" w:sz="4" w:space="0" w:color="808080"/>
            </w:tcBorders>
            <w:shd w:val="clear" w:color="auto" w:fill="auto"/>
            <w:tcMar>
              <w:left w:w="83" w:type="dxa"/>
            </w:tcMar>
          </w:tcPr>
          <w:p w14:paraId="3B6AFC65" w14:textId="77777777" w:rsidR="004976E9" w:rsidRPr="00273ED1" w:rsidRDefault="004976E9" w:rsidP="00E31E69">
            <w:pPr>
              <w:rPr>
                <w:rFonts w:ascii="Arial" w:hAnsi="Arial" w:cs="Arial"/>
                <w:sz w:val="15"/>
                <w:szCs w:val="15"/>
              </w:rPr>
            </w:pPr>
            <w:r w:rsidRPr="00273ED1">
              <w:rPr>
                <w:rFonts w:ascii="Arial" w:hAnsi="Arial" w:cs="Arial"/>
                <w:sz w:val="15"/>
                <w:szCs w:val="15"/>
              </w:rPr>
              <w:t>C.4</w:t>
            </w:r>
          </w:p>
        </w:tc>
        <w:tc>
          <w:tcPr>
            <w:tcW w:w="1553" w:type="dxa"/>
            <w:tcBorders>
              <w:top w:val="single" w:sz="4" w:space="0" w:color="808080"/>
              <w:left w:val="single" w:sz="4" w:space="0" w:color="808080"/>
              <w:bottom w:val="single" w:sz="4" w:space="0" w:color="808080"/>
              <w:right w:val="single" w:sz="4" w:space="0" w:color="808080"/>
            </w:tcBorders>
            <w:shd w:val="clear" w:color="auto" w:fill="auto"/>
            <w:tcMar>
              <w:left w:w="83" w:type="dxa"/>
            </w:tcMar>
          </w:tcPr>
          <w:p w14:paraId="12617042" w14:textId="77777777" w:rsidR="004976E9" w:rsidRPr="00273ED1" w:rsidRDefault="004976E9" w:rsidP="00E31E69">
            <w:pPr>
              <w:rPr>
                <w:sz w:val="15"/>
                <w:szCs w:val="15"/>
              </w:rPr>
            </w:pPr>
            <w:r w:rsidRPr="00273ED1">
              <w:rPr>
                <w:rFonts w:ascii="Arial" w:hAnsi="Arial" w:cs="Arial"/>
                <w:sz w:val="15"/>
                <w:szCs w:val="15"/>
              </w:rPr>
              <w:t>Diritti connessi agli strumenti finanziari</w:t>
            </w:r>
          </w:p>
        </w:tc>
        <w:tc>
          <w:tcPr>
            <w:tcW w:w="7493" w:type="dxa"/>
            <w:tcBorders>
              <w:top w:val="single" w:sz="4" w:space="0" w:color="808080"/>
              <w:left w:val="single" w:sz="4" w:space="0" w:color="808080"/>
              <w:bottom w:val="single" w:sz="4" w:space="0" w:color="808080"/>
              <w:right w:val="single" w:sz="4" w:space="0" w:color="BFBFBF"/>
            </w:tcBorders>
            <w:shd w:val="clear" w:color="auto" w:fill="auto"/>
            <w:tcMar>
              <w:left w:w="83" w:type="dxa"/>
            </w:tcMar>
          </w:tcPr>
          <w:p w14:paraId="3F1C44FB" w14:textId="77777777" w:rsidR="004976E9" w:rsidRPr="00273ED1" w:rsidRDefault="004976E9" w:rsidP="00E31E69">
            <w:pPr>
              <w:jc w:val="both"/>
              <w:rPr>
                <w:sz w:val="15"/>
                <w:szCs w:val="15"/>
              </w:rPr>
            </w:pPr>
            <w:r w:rsidRPr="00273ED1">
              <w:rPr>
                <w:rFonts w:ascii="Arial" w:hAnsi="Arial" w:cs="Arial"/>
                <w:color w:val="000000"/>
                <w:sz w:val="15"/>
                <w:szCs w:val="15"/>
                <w:lang w:eastAsia="lt-LT"/>
              </w:rPr>
              <w:t xml:space="preserve">La Società ha una sola categoria di azioni. Le azioni hanno grado </w:t>
            </w:r>
            <w:r w:rsidRPr="00273ED1">
              <w:rPr>
                <w:rFonts w:ascii="Arial" w:hAnsi="Arial" w:cs="Arial"/>
                <w:i/>
                <w:color w:val="000000"/>
                <w:sz w:val="15"/>
                <w:szCs w:val="15"/>
                <w:lang w:eastAsia="lt-LT"/>
              </w:rPr>
              <w:t>pari passu</w:t>
            </w:r>
            <w:r w:rsidRPr="00273ED1">
              <w:rPr>
                <w:rFonts w:ascii="Arial" w:hAnsi="Arial" w:cs="Arial"/>
                <w:color w:val="000000"/>
                <w:sz w:val="15"/>
                <w:szCs w:val="15"/>
                <w:lang w:eastAsia="lt-LT"/>
              </w:rPr>
              <w:t>. I seguenti diritti sono connessi a ciascuna azione:</w:t>
            </w:r>
          </w:p>
          <w:p w14:paraId="3A8F2315" w14:textId="77777777" w:rsidR="004976E9" w:rsidRPr="00273ED1" w:rsidRDefault="004976E9" w:rsidP="00E31E69">
            <w:pPr>
              <w:pStyle w:val="ListParagraph"/>
              <w:numPr>
                <w:ilvl w:val="0"/>
                <w:numId w:val="7"/>
              </w:numPr>
              <w:spacing w:after="0" w:line="240" w:lineRule="auto"/>
              <w:ind w:left="320" w:hanging="320"/>
              <w:jc w:val="both"/>
              <w:rPr>
                <w:sz w:val="15"/>
                <w:szCs w:val="15"/>
              </w:rPr>
            </w:pPr>
            <w:r w:rsidRPr="00273ED1">
              <w:rPr>
                <w:rFonts w:ascii="Arial" w:hAnsi="Arial" w:cs="Arial"/>
                <w:color w:val="000000"/>
                <w:sz w:val="15"/>
                <w:szCs w:val="15"/>
                <w:lang w:val="it-IT" w:eastAsia="lt-LT"/>
              </w:rPr>
              <w:t xml:space="preserve">ricevere una porzione degli utili della Società (dividendi); </w:t>
            </w:r>
          </w:p>
          <w:p w14:paraId="2041A490" w14:textId="77777777" w:rsidR="004976E9" w:rsidRPr="00273ED1" w:rsidRDefault="004976E9" w:rsidP="00E31E69">
            <w:pPr>
              <w:pStyle w:val="ListParagraph"/>
              <w:numPr>
                <w:ilvl w:val="0"/>
                <w:numId w:val="7"/>
              </w:numPr>
              <w:spacing w:after="0" w:line="240" w:lineRule="auto"/>
              <w:ind w:left="320" w:hanging="320"/>
              <w:jc w:val="both"/>
              <w:rPr>
                <w:sz w:val="15"/>
                <w:szCs w:val="15"/>
              </w:rPr>
            </w:pPr>
            <w:r w:rsidRPr="00273ED1">
              <w:rPr>
                <w:rFonts w:ascii="Arial" w:hAnsi="Arial" w:cs="Arial"/>
                <w:color w:val="000000"/>
                <w:sz w:val="15"/>
                <w:szCs w:val="15"/>
                <w:lang w:val="it-IT" w:eastAsia="lt-LT"/>
              </w:rPr>
              <w:t xml:space="preserve">ricevere į fondi della Società quando il capitale viene ridotto al fine di distribuire į fondi della Società agli azionisti; </w:t>
            </w:r>
          </w:p>
          <w:p w14:paraId="1152EA2D" w14:textId="77777777" w:rsidR="004976E9" w:rsidRPr="00273ED1" w:rsidRDefault="004976E9" w:rsidP="00E31E69">
            <w:pPr>
              <w:pStyle w:val="ListParagraph"/>
              <w:numPr>
                <w:ilvl w:val="0"/>
                <w:numId w:val="7"/>
              </w:numPr>
              <w:spacing w:after="0" w:line="240" w:lineRule="auto"/>
              <w:ind w:left="320" w:hanging="320"/>
              <w:jc w:val="both"/>
              <w:rPr>
                <w:sz w:val="15"/>
                <w:szCs w:val="15"/>
              </w:rPr>
            </w:pPr>
            <w:r w:rsidRPr="00273ED1">
              <w:rPr>
                <w:rFonts w:ascii="Arial" w:hAnsi="Arial" w:cs="Arial"/>
                <w:color w:val="000000"/>
                <w:sz w:val="15"/>
                <w:szCs w:val="15"/>
                <w:lang w:val="it-IT" w:eastAsia="lt-LT"/>
              </w:rPr>
              <w:t>ricevere azioni senza alcun pagamento nel caso in cui il capitale sia aumentato impiegando il patrimonio netto (aumento gratuito);</w:t>
            </w:r>
          </w:p>
          <w:p w14:paraId="34EE8D3A" w14:textId="77777777" w:rsidR="004976E9" w:rsidRPr="00273ED1" w:rsidRDefault="004976E9" w:rsidP="00E31E69">
            <w:pPr>
              <w:pStyle w:val="ListParagraph"/>
              <w:numPr>
                <w:ilvl w:val="0"/>
                <w:numId w:val="7"/>
              </w:numPr>
              <w:spacing w:after="0" w:line="240" w:lineRule="auto"/>
              <w:ind w:left="320" w:hanging="320"/>
              <w:jc w:val="both"/>
              <w:rPr>
                <w:sz w:val="15"/>
                <w:szCs w:val="15"/>
              </w:rPr>
            </w:pPr>
            <w:r w:rsidRPr="00273ED1">
              <w:rPr>
                <w:rFonts w:ascii="Arial" w:hAnsi="Arial" w:cs="Arial"/>
                <w:color w:val="000000"/>
                <w:sz w:val="15"/>
                <w:szCs w:val="15"/>
                <w:lang w:val="it-IT" w:eastAsia="lt-LT"/>
              </w:rPr>
              <w:t xml:space="preserve">avere diritto di prelazione per l'acquisto di azioni o obbligazioni convertibili emesse dalla Società, salvo il caso in cui l'Assemblea degli Azionisti decida di rinunciare al diritto di prelazione per tutti gli azionisti; </w:t>
            </w:r>
          </w:p>
          <w:p w14:paraId="3EACAB7C" w14:textId="77777777" w:rsidR="004976E9" w:rsidRPr="00273ED1" w:rsidRDefault="004976E9" w:rsidP="00E31E69">
            <w:pPr>
              <w:pStyle w:val="ListParagraph"/>
              <w:numPr>
                <w:ilvl w:val="0"/>
                <w:numId w:val="7"/>
              </w:numPr>
              <w:spacing w:after="0" w:line="240" w:lineRule="auto"/>
              <w:ind w:left="320" w:hanging="320"/>
              <w:jc w:val="both"/>
              <w:rPr>
                <w:sz w:val="15"/>
                <w:szCs w:val="15"/>
              </w:rPr>
            </w:pPr>
            <w:r w:rsidRPr="00273ED1">
              <w:rPr>
                <w:rFonts w:ascii="Arial" w:hAnsi="Arial" w:cs="Arial"/>
                <w:color w:val="000000"/>
                <w:sz w:val="15"/>
                <w:szCs w:val="15"/>
                <w:lang w:val="it-IT" w:eastAsia="lt-LT"/>
              </w:rPr>
              <w:t xml:space="preserve">ricevere una parte del patrimonio della Società in liquidazione; </w:t>
            </w:r>
          </w:p>
          <w:p w14:paraId="013B7D7B" w14:textId="77777777" w:rsidR="004976E9" w:rsidRPr="00273ED1" w:rsidRDefault="004976E9" w:rsidP="00E31E69">
            <w:pPr>
              <w:pStyle w:val="ListParagraph"/>
              <w:numPr>
                <w:ilvl w:val="0"/>
                <w:numId w:val="7"/>
              </w:numPr>
              <w:spacing w:after="0" w:line="240" w:lineRule="auto"/>
              <w:ind w:left="320" w:hanging="320"/>
              <w:jc w:val="both"/>
              <w:rPr>
                <w:sz w:val="15"/>
                <w:szCs w:val="15"/>
              </w:rPr>
            </w:pPr>
            <w:r w:rsidRPr="00273ED1">
              <w:rPr>
                <w:rFonts w:ascii="Arial" w:hAnsi="Arial" w:cs="Arial"/>
                <w:color w:val="000000"/>
                <w:sz w:val="15"/>
                <w:szCs w:val="15"/>
                <w:lang w:val="it-IT" w:eastAsia="lt-LT"/>
              </w:rPr>
              <w:t xml:space="preserve">partecipare alle Assemblee degli Azionisti; </w:t>
            </w:r>
          </w:p>
          <w:p w14:paraId="62498B75" w14:textId="77777777" w:rsidR="004976E9" w:rsidRPr="00273ED1" w:rsidRDefault="004976E9" w:rsidP="00E31E69">
            <w:pPr>
              <w:pStyle w:val="ListParagraph"/>
              <w:numPr>
                <w:ilvl w:val="0"/>
                <w:numId w:val="7"/>
              </w:numPr>
              <w:spacing w:after="0" w:line="240" w:lineRule="auto"/>
              <w:ind w:left="320" w:hanging="320"/>
              <w:jc w:val="both"/>
              <w:rPr>
                <w:sz w:val="15"/>
                <w:szCs w:val="15"/>
              </w:rPr>
            </w:pPr>
            <w:r w:rsidRPr="00273ED1">
              <w:rPr>
                <w:rFonts w:ascii="Arial" w:hAnsi="Arial" w:cs="Arial"/>
                <w:color w:val="000000"/>
                <w:sz w:val="15"/>
                <w:szCs w:val="15"/>
                <w:lang w:val="it-IT" w:eastAsia="lt-LT"/>
              </w:rPr>
              <w:lastRenderedPageBreak/>
              <w:t xml:space="preserve">votare alle Assemblee degli Azionisti secondo į diritti di voto incorporati nelle proprie azioni; </w:t>
            </w:r>
          </w:p>
          <w:p w14:paraId="3A77F50D" w14:textId="77777777" w:rsidR="004976E9" w:rsidRPr="00273ED1" w:rsidRDefault="004976E9" w:rsidP="00E31E69">
            <w:pPr>
              <w:pStyle w:val="ListParagraph"/>
              <w:numPr>
                <w:ilvl w:val="0"/>
                <w:numId w:val="7"/>
              </w:numPr>
              <w:spacing w:after="0" w:line="240" w:lineRule="auto"/>
              <w:ind w:left="320" w:hanging="320"/>
              <w:jc w:val="both"/>
              <w:rPr>
                <w:sz w:val="15"/>
                <w:szCs w:val="15"/>
              </w:rPr>
            </w:pPr>
            <w:r w:rsidRPr="00273ED1">
              <w:rPr>
                <w:rFonts w:ascii="Arial" w:hAnsi="Arial" w:cs="Arial"/>
                <w:color w:val="000000"/>
                <w:sz w:val="15"/>
                <w:szCs w:val="15"/>
                <w:lang w:val="it-IT" w:eastAsia="lt-LT"/>
              </w:rPr>
              <w:t>ricevere, durante l'Assemblea degli Azionisti, informazioni riguardo le attività della Società dall’Organo Amministrativo, salvo ciò possa ledere significativamente gli interessi della Società;</w:t>
            </w:r>
          </w:p>
          <w:p w14:paraId="2700C818" w14:textId="77777777" w:rsidR="004976E9" w:rsidRPr="00273ED1" w:rsidRDefault="004976E9" w:rsidP="00E31E69">
            <w:pPr>
              <w:pStyle w:val="ListParagraph"/>
              <w:numPr>
                <w:ilvl w:val="0"/>
                <w:numId w:val="7"/>
              </w:numPr>
              <w:spacing w:after="0" w:line="240" w:lineRule="auto"/>
              <w:ind w:left="320" w:hanging="320"/>
              <w:jc w:val="both"/>
              <w:rPr>
                <w:sz w:val="15"/>
                <w:szCs w:val="15"/>
              </w:rPr>
            </w:pPr>
            <w:r w:rsidRPr="00273ED1">
              <w:rPr>
                <w:rFonts w:ascii="Arial" w:hAnsi="Arial" w:cs="Arial"/>
                <w:color w:val="000000"/>
                <w:sz w:val="15"/>
                <w:szCs w:val="15"/>
                <w:lang w:val="it-IT" w:eastAsia="lt-LT"/>
              </w:rPr>
              <w:t xml:space="preserve">richiedere la convocazione di un'Assemblea degli Azionisti, nel caso in cui ciò sia domandato da azionisti le cui azioni rappresentano almeno un ventesimo del capitale della Società; </w:t>
            </w:r>
          </w:p>
          <w:p w14:paraId="6409086C" w14:textId="77777777" w:rsidR="004976E9" w:rsidRPr="00273ED1" w:rsidRDefault="0067712A" w:rsidP="00E31E69">
            <w:pPr>
              <w:pStyle w:val="ListParagraph"/>
              <w:numPr>
                <w:ilvl w:val="0"/>
                <w:numId w:val="7"/>
              </w:numPr>
              <w:spacing w:after="0" w:line="240" w:lineRule="auto"/>
              <w:ind w:left="320" w:hanging="320"/>
              <w:jc w:val="both"/>
              <w:rPr>
                <w:sz w:val="15"/>
                <w:szCs w:val="15"/>
              </w:rPr>
            </w:pPr>
            <w:r w:rsidRPr="00273ED1">
              <w:rPr>
                <w:rFonts w:ascii="Arial" w:hAnsi="Arial" w:cs="Arial"/>
                <w:color w:val="000000"/>
                <w:sz w:val="15"/>
                <w:szCs w:val="15"/>
                <w:lang w:val="it-IT" w:eastAsia="lt-LT"/>
              </w:rPr>
              <w:t>convocare un’</w:t>
            </w:r>
            <w:r w:rsidR="004976E9" w:rsidRPr="00273ED1">
              <w:rPr>
                <w:rFonts w:ascii="Arial" w:hAnsi="Arial" w:cs="Arial"/>
                <w:color w:val="000000"/>
                <w:sz w:val="15"/>
                <w:szCs w:val="15"/>
                <w:lang w:val="it-IT" w:eastAsia="lt-LT"/>
              </w:rPr>
              <w:t>Assemblea degli Azionisti, nel caso in cui l’Organo Amministrativo non la convochi entro un mese dalla ricezione di tale domanda da parte di azionisti le cui azioni rappresentano almeno un ventesimo del capitale della Società;</w:t>
            </w:r>
          </w:p>
          <w:p w14:paraId="499510EB" w14:textId="77777777" w:rsidR="004976E9" w:rsidRPr="00273ED1" w:rsidRDefault="004976E9" w:rsidP="00E31E69">
            <w:pPr>
              <w:pStyle w:val="ListParagraph"/>
              <w:numPr>
                <w:ilvl w:val="0"/>
                <w:numId w:val="7"/>
              </w:numPr>
              <w:spacing w:after="0" w:line="240" w:lineRule="auto"/>
              <w:ind w:left="320" w:hanging="320"/>
              <w:jc w:val="both"/>
              <w:rPr>
                <w:sz w:val="15"/>
                <w:szCs w:val="15"/>
              </w:rPr>
            </w:pPr>
            <w:r w:rsidRPr="00273ED1">
              <w:rPr>
                <w:rFonts w:ascii="Arial" w:hAnsi="Arial" w:cs="Arial"/>
                <w:color w:val="000000"/>
                <w:sz w:val="15"/>
                <w:szCs w:val="15"/>
                <w:lang w:val="it-IT" w:eastAsia="lt-LT"/>
              </w:rPr>
              <w:t>richiedere all'Assemblea degli Azionisti una delibera e per lo svolgimento di una speciale revisione su questioni riguardanti la gestione o situazione finanziaria della Società, nel caso in cui ciò sia richiesto da azionisti le cui azioni rappresentano almeno un decimo del capitale della Società.</w:t>
            </w:r>
          </w:p>
        </w:tc>
      </w:tr>
      <w:tr w:rsidR="004976E9" w:rsidRPr="00273ED1" w14:paraId="1984FE9E" w14:textId="77777777" w:rsidTr="00E31E69">
        <w:tc>
          <w:tcPr>
            <w:tcW w:w="706" w:type="dxa"/>
            <w:tcBorders>
              <w:top w:val="single" w:sz="4" w:space="0" w:color="808080"/>
              <w:left w:val="single" w:sz="4" w:space="0" w:color="BFBFBF"/>
              <w:bottom w:val="single" w:sz="4" w:space="0" w:color="808080"/>
              <w:right w:val="single" w:sz="4" w:space="0" w:color="808080"/>
            </w:tcBorders>
            <w:shd w:val="clear" w:color="auto" w:fill="auto"/>
            <w:tcMar>
              <w:left w:w="83" w:type="dxa"/>
            </w:tcMar>
          </w:tcPr>
          <w:p w14:paraId="60D3A752" w14:textId="77777777" w:rsidR="004976E9" w:rsidRPr="00273ED1" w:rsidRDefault="004976E9" w:rsidP="00E31E69">
            <w:pPr>
              <w:rPr>
                <w:rFonts w:ascii="Arial" w:hAnsi="Arial" w:cs="Arial"/>
                <w:sz w:val="15"/>
                <w:szCs w:val="15"/>
              </w:rPr>
            </w:pPr>
            <w:r w:rsidRPr="00273ED1">
              <w:rPr>
                <w:rFonts w:ascii="Arial" w:hAnsi="Arial" w:cs="Arial"/>
                <w:sz w:val="15"/>
                <w:szCs w:val="15"/>
              </w:rPr>
              <w:lastRenderedPageBreak/>
              <w:t>C.5</w:t>
            </w:r>
          </w:p>
        </w:tc>
        <w:tc>
          <w:tcPr>
            <w:tcW w:w="1553" w:type="dxa"/>
            <w:tcBorders>
              <w:top w:val="single" w:sz="4" w:space="0" w:color="808080"/>
              <w:left w:val="single" w:sz="4" w:space="0" w:color="808080"/>
              <w:bottom w:val="single" w:sz="4" w:space="0" w:color="808080"/>
              <w:right w:val="single" w:sz="4" w:space="0" w:color="808080"/>
            </w:tcBorders>
            <w:shd w:val="clear" w:color="auto" w:fill="auto"/>
            <w:tcMar>
              <w:left w:w="83" w:type="dxa"/>
            </w:tcMar>
          </w:tcPr>
          <w:p w14:paraId="32C6EF4C" w14:textId="77777777" w:rsidR="004976E9" w:rsidRPr="00273ED1" w:rsidRDefault="004976E9" w:rsidP="00E31E69">
            <w:pPr>
              <w:rPr>
                <w:sz w:val="15"/>
                <w:szCs w:val="15"/>
              </w:rPr>
            </w:pPr>
            <w:r w:rsidRPr="00273ED1">
              <w:rPr>
                <w:rFonts w:ascii="Arial" w:hAnsi="Arial" w:cs="Arial"/>
                <w:sz w:val="15"/>
                <w:szCs w:val="15"/>
              </w:rPr>
              <w:t>Limitazioni alla libera trasferibilità degli strumenti finanziari</w:t>
            </w:r>
          </w:p>
        </w:tc>
        <w:tc>
          <w:tcPr>
            <w:tcW w:w="7493" w:type="dxa"/>
            <w:tcBorders>
              <w:top w:val="single" w:sz="4" w:space="0" w:color="808080"/>
              <w:left w:val="single" w:sz="4" w:space="0" w:color="808080"/>
              <w:bottom w:val="single" w:sz="4" w:space="0" w:color="808080"/>
              <w:right w:val="single" w:sz="4" w:space="0" w:color="BFBFBF"/>
            </w:tcBorders>
            <w:shd w:val="clear" w:color="auto" w:fill="auto"/>
            <w:tcMar>
              <w:left w:w="83" w:type="dxa"/>
            </w:tcMar>
          </w:tcPr>
          <w:p w14:paraId="14D70FC7" w14:textId="77777777" w:rsidR="004976E9" w:rsidRPr="00273ED1" w:rsidRDefault="004976E9" w:rsidP="00E31E69">
            <w:pPr>
              <w:keepNext/>
              <w:jc w:val="both"/>
              <w:rPr>
                <w:sz w:val="15"/>
                <w:szCs w:val="15"/>
              </w:rPr>
            </w:pPr>
            <w:r w:rsidRPr="00273ED1">
              <w:rPr>
                <w:rFonts w:ascii="Arial" w:hAnsi="Arial" w:cs="Arial"/>
                <w:sz w:val="15"/>
                <w:szCs w:val="15"/>
              </w:rPr>
              <w:t>La libera trasferibilità delle azioni non è stata limitata nello statuto della Società (lo “</w:t>
            </w:r>
            <w:r w:rsidRPr="00273ED1">
              <w:rPr>
                <w:rFonts w:ascii="Arial" w:hAnsi="Arial" w:cs="Arial"/>
                <w:b/>
                <w:bCs/>
                <w:sz w:val="15"/>
                <w:szCs w:val="15"/>
              </w:rPr>
              <w:t>Statuto</w:t>
            </w:r>
            <w:r w:rsidRPr="00273ED1">
              <w:rPr>
                <w:rFonts w:ascii="Arial" w:hAnsi="Arial" w:cs="Arial"/>
                <w:sz w:val="15"/>
                <w:szCs w:val="15"/>
              </w:rPr>
              <w:t xml:space="preserve">”). Le azioni non sono soggette ad alcun limite di trasferibilità generale. </w:t>
            </w:r>
          </w:p>
        </w:tc>
      </w:tr>
      <w:tr w:rsidR="004976E9" w:rsidRPr="00273ED1" w14:paraId="6E1C494F" w14:textId="77777777" w:rsidTr="00E31E69">
        <w:tc>
          <w:tcPr>
            <w:tcW w:w="706" w:type="dxa"/>
            <w:tcBorders>
              <w:top w:val="single" w:sz="4" w:space="0" w:color="808080"/>
              <w:left w:val="single" w:sz="4" w:space="0" w:color="BFBFBF"/>
              <w:bottom w:val="single" w:sz="4" w:space="0" w:color="808080"/>
              <w:right w:val="single" w:sz="4" w:space="0" w:color="808080"/>
            </w:tcBorders>
            <w:shd w:val="clear" w:color="auto" w:fill="auto"/>
            <w:tcMar>
              <w:left w:w="83" w:type="dxa"/>
            </w:tcMar>
          </w:tcPr>
          <w:p w14:paraId="1E28A527" w14:textId="77777777" w:rsidR="004976E9" w:rsidRPr="00273ED1" w:rsidRDefault="004976E9" w:rsidP="00E31E69">
            <w:pPr>
              <w:rPr>
                <w:rFonts w:ascii="Arial" w:hAnsi="Arial" w:cs="Arial"/>
                <w:sz w:val="15"/>
                <w:szCs w:val="15"/>
              </w:rPr>
            </w:pPr>
            <w:r w:rsidRPr="00273ED1">
              <w:rPr>
                <w:rFonts w:ascii="Arial" w:hAnsi="Arial" w:cs="Arial"/>
                <w:sz w:val="15"/>
                <w:szCs w:val="15"/>
              </w:rPr>
              <w:t>C.6</w:t>
            </w:r>
          </w:p>
        </w:tc>
        <w:tc>
          <w:tcPr>
            <w:tcW w:w="1553" w:type="dxa"/>
            <w:tcBorders>
              <w:top w:val="single" w:sz="4" w:space="0" w:color="808080"/>
              <w:left w:val="single" w:sz="4" w:space="0" w:color="808080"/>
              <w:bottom w:val="single" w:sz="4" w:space="0" w:color="808080"/>
              <w:right w:val="single" w:sz="4" w:space="0" w:color="808080"/>
            </w:tcBorders>
            <w:shd w:val="clear" w:color="auto" w:fill="auto"/>
            <w:tcMar>
              <w:left w:w="83" w:type="dxa"/>
            </w:tcMar>
          </w:tcPr>
          <w:p w14:paraId="18549406" w14:textId="77777777" w:rsidR="004976E9" w:rsidRPr="00273ED1" w:rsidRDefault="004976E9" w:rsidP="00E31E69">
            <w:pPr>
              <w:rPr>
                <w:sz w:val="15"/>
                <w:szCs w:val="15"/>
              </w:rPr>
            </w:pPr>
            <w:r w:rsidRPr="00273ED1">
              <w:rPr>
                <w:rFonts w:ascii="Arial" w:hAnsi="Arial" w:cs="Arial"/>
                <w:sz w:val="15"/>
                <w:szCs w:val="15"/>
              </w:rPr>
              <w:t>Ammissione alla negoziazione / Denominazione del mercato regolamentato</w:t>
            </w:r>
          </w:p>
        </w:tc>
        <w:tc>
          <w:tcPr>
            <w:tcW w:w="7493" w:type="dxa"/>
            <w:tcBorders>
              <w:top w:val="single" w:sz="4" w:space="0" w:color="808080"/>
              <w:left w:val="single" w:sz="4" w:space="0" w:color="808080"/>
              <w:bottom w:val="single" w:sz="4" w:space="0" w:color="808080"/>
              <w:right w:val="single" w:sz="4" w:space="0" w:color="BFBFBF"/>
            </w:tcBorders>
            <w:shd w:val="clear" w:color="auto" w:fill="auto"/>
            <w:tcMar>
              <w:left w:w="83" w:type="dxa"/>
            </w:tcMar>
          </w:tcPr>
          <w:p w14:paraId="7FBF6F43" w14:textId="4EA39F0A" w:rsidR="004976E9" w:rsidRPr="00273ED1" w:rsidRDefault="004976E9" w:rsidP="00E31E69">
            <w:pPr>
              <w:jc w:val="both"/>
              <w:rPr>
                <w:sz w:val="15"/>
                <w:szCs w:val="15"/>
              </w:rPr>
            </w:pPr>
            <w:r w:rsidRPr="00273ED1">
              <w:rPr>
                <w:rFonts w:ascii="Arial" w:hAnsi="Arial" w:cs="Arial"/>
                <w:sz w:val="15"/>
                <w:szCs w:val="15"/>
              </w:rPr>
              <w:t xml:space="preserve">54.271.722 azioni della Società sono state ammesse alla negoziazione sulla </w:t>
            </w:r>
            <w:r w:rsidRPr="00273ED1">
              <w:rPr>
                <w:rFonts w:ascii="Arial" w:hAnsi="Arial" w:cs="Arial"/>
                <w:i/>
                <w:iCs/>
                <w:sz w:val="15"/>
                <w:szCs w:val="15"/>
              </w:rPr>
              <w:t xml:space="preserve">Secondary </w:t>
            </w:r>
            <w:r w:rsidRPr="00273ED1">
              <w:rPr>
                <w:rFonts w:ascii="Arial" w:hAnsi="Arial" w:cs="Arial"/>
                <w:i/>
                <w:sz w:val="15"/>
                <w:szCs w:val="15"/>
              </w:rPr>
              <w:t>List</w:t>
            </w:r>
            <w:r w:rsidRPr="00273ED1">
              <w:rPr>
                <w:rFonts w:ascii="Arial" w:hAnsi="Arial" w:cs="Arial"/>
                <w:sz w:val="15"/>
                <w:szCs w:val="15"/>
              </w:rPr>
              <w:t xml:space="preserve"> del Nasdaq </w:t>
            </w:r>
            <w:r w:rsidR="00021F7C" w:rsidRPr="00273ED1">
              <w:rPr>
                <w:rFonts w:ascii="Arial" w:hAnsi="Arial" w:cs="Arial"/>
                <w:sz w:val="15"/>
                <w:szCs w:val="15"/>
              </w:rPr>
              <w:t>Tallin</w:t>
            </w:r>
            <w:r w:rsidR="00645C62" w:rsidRPr="00273ED1">
              <w:rPr>
                <w:rFonts w:ascii="Arial" w:hAnsi="Arial" w:cs="Arial"/>
                <w:sz w:val="15"/>
                <w:szCs w:val="15"/>
              </w:rPr>
              <w:t>n</w:t>
            </w:r>
            <w:r w:rsidRPr="00273ED1">
              <w:rPr>
                <w:rFonts w:ascii="Arial" w:hAnsi="Arial" w:cs="Arial"/>
                <w:sz w:val="15"/>
                <w:szCs w:val="15"/>
              </w:rPr>
              <w:t>, un mercato regolamentato operato da Nasdaq Tallinn AS (il “</w:t>
            </w:r>
            <w:r w:rsidRPr="00273ED1">
              <w:rPr>
                <w:rFonts w:ascii="Arial" w:hAnsi="Arial" w:cs="Arial"/>
                <w:b/>
                <w:bCs/>
                <w:sz w:val="15"/>
                <w:szCs w:val="15"/>
              </w:rPr>
              <w:t>Mercato Regolamentato</w:t>
            </w:r>
            <w:r w:rsidRPr="00273ED1">
              <w:rPr>
                <w:rFonts w:ascii="Arial" w:hAnsi="Arial" w:cs="Arial"/>
                <w:sz w:val="15"/>
                <w:szCs w:val="15"/>
              </w:rPr>
              <w:t>”) antecedentemente alla data del Prospetto. In seguito alla registrazione del Prospetto, la Società prevede di richiedere l'Ammissione delle Azioni alla negoziazione sul Mercato Regolamentato.</w:t>
            </w:r>
          </w:p>
        </w:tc>
      </w:tr>
      <w:tr w:rsidR="004976E9" w:rsidRPr="00273ED1" w14:paraId="0B4BF082" w14:textId="77777777" w:rsidTr="00E31E69">
        <w:tc>
          <w:tcPr>
            <w:tcW w:w="706" w:type="dxa"/>
            <w:tcBorders>
              <w:top w:val="single" w:sz="4" w:space="0" w:color="808080"/>
              <w:left w:val="single" w:sz="4" w:space="0" w:color="BFBFBF"/>
              <w:bottom w:val="single" w:sz="4" w:space="0" w:color="808080"/>
              <w:right w:val="single" w:sz="4" w:space="0" w:color="808080"/>
            </w:tcBorders>
            <w:shd w:val="clear" w:color="auto" w:fill="auto"/>
            <w:tcMar>
              <w:left w:w="83" w:type="dxa"/>
            </w:tcMar>
          </w:tcPr>
          <w:p w14:paraId="4E355229" w14:textId="77777777" w:rsidR="004976E9" w:rsidRPr="00273ED1" w:rsidRDefault="004976E9" w:rsidP="00E31E69">
            <w:pPr>
              <w:rPr>
                <w:rFonts w:ascii="Arial" w:hAnsi="Arial" w:cs="Arial"/>
                <w:sz w:val="15"/>
                <w:szCs w:val="15"/>
                <w:lang w:eastAsia="lt-LT"/>
              </w:rPr>
            </w:pPr>
            <w:r w:rsidRPr="00273ED1">
              <w:rPr>
                <w:rFonts w:ascii="Arial" w:hAnsi="Arial" w:cs="Arial"/>
                <w:sz w:val="15"/>
                <w:szCs w:val="15"/>
                <w:lang w:eastAsia="lt-LT"/>
              </w:rPr>
              <w:t>C.7</w:t>
            </w:r>
          </w:p>
        </w:tc>
        <w:tc>
          <w:tcPr>
            <w:tcW w:w="1553" w:type="dxa"/>
            <w:tcBorders>
              <w:top w:val="single" w:sz="4" w:space="0" w:color="808080"/>
              <w:left w:val="single" w:sz="4" w:space="0" w:color="808080"/>
              <w:bottom w:val="single" w:sz="4" w:space="0" w:color="808080"/>
              <w:right w:val="single" w:sz="4" w:space="0" w:color="808080"/>
            </w:tcBorders>
            <w:shd w:val="clear" w:color="auto" w:fill="auto"/>
            <w:tcMar>
              <w:left w:w="83" w:type="dxa"/>
            </w:tcMar>
          </w:tcPr>
          <w:p w14:paraId="6E9DCF79" w14:textId="77777777" w:rsidR="004976E9" w:rsidRPr="00273ED1" w:rsidRDefault="004976E9" w:rsidP="00E31E69">
            <w:pPr>
              <w:rPr>
                <w:rFonts w:ascii="Arial" w:hAnsi="Arial" w:cs="Arial"/>
                <w:sz w:val="15"/>
                <w:szCs w:val="15"/>
                <w:lang w:eastAsia="lt-LT"/>
              </w:rPr>
            </w:pPr>
            <w:r w:rsidRPr="00273ED1">
              <w:rPr>
                <w:rFonts w:ascii="Arial" w:hAnsi="Arial" w:cs="Arial"/>
                <w:sz w:val="15"/>
                <w:szCs w:val="15"/>
                <w:lang w:eastAsia="lt-LT"/>
              </w:rPr>
              <w:t>Politica dei dividendi</w:t>
            </w:r>
          </w:p>
        </w:tc>
        <w:tc>
          <w:tcPr>
            <w:tcW w:w="7493" w:type="dxa"/>
            <w:tcBorders>
              <w:top w:val="single" w:sz="4" w:space="0" w:color="808080"/>
              <w:left w:val="single" w:sz="4" w:space="0" w:color="808080"/>
              <w:bottom w:val="single" w:sz="4" w:space="0" w:color="808080"/>
              <w:right w:val="single" w:sz="4" w:space="0" w:color="BFBFBF"/>
            </w:tcBorders>
            <w:shd w:val="clear" w:color="auto" w:fill="auto"/>
            <w:tcMar>
              <w:left w:w="83" w:type="dxa"/>
            </w:tcMar>
          </w:tcPr>
          <w:p w14:paraId="372D5A55" w14:textId="77777777" w:rsidR="004976E9" w:rsidRPr="00273ED1" w:rsidRDefault="0067712A" w:rsidP="00E31E69">
            <w:pPr>
              <w:jc w:val="both"/>
              <w:rPr>
                <w:rFonts w:ascii="Arial" w:hAnsi="Arial" w:cs="Arial"/>
                <w:sz w:val="15"/>
                <w:szCs w:val="15"/>
                <w:lang w:eastAsia="lt-LT"/>
              </w:rPr>
            </w:pPr>
            <w:r w:rsidRPr="00273ED1">
              <w:rPr>
                <w:rFonts w:ascii="Arial" w:hAnsi="Arial" w:cs="Arial"/>
                <w:sz w:val="15"/>
                <w:szCs w:val="15"/>
                <w:lang w:eastAsia="lt-LT"/>
              </w:rPr>
              <w:t xml:space="preserve">Storicamente la Società </w:t>
            </w:r>
            <w:r w:rsidR="004976E9" w:rsidRPr="00273ED1">
              <w:rPr>
                <w:rFonts w:ascii="Arial" w:hAnsi="Arial" w:cs="Arial"/>
                <w:sz w:val="15"/>
                <w:szCs w:val="15"/>
                <w:lang w:eastAsia="lt-LT"/>
              </w:rPr>
              <w:t xml:space="preserve">finanzia la propria operatività impiegando principalmente gli utili portati a nuovo. In ragione di ciò, in passato i pagamenti di dividendi sono stati limitati. Dal 2015 la Società non ha distribuito alcun dividendo. </w:t>
            </w:r>
          </w:p>
          <w:p w14:paraId="61EF2EA4" w14:textId="26BA5BD1" w:rsidR="00236409" w:rsidRPr="00273ED1" w:rsidRDefault="007C3371" w:rsidP="00E31E69">
            <w:pPr>
              <w:jc w:val="both"/>
              <w:rPr>
                <w:rFonts w:ascii="Arial" w:hAnsi="Arial" w:cs="Arial"/>
                <w:sz w:val="15"/>
                <w:szCs w:val="15"/>
                <w:lang w:eastAsia="lt-LT"/>
              </w:rPr>
            </w:pPr>
            <w:r w:rsidRPr="00273ED1">
              <w:rPr>
                <w:rFonts w:ascii="Arial" w:hAnsi="Arial" w:cs="Arial"/>
                <w:sz w:val="15"/>
                <w:szCs w:val="15"/>
                <w:lang w:eastAsia="lt-LT"/>
              </w:rPr>
              <w:t>Sulla base dell’attuale gestione previsionale sui futuri risultati operativi, l</w:t>
            </w:r>
            <w:r w:rsidR="001F4433" w:rsidRPr="00273ED1">
              <w:rPr>
                <w:rFonts w:ascii="Arial" w:hAnsi="Arial" w:cs="Arial"/>
                <w:sz w:val="15"/>
                <w:szCs w:val="15"/>
                <w:lang w:eastAsia="lt-LT"/>
              </w:rPr>
              <w:t>’amministrazione</w:t>
            </w:r>
            <w:r w:rsidRPr="00273ED1">
              <w:rPr>
                <w:rFonts w:ascii="Arial" w:hAnsi="Arial" w:cs="Arial"/>
                <w:sz w:val="15"/>
                <w:szCs w:val="15"/>
                <w:lang w:eastAsia="lt-LT"/>
              </w:rPr>
              <w:t xml:space="preserve"> prevede di proporre agli azionisti di in</w:t>
            </w:r>
            <w:r w:rsidR="00236409" w:rsidRPr="00273ED1">
              <w:rPr>
                <w:rFonts w:ascii="Arial" w:hAnsi="Arial" w:cs="Arial"/>
                <w:sz w:val="15"/>
                <w:szCs w:val="15"/>
                <w:lang w:eastAsia="lt-LT"/>
              </w:rPr>
              <w:t>traprendere</w:t>
            </w:r>
            <w:r w:rsidRPr="00273ED1">
              <w:rPr>
                <w:rFonts w:ascii="Arial" w:hAnsi="Arial" w:cs="Arial"/>
                <w:sz w:val="15"/>
                <w:szCs w:val="15"/>
                <w:lang w:eastAsia="lt-LT"/>
              </w:rPr>
              <w:t xml:space="preserve"> regolari pagamenti dei dividendi a partire d</w:t>
            </w:r>
            <w:r w:rsidR="00502E46" w:rsidRPr="00273ED1">
              <w:rPr>
                <w:rFonts w:ascii="Arial" w:hAnsi="Arial" w:cs="Arial"/>
                <w:sz w:val="15"/>
                <w:szCs w:val="15"/>
                <w:lang w:eastAsia="lt-LT"/>
              </w:rPr>
              <w:t>all’esercizio</w:t>
            </w:r>
            <w:r w:rsidRPr="00273ED1">
              <w:rPr>
                <w:rFonts w:ascii="Arial" w:hAnsi="Arial" w:cs="Arial"/>
                <w:sz w:val="15"/>
                <w:szCs w:val="15"/>
                <w:lang w:eastAsia="lt-LT"/>
              </w:rPr>
              <w:t xml:space="preserve"> 2019.</w:t>
            </w:r>
            <w:r w:rsidR="00502E46" w:rsidRPr="00273ED1">
              <w:rPr>
                <w:rFonts w:ascii="Arial" w:hAnsi="Arial" w:cs="Arial"/>
                <w:sz w:val="15"/>
                <w:szCs w:val="15"/>
                <w:lang w:eastAsia="lt-LT"/>
              </w:rPr>
              <w:t>Qualora i risultati operativi previsti siano superati, sarà avanzata una proposta di regolare pagamento</w:t>
            </w:r>
            <w:r w:rsidR="00E15507" w:rsidRPr="00273ED1">
              <w:rPr>
                <w:rFonts w:ascii="Arial" w:hAnsi="Arial" w:cs="Arial"/>
                <w:sz w:val="15"/>
                <w:szCs w:val="15"/>
                <w:lang w:eastAsia="lt-LT"/>
              </w:rPr>
              <w:t xml:space="preserve"> </w:t>
            </w:r>
            <w:r w:rsidR="00502E46" w:rsidRPr="00273ED1">
              <w:rPr>
                <w:rFonts w:ascii="Arial" w:hAnsi="Arial" w:cs="Arial"/>
                <w:sz w:val="15"/>
                <w:szCs w:val="15"/>
                <w:lang w:eastAsia="lt-LT"/>
              </w:rPr>
              <w:t>dei dividenti anche per l’esercizio 2018</w:t>
            </w:r>
            <w:r w:rsidR="001F4433" w:rsidRPr="00273ED1">
              <w:rPr>
                <w:rFonts w:ascii="Arial" w:hAnsi="Arial" w:cs="Arial"/>
                <w:sz w:val="15"/>
                <w:szCs w:val="15"/>
                <w:lang w:eastAsia="lt-LT"/>
              </w:rPr>
              <w:t>.</w:t>
            </w:r>
          </w:p>
          <w:p w14:paraId="2FDD3986" w14:textId="4AC04A1A" w:rsidR="004976E9" w:rsidRPr="00273ED1" w:rsidRDefault="001F4433" w:rsidP="00E31E69">
            <w:pPr>
              <w:jc w:val="both"/>
              <w:rPr>
                <w:rFonts w:ascii="Arial" w:hAnsi="Arial" w:cs="Arial"/>
                <w:sz w:val="15"/>
                <w:szCs w:val="15"/>
                <w:lang w:eastAsia="lt-LT"/>
              </w:rPr>
            </w:pPr>
            <w:r w:rsidRPr="00273ED1">
              <w:rPr>
                <w:rFonts w:ascii="Arial" w:hAnsi="Arial" w:cs="Arial"/>
                <w:sz w:val="15"/>
                <w:szCs w:val="15"/>
                <w:lang w:eastAsia="lt-LT"/>
              </w:rPr>
              <w:t>Va tenuto in considerazione che i pagamenti dei dividendi</w:t>
            </w:r>
            <w:r w:rsidR="004976E9" w:rsidRPr="00273ED1">
              <w:rPr>
                <w:rFonts w:ascii="Arial" w:hAnsi="Arial" w:cs="Arial"/>
                <w:sz w:val="15"/>
                <w:szCs w:val="15"/>
                <w:lang w:eastAsia="lt-LT"/>
              </w:rPr>
              <w:t xml:space="preserve"> dipenderanno dal risultato delle operazioni della Società, dalle condizioni finanziarie, dai fabbisogni di cassa, dalle prospettive future, dagli utili disponibili per la distribuzione</w:t>
            </w:r>
            <w:r w:rsidRPr="00273ED1">
              <w:rPr>
                <w:rFonts w:ascii="Arial" w:hAnsi="Arial" w:cs="Arial"/>
                <w:sz w:val="15"/>
                <w:szCs w:val="15"/>
                <w:lang w:eastAsia="lt-LT"/>
              </w:rPr>
              <w:t>, dai covenant finanziari</w:t>
            </w:r>
            <w:r w:rsidR="004976E9" w:rsidRPr="00273ED1">
              <w:rPr>
                <w:rFonts w:ascii="Arial" w:hAnsi="Arial" w:cs="Arial"/>
                <w:sz w:val="15"/>
                <w:szCs w:val="15"/>
                <w:lang w:eastAsia="lt-LT"/>
              </w:rPr>
              <w:t xml:space="preserve"> e da altri fattori che </w:t>
            </w:r>
            <w:r w:rsidRPr="00273ED1">
              <w:rPr>
                <w:rFonts w:ascii="Arial" w:hAnsi="Arial" w:cs="Arial"/>
                <w:sz w:val="15"/>
                <w:szCs w:val="15"/>
                <w:lang w:eastAsia="lt-LT"/>
              </w:rPr>
              <w:t>l’amministrazione</w:t>
            </w:r>
            <w:r w:rsidR="00E15507" w:rsidRPr="00273ED1">
              <w:rPr>
                <w:rFonts w:ascii="Arial" w:hAnsi="Arial" w:cs="Arial"/>
                <w:sz w:val="15"/>
                <w:szCs w:val="15"/>
                <w:lang w:eastAsia="lt-LT"/>
              </w:rPr>
              <w:t xml:space="preserve"> </w:t>
            </w:r>
            <w:r w:rsidR="004976E9" w:rsidRPr="00273ED1">
              <w:rPr>
                <w:rFonts w:ascii="Arial" w:hAnsi="Arial" w:cs="Arial"/>
                <w:sz w:val="15"/>
                <w:szCs w:val="15"/>
                <w:lang w:eastAsia="lt-LT"/>
              </w:rPr>
              <w:t xml:space="preserve">considererà rilevanti in quel momento. </w:t>
            </w:r>
          </w:p>
          <w:p w14:paraId="54F48B64" w14:textId="60D4DEDC" w:rsidR="004976E9" w:rsidRPr="00273ED1" w:rsidRDefault="00E15507" w:rsidP="00E31E69">
            <w:pPr>
              <w:jc w:val="both"/>
              <w:rPr>
                <w:rFonts w:ascii="Arial" w:hAnsi="Arial" w:cs="Arial"/>
                <w:sz w:val="15"/>
                <w:szCs w:val="15"/>
                <w:lang w:eastAsia="lt-LT"/>
              </w:rPr>
            </w:pPr>
            <w:r w:rsidRPr="00273ED1">
              <w:rPr>
                <w:rFonts w:ascii="Arial" w:hAnsi="Arial" w:cs="Arial"/>
                <w:sz w:val="15"/>
                <w:szCs w:val="15"/>
                <w:lang w:eastAsia="lt-LT"/>
              </w:rPr>
              <w:t>L’Organo Amministrativo</w:t>
            </w:r>
            <w:r w:rsidR="00DA0443" w:rsidRPr="00273ED1">
              <w:rPr>
                <w:rFonts w:ascii="Arial" w:hAnsi="Arial" w:cs="Arial"/>
                <w:sz w:val="15"/>
                <w:szCs w:val="15"/>
                <w:lang w:eastAsia="lt-LT"/>
              </w:rPr>
              <w:t xml:space="preserve"> potrà </w:t>
            </w:r>
            <w:r w:rsidR="004976E9" w:rsidRPr="00273ED1">
              <w:rPr>
                <w:rFonts w:ascii="Arial" w:hAnsi="Arial" w:cs="Arial"/>
                <w:sz w:val="15"/>
                <w:szCs w:val="15"/>
                <w:lang w:eastAsia="lt-LT"/>
              </w:rPr>
              <w:t>proporre l'im</w:t>
            </w:r>
            <w:r w:rsidR="001F4433" w:rsidRPr="00273ED1">
              <w:rPr>
                <w:rFonts w:ascii="Arial" w:hAnsi="Arial" w:cs="Arial"/>
                <w:sz w:val="15"/>
                <w:szCs w:val="15"/>
                <w:lang w:eastAsia="lt-LT"/>
              </w:rPr>
              <w:t>porto dei dividendi da distribui</w:t>
            </w:r>
            <w:r w:rsidR="004976E9" w:rsidRPr="00273ED1">
              <w:rPr>
                <w:rFonts w:ascii="Arial" w:hAnsi="Arial" w:cs="Arial"/>
                <w:sz w:val="15"/>
                <w:szCs w:val="15"/>
                <w:lang w:eastAsia="lt-LT"/>
              </w:rPr>
              <w:t xml:space="preserve">re. Il </w:t>
            </w:r>
            <w:r w:rsidR="00021F7C" w:rsidRPr="00273ED1">
              <w:rPr>
                <w:rFonts w:ascii="Arial" w:hAnsi="Arial" w:cs="Arial"/>
                <w:sz w:val="15"/>
                <w:szCs w:val="15"/>
                <w:lang w:eastAsia="lt-LT"/>
              </w:rPr>
              <w:t>C</w:t>
            </w:r>
            <w:r w:rsidR="004976E9" w:rsidRPr="00273ED1">
              <w:rPr>
                <w:rFonts w:ascii="Arial" w:hAnsi="Arial" w:cs="Arial"/>
                <w:sz w:val="15"/>
                <w:szCs w:val="15"/>
                <w:lang w:eastAsia="lt-LT"/>
              </w:rPr>
              <w:t xml:space="preserve">onsiglio di </w:t>
            </w:r>
            <w:r w:rsidR="00021F7C" w:rsidRPr="00273ED1">
              <w:rPr>
                <w:rFonts w:ascii="Arial" w:hAnsi="Arial" w:cs="Arial"/>
                <w:sz w:val="15"/>
                <w:szCs w:val="15"/>
                <w:lang w:eastAsia="lt-LT"/>
              </w:rPr>
              <w:t>S</w:t>
            </w:r>
            <w:r w:rsidR="004976E9" w:rsidRPr="00273ED1">
              <w:rPr>
                <w:rFonts w:ascii="Arial" w:hAnsi="Arial" w:cs="Arial"/>
                <w:sz w:val="15"/>
                <w:szCs w:val="15"/>
                <w:lang w:eastAsia="lt-LT"/>
              </w:rPr>
              <w:t>orveglianza ha il diritto di modificare tale proposta e la proposta sarà in ultima analisi approvata dall'</w:t>
            </w:r>
            <w:r w:rsidR="00021F7C" w:rsidRPr="00273ED1">
              <w:rPr>
                <w:rFonts w:ascii="Arial" w:hAnsi="Arial" w:cs="Arial"/>
                <w:sz w:val="15"/>
                <w:szCs w:val="15"/>
                <w:lang w:eastAsia="lt-LT"/>
              </w:rPr>
              <w:t>A</w:t>
            </w:r>
            <w:r w:rsidR="004976E9" w:rsidRPr="00273ED1">
              <w:rPr>
                <w:rFonts w:ascii="Arial" w:hAnsi="Arial" w:cs="Arial"/>
                <w:sz w:val="15"/>
                <w:szCs w:val="15"/>
                <w:lang w:eastAsia="lt-LT"/>
              </w:rPr>
              <w:t xml:space="preserve">ssemblea degli </w:t>
            </w:r>
            <w:r w:rsidR="00021F7C" w:rsidRPr="00273ED1">
              <w:rPr>
                <w:rFonts w:ascii="Arial" w:hAnsi="Arial" w:cs="Arial"/>
                <w:sz w:val="15"/>
                <w:szCs w:val="15"/>
                <w:lang w:eastAsia="lt-LT"/>
              </w:rPr>
              <w:t>A</w:t>
            </w:r>
            <w:r w:rsidR="004976E9" w:rsidRPr="00273ED1">
              <w:rPr>
                <w:rFonts w:ascii="Arial" w:hAnsi="Arial" w:cs="Arial"/>
                <w:sz w:val="15"/>
                <w:szCs w:val="15"/>
                <w:lang w:eastAsia="lt-LT"/>
              </w:rPr>
              <w:t>zionisti</w:t>
            </w:r>
            <w:r w:rsidR="00021F7C" w:rsidRPr="00273ED1">
              <w:rPr>
                <w:rFonts w:ascii="Arial" w:hAnsi="Arial" w:cs="Arial"/>
                <w:sz w:val="15"/>
                <w:szCs w:val="15"/>
                <w:lang w:eastAsia="lt-LT"/>
              </w:rPr>
              <w:t xml:space="preserve"> della Società</w:t>
            </w:r>
            <w:r w:rsidR="004976E9" w:rsidRPr="00273ED1">
              <w:rPr>
                <w:rFonts w:ascii="Arial" w:hAnsi="Arial" w:cs="Arial"/>
                <w:sz w:val="15"/>
                <w:szCs w:val="15"/>
                <w:lang w:eastAsia="lt-LT"/>
              </w:rPr>
              <w:t xml:space="preserve">. </w:t>
            </w:r>
          </w:p>
          <w:p w14:paraId="449460A2" w14:textId="77777777" w:rsidR="004976E9" w:rsidRPr="00273ED1" w:rsidRDefault="004976E9" w:rsidP="00E31E69">
            <w:pPr>
              <w:jc w:val="both"/>
              <w:rPr>
                <w:rFonts w:ascii="Arial" w:hAnsi="Arial" w:cs="Arial"/>
                <w:sz w:val="15"/>
                <w:szCs w:val="15"/>
                <w:lang w:eastAsia="lt-LT"/>
              </w:rPr>
            </w:pPr>
          </w:p>
        </w:tc>
      </w:tr>
      <w:tr w:rsidR="004976E9" w:rsidRPr="00273ED1" w14:paraId="04B2DB57" w14:textId="77777777" w:rsidTr="00E31E69">
        <w:tc>
          <w:tcPr>
            <w:tcW w:w="9752" w:type="dxa"/>
            <w:gridSpan w:val="3"/>
            <w:tcBorders>
              <w:top w:val="single" w:sz="4" w:space="0" w:color="808080"/>
              <w:left w:val="single" w:sz="4" w:space="0" w:color="BFBFBF"/>
              <w:bottom w:val="single" w:sz="4" w:space="0" w:color="808080"/>
              <w:right w:val="single" w:sz="4" w:space="0" w:color="BFBFBF"/>
            </w:tcBorders>
            <w:shd w:val="clear" w:color="auto" w:fill="C8501E"/>
            <w:tcMar>
              <w:left w:w="83" w:type="dxa"/>
            </w:tcMar>
          </w:tcPr>
          <w:p w14:paraId="7B5673E7" w14:textId="77777777" w:rsidR="004976E9" w:rsidRPr="00273ED1" w:rsidRDefault="004976E9" w:rsidP="00E31E69">
            <w:pPr>
              <w:jc w:val="center"/>
              <w:rPr>
                <w:rFonts w:ascii="Arial" w:hAnsi="Arial" w:cs="Arial"/>
                <w:sz w:val="15"/>
                <w:szCs w:val="15"/>
                <w:lang w:eastAsia="lt-LT"/>
              </w:rPr>
            </w:pPr>
          </w:p>
          <w:p w14:paraId="3EA96C77" w14:textId="77777777" w:rsidR="004976E9" w:rsidRPr="00273ED1" w:rsidRDefault="004976E9" w:rsidP="00E31E69">
            <w:pPr>
              <w:jc w:val="center"/>
              <w:rPr>
                <w:rFonts w:ascii="Arial" w:hAnsi="Arial" w:cs="Arial"/>
                <w:sz w:val="15"/>
                <w:szCs w:val="15"/>
                <w:lang w:eastAsia="lt-LT"/>
              </w:rPr>
            </w:pPr>
            <w:r w:rsidRPr="00273ED1">
              <w:rPr>
                <w:rFonts w:ascii="Arial" w:hAnsi="Arial" w:cs="Arial"/>
                <w:sz w:val="15"/>
                <w:szCs w:val="15"/>
                <w:lang w:eastAsia="lt-LT"/>
              </w:rPr>
              <w:t>Sezione D – Rischi</w:t>
            </w:r>
          </w:p>
        </w:tc>
      </w:tr>
      <w:tr w:rsidR="004976E9" w:rsidRPr="00273ED1" w14:paraId="1E49CAE8" w14:textId="77777777" w:rsidTr="00E31E69">
        <w:tc>
          <w:tcPr>
            <w:tcW w:w="706" w:type="dxa"/>
            <w:tcBorders>
              <w:top w:val="single" w:sz="4" w:space="0" w:color="808080"/>
              <w:left w:val="single" w:sz="4" w:space="0" w:color="BFBFBF"/>
              <w:bottom w:val="single" w:sz="4" w:space="0" w:color="808080"/>
              <w:right w:val="single" w:sz="4" w:space="0" w:color="808080"/>
            </w:tcBorders>
            <w:shd w:val="clear" w:color="auto" w:fill="auto"/>
            <w:tcMar>
              <w:left w:w="83" w:type="dxa"/>
            </w:tcMar>
          </w:tcPr>
          <w:p w14:paraId="5C953E5E" w14:textId="77777777" w:rsidR="004976E9" w:rsidRPr="00273ED1" w:rsidRDefault="004976E9" w:rsidP="00E31E69">
            <w:pPr>
              <w:rPr>
                <w:sz w:val="15"/>
                <w:szCs w:val="15"/>
              </w:rPr>
            </w:pPr>
            <w:r w:rsidRPr="00273ED1">
              <w:rPr>
                <w:rFonts w:ascii="Arial" w:hAnsi="Arial" w:cs="Arial"/>
                <w:i/>
                <w:iCs/>
                <w:sz w:val="15"/>
                <w:szCs w:val="15"/>
              </w:rPr>
              <w:t>Ele-mento</w:t>
            </w:r>
          </w:p>
        </w:tc>
        <w:tc>
          <w:tcPr>
            <w:tcW w:w="1553" w:type="dxa"/>
            <w:tcBorders>
              <w:top w:val="single" w:sz="4" w:space="0" w:color="808080"/>
              <w:left w:val="single" w:sz="4" w:space="0" w:color="808080"/>
              <w:bottom w:val="single" w:sz="4" w:space="0" w:color="808080"/>
              <w:right w:val="single" w:sz="4" w:space="0" w:color="808080"/>
            </w:tcBorders>
            <w:shd w:val="clear" w:color="auto" w:fill="auto"/>
            <w:tcMar>
              <w:left w:w="83" w:type="dxa"/>
            </w:tcMar>
          </w:tcPr>
          <w:p w14:paraId="64868AF7" w14:textId="77777777" w:rsidR="004976E9" w:rsidRPr="00273ED1" w:rsidRDefault="004976E9" w:rsidP="00E31E69">
            <w:pPr>
              <w:rPr>
                <w:sz w:val="15"/>
                <w:szCs w:val="15"/>
              </w:rPr>
            </w:pPr>
            <w:r w:rsidRPr="00273ED1">
              <w:rPr>
                <w:rFonts w:ascii="Arial" w:hAnsi="Arial" w:cs="Arial"/>
                <w:i/>
                <w:iCs/>
                <w:sz w:val="15"/>
                <w:szCs w:val="15"/>
              </w:rPr>
              <w:t>Titolo</w:t>
            </w:r>
          </w:p>
        </w:tc>
        <w:tc>
          <w:tcPr>
            <w:tcW w:w="7493" w:type="dxa"/>
            <w:tcBorders>
              <w:top w:val="single" w:sz="4" w:space="0" w:color="808080"/>
              <w:left w:val="single" w:sz="4" w:space="0" w:color="808080"/>
              <w:bottom w:val="single" w:sz="4" w:space="0" w:color="808080"/>
              <w:right w:val="single" w:sz="4" w:space="0" w:color="BFBFBF"/>
            </w:tcBorders>
            <w:shd w:val="clear" w:color="auto" w:fill="auto"/>
            <w:tcMar>
              <w:left w:w="83" w:type="dxa"/>
            </w:tcMar>
          </w:tcPr>
          <w:p w14:paraId="188E1860" w14:textId="77777777" w:rsidR="004976E9" w:rsidRPr="00273ED1" w:rsidRDefault="004976E9" w:rsidP="00E31E69">
            <w:pPr>
              <w:rPr>
                <w:sz w:val="15"/>
                <w:szCs w:val="15"/>
              </w:rPr>
            </w:pPr>
            <w:r w:rsidRPr="00273ED1">
              <w:rPr>
                <w:rFonts w:ascii="Arial" w:hAnsi="Arial" w:cs="Arial"/>
                <w:i/>
                <w:iCs/>
                <w:sz w:val="15"/>
                <w:szCs w:val="15"/>
              </w:rPr>
              <w:t>Informazione</w:t>
            </w:r>
          </w:p>
        </w:tc>
      </w:tr>
      <w:tr w:rsidR="004976E9" w:rsidRPr="00273ED1" w14:paraId="3927174C" w14:textId="77777777" w:rsidTr="00E31E69">
        <w:trPr>
          <w:trHeight w:val="3061"/>
        </w:trPr>
        <w:tc>
          <w:tcPr>
            <w:tcW w:w="706" w:type="dxa"/>
            <w:tcBorders>
              <w:top w:val="single" w:sz="4" w:space="0" w:color="808080"/>
              <w:left w:val="single" w:sz="4" w:space="0" w:color="BFBFBF"/>
              <w:bottom w:val="single" w:sz="4" w:space="0" w:color="808080"/>
              <w:right w:val="single" w:sz="4" w:space="0" w:color="808080"/>
            </w:tcBorders>
            <w:shd w:val="clear" w:color="auto" w:fill="auto"/>
            <w:tcMar>
              <w:left w:w="83" w:type="dxa"/>
            </w:tcMar>
          </w:tcPr>
          <w:p w14:paraId="0FF9EA52" w14:textId="77777777" w:rsidR="004976E9" w:rsidRPr="00273ED1" w:rsidRDefault="004976E9" w:rsidP="00E31E69">
            <w:pPr>
              <w:rPr>
                <w:rFonts w:ascii="Arial" w:hAnsi="Arial" w:cs="Arial"/>
                <w:sz w:val="15"/>
                <w:szCs w:val="15"/>
              </w:rPr>
            </w:pPr>
            <w:r w:rsidRPr="00273ED1">
              <w:rPr>
                <w:rFonts w:ascii="Arial" w:hAnsi="Arial" w:cs="Arial"/>
                <w:sz w:val="15"/>
                <w:szCs w:val="15"/>
              </w:rPr>
              <w:t>D.1</w:t>
            </w:r>
          </w:p>
        </w:tc>
        <w:tc>
          <w:tcPr>
            <w:tcW w:w="1553" w:type="dxa"/>
            <w:tcBorders>
              <w:top w:val="single" w:sz="4" w:space="0" w:color="808080"/>
              <w:left w:val="single" w:sz="4" w:space="0" w:color="808080"/>
              <w:bottom w:val="single" w:sz="4" w:space="0" w:color="808080"/>
              <w:right w:val="single" w:sz="4" w:space="0" w:color="808080"/>
            </w:tcBorders>
            <w:shd w:val="clear" w:color="auto" w:fill="auto"/>
            <w:tcMar>
              <w:left w:w="83" w:type="dxa"/>
            </w:tcMar>
          </w:tcPr>
          <w:p w14:paraId="019EFC92" w14:textId="77777777" w:rsidR="004976E9" w:rsidRPr="00273ED1" w:rsidRDefault="004976E9" w:rsidP="00E31E69">
            <w:pPr>
              <w:rPr>
                <w:sz w:val="15"/>
                <w:szCs w:val="15"/>
              </w:rPr>
            </w:pPr>
            <w:r w:rsidRPr="00273ED1">
              <w:rPr>
                <w:rFonts w:ascii="Arial" w:hAnsi="Arial" w:cs="Arial"/>
                <w:sz w:val="15"/>
                <w:szCs w:val="15"/>
              </w:rPr>
              <w:t>Principali rischi che sono specifici per la Società, o per il settore del Gruppo</w:t>
            </w:r>
          </w:p>
        </w:tc>
        <w:tc>
          <w:tcPr>
            <w:tcW w:w="7493" w:type="dxa"/>
            <w:vMerge w:val="restart"/>
            <w:tcBorders>
              <w:top w:val="single" w:sz="4" w:space="0" w:color="808080"/>
              <w:left w:val="single" w:sz="4" w:space="0" w:color="808080"/>
              <w:right w:val="single" w:sz="4" w:space="0" w:color="BFBFBF"/>
            </w:tcBorders>
            <w:shd w:val="clear" w:color="auto" w:fill="auto"/>
            <w:tcMar>
              <w:left w:w="83" w:type="dxa"/>
            </w:tcMar>
          </w:tcPr>
          <w:p w14:paraId="4B4C2A08" w14:textId="77777777" w:rsidR="004976E9" w:rsidRPr="00273ED1" w:rsidRDefault="004976E9" w:rsidP="00E31E69">
            <w:pPr>
              <w:keepNext/>
              <w:rPr>
                <w:sz w:val="15"/>
                <w:szCs w:val="15"/>
              </w:rPr>
            </w:pPr>
            <w:r w:rsidRPr="00273ED1">
              <w:rPr>
                <w:rFonts w:ascii="Arial" w:hAnsi="Arial" w:cs="Arial"/>
                <w:b/>
                <w:sz w:val="15"/>
                <w:szCs w:val="15"/>
                <w:shd w:val="clear" w:color="auto" w:fill="FFFFFF"/>
              </w:rPr>
              <w:t xml:space="preserve">Rischi connessi all’attività del Gruppo </w:t>
            </w:r>
          </w:p>
          <w:p w14:paraId="43F54934" w14:textId="77777777" w:rsidR="004976E9" w:rsidRPr="00273ED1" w:rsidRDefault="004976E9" w:rsidP="00E31E69">
            <w:pPr>
              <w:rPr>
                <w:sz w:val="15"/>
                <w:szCs w:val="15"/>
              </w:rPr>
            </w:pPr>
            <w:r w:rsidRPr="00273ED1">
              <w:rPr>
                <w:rFonts w:ascii="Arial" w:hAnsi="Arial" w:cs="Arial"/>
                <w:b/>
                <w:i/>
                <w:sz w:val="15"/>
                <w:szCs w:val="15"/>
                <w:shd w:val="clear" w:color="auto" w:fill="FFFFFF"/>
              </w:rPr>
              <w:t>Il Gruppo è esposto a svariati rischi a causa della lunga durata dei progetti di sviluppo immobiliare</w:t>
            </w:r>
            <w:r w:rsidRPr="00273ED1">
              <w:rPr>
                <w:rFonts w:ascii="Arial" w:hAnsi="Arial" w:cs="Arial"/>
                <w:b/>
                <w:sz w:val="15"/>
                <w:szCs w:val="15"/>
                <w:shd w:val="clear" w:color="auto" w:fill="FFFFFF"/>
              </w:rPr>
              <w:t>.</w:t>
            </w:r>
          </w:p>
          <w:p w14:paraId="34061C18" w14:textId="77777777" w:rsidR="004976E9" w:rsidRPr="00273ED1" w:rsidRDefault="004976E9" w:rsidP="00E31E69">
            <w:pPr>
              <w:pStyle w:val="Paragraph"/>
              <w:spacing w:before="0" w:after="0"/>
              <w:rPr>
                <w:sz w:val="15"/>
                <w:szCs w:val="15"/>
              </w:rPr>
            </w:pPr>
            <w:r w:rsidRPr="00273ED1">
              <w:rPr>
                <w:sz w:val="15"/>
                <w:szCs w:val="15"/>
                <w:shd w:val="clear" w:color="auto" w:fill="FFFFFF"/>
              </w:rPr>
              <w:t xml:space="preserve">L’attività principale del Gruppo è lo sviluppo immobiliare. Il processo di sviluppo immobiliare dura in genere diversi anni. Di conseguenza, l’attività del Gruppo è esposta a svariati rischi. L’attività del Gruppo, i risultati delle operazioni, la condizione finanziaria e la redditività del Gruppo possono essere lesi, </w:t>
            </w:r>
            <w:r w:rsidRPr="00273ED1">
              <w:rPr>
                <w:i/>
                <w:iCs/>
                <w:sz w:val="15"/>
                <w:szCs w:val="15"/>
                <w:shd w:val="clear" w:color="auto" w:fill="FFFFFF"/>
              </w:rPr>
              <w:t>inter alia</w:t>
            </w:r>
            <w:r w:rsidRPr="00273ED1">
              <w:rPr>
                <w:sz w:val="15"/>
                <w:szCs w:val="15"/>
                <w:shd w:val="clear" w:color="auto" w:fill="FFFFFF"/>
              </w:rPr>
              <w:t xml:space="preserve">, da uno dei seguenti fattori: </w:t>
            </w:r>
          </w:p>
          <w:p w14:paraId="69709424" w14:textId="77777777" w:rsidR="004976E9" w:rsidRPr="00273ED1" w:rsidRDefault="004976E9" w:rsidP="00E31E69">
            <w:pPr>
              <w:pStyle w:val="Paragraph"/>
              <w:numPr>
                <w:ilvl w:val="0"/>
                <w:numId w:val="1"/>
              </w:numPr>
              <w:tabs>
                <w:tab w:val="left" w:pos="709"/>
              </w:tabs>
              <w:spacing w:before="0" w:after="0"/>
              <w:rPr>
                <w:sz w:val="15"/>
                <w:szCs w:val="15"/>
              </w:rPr>
            </w:pPr>
            <w:r w:rsidRPr="00273ED1">
              <w:rPr>
                <w:sz w:val="15"/>
                <w:szCs w:val="15"/>
                <w:shd w:val="clear" w:color="auto" w:fill="FFFFFF"/>
              </w:rPr>
              <w:t xml:space="preserve">ambiente macroeconomico, condizioni di mercato e altre analoghi circostanze sulle quali il Gruppo non ha alcuna possibilità d'intervento potrebbero cambiare nel corso del tempo determinando costi di sviluppo eccedenti e/o redditi minori di quelli attesi o stimati; </w:t>
            </w:r>
          </w:p>
          <w:p w14:paraId="1EF0179A" w14:textId="77777777" w:rsidR="004976E9" w:rsidRPr="00273ED1" w:rsidRDefault="004976E9" w:rsidP="00E31E69">
            <w:pPr>
              <w:pStyle w:val="Paragraph"/>
              <w:numPr>
                <w:ilvl w:val="0"/>
                <w:numId w:val="1"/>
              </w:numPr>
              <w:tabs>
                <w:tab w:val="left" w:pos="709"/>
              </w:tabs>
              <w:spacing w:before="0" w:after="0"/>
              <w:rPr>
                <w:sz w:val="15"/>
                <w:szCs w:val="15"/>
              </w:rPr>
            </w:pPr>
            <w:r w:rsidRPr="00273ED1">
              <w:rPr>
                <w:sz w:val="15"/>
                <w:szCs w:val="15"/>
                <w:shd w:val="clear" w:color="auto" w:fill="FFFFFF"/>
              </w:rPr>
              <w:t>il Gruppo potrebbe non essere in grado di portare a termine puntualmente i suoi impegni (ad esempio gli obblighi derivanti da contratti di finanziamento e da altri contratti) a causa delle mutate circostanze;</w:t>
            </w:r>
          </w:p>
          <w:p w14:paraId="7BC61F58" w14:textId="77777777" w:rsidR="004976E9" w:rsidRPr="00273ED1" w:rsidRDefault="004976E9" w:rsidP="00E31E69">
            <w:pPr>
              <w:pStyle w:val="Paragraph"/>
              <w:numPr>
                <w:ilvl w:val="0"/>
                <w:numId w:val="1"/>
              </w:numPr>
              <w:tabs>
                <w:tab w:val="left" w:pos="709"/>
              </w:tabs>
              <w:spacing w:before="0" w:after="0"/>
              <w:rPr>
                <w:sz w:val="15"/>
                <w:szCs w:val="15"/>
              </w:rPr>
            </w:pPr>
            <w:r w:rsidRPr="00273ED1">
              <w:rPr>
                <w:sz w:val="15"/>
                <w:szCs w:val="15"/>
                <w:shd w:val="clear" w:color="auto" w:fill="FFFFFF"/>
              </w:rPr>
              <w:t xml:space="preserve">le leggi e Ie regolamentazioni applicabili al Gruppo potrebbero essere modificate; </w:t>
            </w:r>
          </w:p>
          <w:p w14:paraId="7AAD8035" w14:textId="77777777" w:rsidR="004976E9" w:rsidRPr="00273ED1" w:rsidRDefault="004976E9" w:rsidP="00E31E69">
            <w:pPr>
              <w:pStyle w:val="Paragraph"/>
              <w:numPr>
                <w:ilvl w:val="0"/>
                <w:numId w:val="1"/>
              </w:numPr>
              <w:tabs>
                <w:tab w:val="left" w:pos="709"/>
              </w:tabs>
              <w:spacing w:before="0" w:after="0"/>
              <w:rPr>
                <w:sz w:val="15"/>
                <w:szCs w:val="15"/>
              </w:rPr>
            </w:pPr>
            <w:r w:rsidRPr="00273ED1">
              <w:rPr>
                <w:sz w:val="15"/>
                <w:szCs w:val="15"/>
                <w:shd w:val="clear" w:color="auto" w:fill="FFFFFF"/>
              </w:rPr>
              <w:t>il piano dettagliato, la destinazione della proprietà o altre condizioni essenziali per le attività di sviluppo potrebbero mutare nel tempo e il Gruppo potrebbe non essere in grado di influire in maniera adeguata sul risultato di tali modifiche;</w:t>
            </w:r>
          </w:p>
          <w:p w14:paraId="6D1C5A3A" w14:textId="77777777" w:rsidR="004976E9" w:rsidRPr="00273ED1" w:rsidRDefault="004976E9" w:rsidP="00E31E69">
            <w:pPr>
              <w:pStyle w:val="Paragraph"/>
              <w:spacing w:before="0" w:after="0"/>
              <w:rPr>
                <w:sz w:val="15"/>
                <w:szCs w:val="15"/>
              </w:rPr>
            </w:pPr>
            <w:r w:rsidRPr="00273ED1">
              <w:rPr>
                <w:b/>
                <w:bCs/>
                <w:i/>
                <w:iCs/>
                <w:sz w:val="15"/>
                <w:szCs w:val="15"/>
              </w:rPr>
              <w:t>Il Gruppo potrebbe non essere in grado di acquistare gli immobili da sviluppare a condizioni accettabili</w:t>
            </w:r>
          </w:p>
          <w:p w14:paraId="73BE4F57" w14:textId="77777777" w:rsidR="004976E9" w:rsidRPr="00273ED1" w:rsidRDefault="004976E9" w:rsidP="00E31E69">
            <w:pPr>
              <w:pStyle w:val="Paragraph"/>
              <w:spacing w:before="0" w:after="0"/>
              <w:rPr>
                <w:sz w:val="15"/>
                <w:szCs w:val="15"/>
              </w:rPr>
            </w:pPr>
            <w:r w:rsidRPr="00273ED1">
              <w:rPr>
                <w:sz w:val="15"/>
                <w:szCs w:val="15"/>
              </w:rPr>
              <w:t xml:space="preserve">Il Gruppo possiede una significativa quantità di proprietà che può sviluppare. Tuttavia, nel caso in cui il Gruppo debba acquistare ulteriori immobili da sviluppare, dovrà acquistarli in modo tempestivo e a condizioni accettabili. Il Gruppo potrebbe non essere in grado di acquistare con successo tali proprietà a condizioni accettabili a causa di svariate ragioni (tra cui, a mero titolo esemplificativo, una maggiore concorrenza nel relativo sotto-mercato immobiliare etc.). La mancata acquisizione immobiliare potrebbe ledere significativamente l’attività, i risultati delle operazioni e la condizioni finanziaria del </w:t>
            </w:r>
            <w:r w:rsidRPr="00273ED1">
              <w:rPr>
                <w:i/>
                <w:iCs/>
                <w:sz w:val="15"/>
                <w:szCs w:val="15"/>
              </w:rPr>
              <w:t>Gruppo.</w:t>
            </w:r>
          </w:p>
          <w:p w14:paraId="66F6A893" w14:textId="77777777" w:rsidR="004976E9" w:rsidRPr="00273ED1" w:rsidRDefault="004976E9" w:rsidP="00E31E69">
            <w:pPr>
              <w:pStyle w:val="Paragraph"/>
              <w:spacing w:before="0" w:after="0"/>
              <w:rPr>
                <w:sz w:val="15"/>
                <w:szCs w:val="15"/>
              </w:rPr>
            </w:pPr>
            <w:r w:rsidRPr="00273ED1">
              <w:rPr>
                <w:b/>
                <w:bCs/>
                <w:i/>
                <w:iCs/>
                <w:sz w:val="15"/>
                <w:szCs w:val="15"/>
              </w:rPr>
              <w:t>Il Gruppo potrebbe non essere i</w:t>
            </w:r>
            <w:r w:rsidRPr="00273ED1">
              <w:rPr>
                <w:b/>
                <w:bCs/>
                <w:i/>
                <w:iCs/>
                <w:sz w:val="15"/>
                <w:szCs w:val="15"/>
                <w:shd w:val="clear" w:color="auto" w:fill="FFFFFF"/>
              </w:rPr>
              <w:t>n grado di ottenere un idoneo piano dettagliato, i necessari permessi e altre autorizzazioni</w:t>
            </w:r>
          </w:p>
          <w:p w14:paraId="1FAE05DE" w14:textId="77777777" w:rsidR="004976E9" w:rsidRPr="00273ED1" w:rsidRDefault="004976E9" w:rsidP="00E31E69">
            <w:pPr>
              <w:pStyle w:val="Paragraph"/>
              <w:spacing w:before="0" w:after="0"/>
              <w:rPr>
                <w:sz w:val="15"/>
                <w:szCs w:val="15"/>
              </w:rPr>
            </w:pPr>
            <w:r w:rsidRPr="00273ED1">
              <w:rPr>
                <w:sz w:val="15"/>
                <w:szCs w:val="15"/>
              </w:rPr>
              <w:t>Al fine di sviluppare immobili, deve essere stata adottata una pianificazione dettagliata per il relativo lotto specificando tra l’altro l’uso(i) previsto del lotto, il numero massimo consentito di costruzioni e, di conseguenza, l’area massima occupabile e l’altezza massima consentita per le costruzioni. Inoltre, prima di costruire deve essere stato emesso un valido permesso di costruire. É possibile che il Gruppo debba ottenere determinati altri permessi e autorizzazioni per iniziare a costruire fabbricati e altre strutture sui lotti. Inoltre, è possibile che il Gruppo necessiti di permessi per la demolizione delle costruzioni esistenti ubicate sui lotti acquisiti. Nel caso in cui la demolizione non sia consentita ovvero i materiali risultanti dalla demolizione stessa (ad esempio contenenti sostanze pericolose) necessitino di un trattamento specifico, ciò richiederà l'impiego di ulteriori risorse monetarie da parte del Gruppo</w:t>
            </w:r>
          </w:p>
          <w:p w14:paraId="7223CFCA" w14:textId="77777777" w:rsidR="004976E9" w:rsidRPr="00273ED1" w:rsidRDefault="004976E9" w:rsidP="00E31E69">
            <w:pPr>
              <w:pStyle w:val="Paragraph"/>
              <w:spacing w:before="0" w:after="0"/>
              <w:rPr>
                <w:sz w:val="15"/>
                <w:szCs w:val="15"/>
              </w:rPr>
            </w:pPr>
            <w:r w:rsidRPr="00273ED1">
              <w:rPr>
                <w:sz w:val="15"/>
                <w:szCs w:val="15"/>
              </w:rPr>
              <w:t xml:space="preserve">Il procedimento per ottenere un adeguato piano dettagliato, il permesso di costruire e altri permessi e autorizzazioni necessari è soggetto a dettagliate regole e procedure stabilite dalla legge e può richiedere diversi anni (la lunghezza di tale procedimento non può essere predeterminata con precisione e potrebbe diventare significativamente più lunga di quanto previsto). </w:t>
            </w:r>
          </w:p>
          <w:p w14:paraId="62E776C9" w14:textId="77777777" w:rsidR="004976E9" w:rsidRPr="00273ED1" w:rsidRDefault="004976E9" w:rsidP="00E31E69">
            <w:pPr>
              <w:pStyle w:val="Paragraph"/>
              <w:spacing w:before="0" w:after="0"/>
              <w:rPr>
                <w:sz w:val="15"/>
                <w:szCs w:val="15"/>
              </w:rPr>
            </w:pPr>
            <w:r w:rsidRPr="00273ED1">
              <w:rPr>
                <w:sz w:val="15"/>
                <w:szCs w:val="15"/>
              </w:rPr>
              <w:t>Inoltre, a tale procedimento sono collegati costi significativi che il Gruppo deve sostenere durante la richiesta del piano dettagliato o dei necessari permessi o autorizzazioni. Anche se il Gruppo fa richiesta del piano dettagliato o di altri permessi o autorizzazioni necessari per le proprie attività di sviluppo, esso potrebbe non essere in grado di ottenere il piano dettagliato o i permessi o le autorizzazioni necessari per gli sviluppi programm</w:t>
            </w:r>
            <w:r w:rsidRPr="00273ED1">
              <w:rPr>
                <w:sz w:val="15"/>
                <w:szCs w:val="15"/>
                <w:shd w:val="clear" w:color="auto" w:fill="FFFFFF"/>
              </w:rPr>
              <w:t xml:space="preserve">ati del Gruppo. Inoltre, il Gruppo deve sostenere tali </w:t>
            </w:r>
            <w:r w:rsidR="009F0FFA" w:rsidRPr="00273ED1">
              <w:rPr>
                <w:sz w:val="15"/>
                <w:szCs w:val="15"/>
                <w:shd w:val="clear" w:color="auto" w:fill="FFFFFF"/>
              </w:rPr>
              <w:t>costi indipendentemente</w:t>
            </w:r>
            <w:r w:rsidRPr="00273ED1">
              <w:rPr>
                <w:sz w:val="15"/>
                <w:szCs w:val="15"/>
                <w:shd w:val="clear" w:color="auto" w:fill="FFFFFF"/>
              </w:rPr>
              <w:t xml:space="preserve"> dal risultato dei rispettivi procedimenti.</w:t>
            </w:r>
          </w:p>
          <w:p w14:paraId="64C4E757" w14:textId="77777777" w:rsidR="004976E9" w:rsidRPr="00273ED1" w:rsidRDefault="004976E9" w:rsidP="00E31E69">
            <w:pPr>
              <w:pStyle w:val="Paragraph"/>
              <w:spacing w:before="0" w:after="0"/>
              <w:rPr>
                <w:sz w:val="15"/>
                <w:szCs w:val="15"/>
                <w:shd w:val="clear" w:color="auto" w:fill="FFFFFF"/>
              </w:rPr>
            </w:pPr>
            <w:r w:rsidRPr="00273ED1">
              <w:rPr>
                <w:sz w:val="15"/>
                <w:szCs w:val="15"/>
                <w:shd w:val="clear" w:color="auto" w:fill="FFFFFF"/>
              </w:rPr>
              <w:t xml:space="preserve">Al fine di sviluppare gli immobili pianificati, il Gruppo dovrà altresì ottenere diversi permessi di costruire e altre autorizzazioni. </w:t>
            </w:r>
          </w:p>
          <w:p w14:paraId="70EBEB24" w14:textId="77777777" w:rsidR="004976E9" w:rsidRPr="00273ED1" w:rsidRDefault="004976E9" w:rsidP="00E31E69">
            <w:pPr>
              <w:pStyle w:val="Paragraph"/>
              <w:spacing w:before="0" w:after="0"/>
              <w:rPr>
                <w:sz w:val="15"/>
                <w:szCs w:val="15"/>
              </w:rPr>
            </w:pPr>
            <w:r w:rsidRPr="00273ED1">
              <w:rPr>
                <w:sz w:val="15"/>
                <w:szCs w:val="15"/>
                <w:shd w:val="clear" w:color="auto" w:fill="FFFFFF"/>
              </w:rPr>
              <w:lastRenderedPageBreak/>
              <w:t>Qualora uno di tali piani, autorizzazioni o permessi non sia ottenuto n</w:t>
            </w:r>
            <w:r w:rsidRPr="00273ED1">
              <w:rPr>
                <w:rFonts w:asciiTheme="majorHAnsi" w:hAnsiTheme="majorHAnsi"/>
                <w:sz w:val="15"/>
                <w:szCs w:val="15"/>
                <w:shd w:val="clear" w:color="auto" w:fill="FFFFFF"/>
              </w:rPr>
              <w:t>ei temp</w:t>
            </w:r>
            <w:r w:rsidRPr="00273ED1">
              <w:rPr>
                <w:sz w:val="15"/>
                <w:szCs w:val="15"/>
                <w:shd w:val="clear" w:color="auto" w:fill="FFFFFF"/>
              </w:rPr>
              <w:t xml:space="preserve">i e alle condizioni idonee per le attività di sviluppo pianificate o qualora uno di tali piani, autorizzazioni o permessi sia viziato o modificato, ciò potrebbe ledere l’attività, i risultati delle operazioni e la condizione finanziaria del Gruppo. </w:t>
            </w:r>
          </w:p>
          <w:p w14:paraId="25A8AB8E" w14:textId="77777777" w:rsidR="004976E9" w:rsidRPr="00273ED1" w:rsidRDefault="004976E9" w:rsidP="00E31E69">
            <w:pPr>
              <w:pStyle w:val="Paragraph"/>
              <w:spacing w:before="0" w:after="0"/>
              <w:rPr>
                <w:sz w:val="15"/>
                <w:szCs w:val="15"/>
              </w:rPr>
            </w:pPr>
            <w:r w:rsidRPr="00273ED1">
              <w:rPr>
                <w:b/>
                <w:bCs/>
                <w:i/>
                <w:iCs/>
                <w:sz w:val="15"/>
                <w:szCs w:val="15"/>
              </w:rPr>
              <w:t>Il Gruppo potrebbe non essere in grado di cedere gli immobili a prezzi accettabili</w:t>
            </w:r>
          </w:p>
          <w:p w14:paraId="52CA3A94" w14:textId="77777777" w:rsidR="004976E9" w:rsidRPr="00273ED1" w:rsidRDefault="004976E9" w:rsidP="00E31E69">
            <w:pPr>
              <w:pStyle w:val="Paragraph"/>
              <w:spacing w:before="0" w:after="0"/>
              <w:rPr>
                <w:sz w:val="15"/>
                <w:szCs w:val="15"/>
              </w:rPr>
            </w:pPr>
            <w:r w:rsidRPr="00273ED1">
              <w:rPr>
                <w:sz w:val="15"/>
                <w:szCs w:val="15"/>
                <w:shd w:val="clear" w:color="auto" w:fill="FFFFFF"/>
              </w:rPr>
              <w:t>In conformità con la propria strategia, in passato il Gruppo ha venduto alcune proprietà, suddivise ovvero nella loro interezza, e valuta costantemente la cessione di proprietà quando le stesse sono state completamente sviluppate. Il valore e il prezzo delle proprietà cedute sono influenzati da diversi fattori, ad esempio le condizioni economiche generali, i tassi di interesse, le aspettative di inflazione, i rendimenti richiesti dagli investitori e le dinamiche competitive. Vendere proprietà che il mercato classifica come proprietà non eccellenti potrebbe anche essere difficoltoso. Non si può garantire che in futuro il Gruppo sarà in grado di cedere a prezzi accettabili o a prezzi superiori ai costi combinati relativi allo sviluppo delle proprietà. Il ritardo nella cessione di proprietà ovvero le cessioni in perdita potrebbero rallentare la crescita del Gruppo e ciò potrebbe ledere significativamente l’attività, i risultati delle operazioni e la condizione finanziaria del Gruppo.</w:t>
            </w:r>
          </w:p>
          <w:p w14:paraId="3336315C" w14:textId="77777777" w:rsidR="004976E9" w:rsidRPr="00273ED1" w:rsidRDefault="004976E9" w:rsidP="00E31E69">
            <w:pPr>
              <w:pStyle w:val="Paragraph"/>
              <w:spacing w:before="0" w:after="0"/>
              <w:rPr>
                <w:sz w:val="15"/>
                <w:szCs w:val="15"/>
              </w:rPr>
            </w:pPr>
            <w:r w:rsidRPr="00273ED1">
              <w:rPr>
                <w:b/>
                <w:bCs/>
                <w:i/>
                <w:iCs/>
                <w:sz w:val="15"/>
                <w:szCs w:val="15"/>
              </w:rPr>
              <w:t>Le proprietà del Gruppo potrebbero essere espropriate ai fini d’interesse pubblico</w:t>
            </w:r>
          </w:p>
          <w:p w14:paraId="411057FC" w14:textId="77777777" w:rsidR="004976E9" w:rsidRPr="00273ED1" w:rsidRDefault="004976E9" w:rsidP="00E31E69">
            <w:pPr>
              <w:pStyle w:val="Paragraph"/>
              <w:spacing w:before="0" w:after="0"/>
              <w:rPr>
                <w:sz w:val="15"/>
                <w:szCs w:val="15"/>
              </w:rPr>
            </w:pPr>
            <w:r w:rsidRPr="00273ED1">
              <w:rPr>
                <w:sz w:val="15"/>
                <w:szCs w:val="15"/>
              </w:rPr>
              <w:t xml:space="preserve">Nel caso in cui il terreno acquistato dal Gruppo sia necessario per finalità pubbliche (e.g. per la costruzione di una strada), lo Stato o il comune potrebbero acquisire il lotto in questione dal Gruppo </w:t>
            </w:r>
          </w:p>
          <w:p w14:paraId="2B0C35EA" w14:textId="77777777" w:rsidR="004976E9" w:rsidRPr="00273ED1" w:rsidRDefault="004976E9" w:rsidP="00E31E69">
            <w:pPr>
              <w:pStyle w:val="Paragraph"/>
              <w:spacing w:before="0" w:after="0"/>
              <w:rPr>
                <w:sz w:val="15"/>
                <w:szCs w:val="15"/>
              </w:rPr>
            </w:pPr>
            <w:r w:rsidRPr="00273ED1">
              <w:rPr>
                <w:sz w:val="15"/>
                <w:szCs w:val="15"/>
                <w:shd w:val="clear" w:color="auto" w:fill="FFFFFF"/>
              </w:rPr>
              <w:t>a fronte di indennizzo che non può essere inferiore al valore di mercato del terreno.</w:t>
            </w:r>
          </w:p>
          <w:p w14:paraId="0E7D23E8" w14:textId="77777777" w:rsidR="004976E9" w:rsidRPr="00273ED1" w:rsidRDefault="004976E9" w:rsidP="00E31E69">
            <w:pPr>
              <w:pStyle w:val="Paragraph"/>
              <w:spacing w:before="0" w:after="0"/>
              <w:rPr>
                <w:sz w:val="15"/>
                <w:szCs w:val="15"/>
              </w:rPr>
            </w:pPr>
            <w:r w:rsidRPr="00273ED1">
              <w:rPr>
                <w:sz w:val="15"/>
                <w:szCs w:val="15"/>
              </w:rPr>
              <w:t>Tuttavia, tale indennizzo potrebbe non essere sufficiente a coprire tutti i danni causati al Gruppo.</w:t>
            </w:r>
          </w:p>
          <w:p w14:paraId="71D74336" w14:textId="77777777" w:rsidR="004976E9" w:rsidRPr="00273ED1" w:rsidRDefault="004976E9" w:rsidP="00E31E69">
            <w:pPr>
              <w:pStyle w:val="Paragraph"/>
              <w:spacing w:before="0" w:after="0"/>
              <w:rPr>
                <w:sz w:val="15"/>
                <w:szCs w:val="15"/>
              </w:rPr>
            </w:pPr>
            <w:r w:rsidRPr="00273ED1">
              <w:rPr>
                <w:sz w:val="15"/>
                <w:szCs w:val="15"/>
              </w:rPr>
              <w:t xml:space="preserve">L’espropriazione di una delle proprietà del Gruppo potrebbe ledere significativamente l’attività, i risultati delle operazioni o la condizione finanziaria del Gruppo. </w:t>
            </w:r>
          </w:p>
          <w:p w14:paraId="6A3A56D7" w14:textId="77777777" w:rsidR="004976E9" w:rsidRPr="00273ED1" w:rsidRDefault="004976E9" w:rsidP="00E31E69">
            <w:pPr>
              <w:pStyle w:val="Paragraph"/>
              <w:spacing w:before="0" w:after="0"/>
              <w:rPr>
                <w:sz w:val="15"/>
                <w:szCs w:val="15"/>
              </w:rPr>
            </w:pPr>
            <w:r w:rsidRPr="00273ED1">
              <w:rPr>
                <w:b/>
                <w:bCs/>
                <w:i/>
                <w:iCs/>
                <w:sz w:val="15"/>
                <w:szCs w:val="15"/>
              </w:rPr>
              <w:t>La dipendenza da un ristretto numero di grandi progetti incrementa l’esposizione del Gruppo ai rischi di ciascun progetto</w:t>
            </w:r>
          </w:p>
          <w:p w14:paraId="5B22696B" w14:textId="77777777" w:rsidR="004976E9" w:rsidRPr="00273ED1" w:rsidRDefault="004976E9" w:rsidP="00E31E69">
            <w:pPr>
              <w:pStyle w:val="Paragraph"/>
              <w:spacing w:before="0" w:after="0"/>
              <w:rPr>
                <w:sz w:val="15"/>
                <w:szCs w:val="15"/>
              </w:rPr>
            </w:pPr>
            <w:r w:rsidRPr="00273ED1">
              <w:rPr>
                <w:sz w:val="15"/>
                <w:szCs w:val="15"/>
              </w:rPr>
              <w:t>Il Gruppo pianifica di sviluppare un numero piuttosto ristretto di grandi progetti. I progetti di sviluppo pianificati dal Gruppo saranno eseguiti per lo più a Tallinn (Estonia), Riga (Lettonia) o Vilnius (Lituania). La concentrazione su un piccolo numero di progetti potrebbe incrementare la volatilità dei risultati del Gruppo.</w:t>
            </w:r>
          </w:p>
          <w:p w14:paraId="52331C9D" w14:textId="77777777" w:rsidR="004976E9" w:rsidRPr="00273ED1" w:rsidRDefault="004976E9" w:rsidP="00E31E69">
            <w:pPr>
              <w:pStyle w:val="Paragraph"/>
              <w:spacing w:before="0" w:after="0"/>
              <w:rPr>
                <w:sz w:val="15"/>
                <w:szCs w:val="15"/>
              </w:rPr>
            </w:pPr>
            <w:r w:rsidRPr="00273ED1">
              <w:rPr>
                <w:sz w:val="15"/>
                <w:szCs w:val="15"/>
              </w:rPr>
              <w:t xml:space="preserve"> Inoltre, tale concentrazione incrementa altresì l’esposizione del Gruppo ai rischi relativi (a) a ognuno dei progetti di sviluppo del Gruppo; o (b) al mercato immobiliare a Tallinn, Riga e Vilnius. Il mancato completamento di uno dei progetti di sviluppo pianificati del Gruppo potrebbe ledere significativamente l’attività, i risultati delle operazioni o la condizione finanziaria del Gruppo.</w:t>
            </w:r>
          </w:p>
          <w:p w14:paraId="0DDD9EB6" w14:textId="77777777" w:rsidR="004976E9" w:rsidRPr="00273ED1" w:rsidRDefault="004976E9" w:rsidP="00E31E69">
            <w:pPr>
              <w:pStyle w:val="Paragraph"/>
              <w:spacing w:before="0" w:after="0"/>
              <w:rPr>
                <w:sz w:val="15"/>
                <w:szCs w:val="15"/>
              </w:rPr>
            </w:pPr>
            <w:r w:rsidRPr="00273ED1">
              <w:rPr>
                <w:b/>
                <w:bCs/>
                <w:i/>
                <w:iCs/>
                <w:sz w:val="15"/>
                <w:szCs w:val="15"/>
                <w:shd w:val="clear" w:color="auto" w:fill="FFFFFF"/>
              </w:rPr>
              <w:t>La lunga durata dei progetti potrebbe comportare imprecisioni nelle previsioni</w:t>
            </w:r>
          </w:p>
          <w:p w14:paraId="0A1E6045" w14:textId="6AA93129" w:rsidR="004976E9" w:rsidRPr="00273ED1" w:rsidRDefault="004976E9" w:rsidP="00E31E69">
            <w:pPr>
              <w:pStyle w:val="Paragraph"/>
              <w:spacing w:before="0" w:after="0"/>
              <w:rPr>
                <w:sz w:val="15"/>
                <w:szCs w:val="15"/>
              </w:rPr>
            </w:pPr>
            <w:r w:rsidRPr="00273ED1">
              <w:rPr>
                <w:sz w:val="15"/>
                <w:szCs w:val="15"/>
                <w:shd w:val="clear" w:color="auto" w:fill="FFFFFF"/>
              </w:rPr>
              <w:t xml:space="preserve">Il Gruppo sviluppa le proprie proprietà sulla base di </w:t>
            </w:r>
            <w:r w:rsidRPr="00273ED1">
              <w:rPr>
                <w:iCs/>
                <w:sz w:val="15"/>
                <w:szCs w:val="15"/>
                <w:shd w:val="clear" w:color="auto" w:fill="FFFFFF"/>
              </w:rPr>
              <w:t xml:space="preserve">piani </w:t>
            </w:r>
            <w:r w:rsidR="00101D08" w:rsidRPr="00273ED1">
              <w:rPr>
                <w:iCs/>
                <w:sz w:val="15"/>
                <w:szCs w:val="15"/>
                <w:shd w:val="clear" w:color="auto" w:fill="FFFFFF"/>
              </w:rPr>
              <w:t>industriali</w:t>
            </w:r>
            <w:r w:rsidR="00101D08" w:rsidRPr="00273ED1">
              <w:rPr>
                <w:sz w:val="15"/>
                <w:szCs w:val="15"/>
                <w:shd w:val="clear" w:color="auto" w:fill="FFFFFF"/>
              </w:rPr>
              <w:t xml:space="preserve"> elaborati</w:t>
            </w:r>
            <w:r w:rsidRPr="00273ED1">
              <w:rPr>
                <w:sz w:val="15"/>
                <w:szCs w:val="15"/>
                <w:shd w:val="clear" w:color="auto" w:fill="FFFFFF"/>
              </w:rPr>
              <w:t xml:space="preserve"> per le rispettive proprietà. </w:t>
            </w:r>
          </w:p>
          <w:p w14:paraId="4A5FFABA" w14:textId="77777777" w:rsidR="004976E9" w:rsidRPr="00273ED1" w:rsidRDefault="004976E9" w:rsidP="00E31E69">
            <w:pPr>
              <w:pStyle w:val="Paragraph"/>
              <w:spacing w:before="0" w:after="0"/>
              <w:rPr>
                <w:sz w:val="15"/>
                <w:szCs w:val="15"/>
              </w:rPr>
            </w:pPr>
            <w:r w:rsidRPr="00273ED1">
              <w:rPr>
                <w:sz w:val="15"/>
                <w:szCs w:val="15"/>
                <w:shd w:val="clear" w:color="auto" w:fill="FFFFFF"/>
              </w:rPr>
              <w:t>Tali piani sono basati, tra l’altro, sule previsioni delle circostanze future. La lunga durata dei progetti complica la previsione dei costi futuri, del reddito, dei prezzi, della necessità di finanziamento e della disponibilità d</w:t>
            </w:r>
            <w:r w:rsidR="009C45DD" w:rsidRPr="00273ED1">
              <w:rPr>
                <w:sz w:val="15"/>
                <w:szCs w:val="15"/>
                <w:shd w:val="clear" w:color="auto" w:fill="FFFFFF"/>
              </w:rPr>
              <w:t xml:space="preserve">ello stesso oltre che di altre </w:t>
            </w:r>
            <w:r w:rsidRPr="00273ED1">
              <w:rPr>
                <w:sz w:val="15"/>
                <w:szCs w:val="15"/>
                <w:shd w:val="clear" w:color="auto" w:fill="FFFFFF"/>
              </w:rPr>
              <w:t>circostanze analoghe relative ai progetti di sviluppo. Nel caso in cui le previsioni del Gruppo siano inesatte, ciò potrebbe ledere significativamente l’attività, i risultati delle operazioni, la condizione finanziaria e la redditività del Gruppo.</w:t>
            </w:r>
          </w:p>
          <w:p w14:paraId="5F228C3B" w14:textId="77777777" w:rsidR="004976E9" w:rsidRPr="00273ED1" w:rsidRDefault="004976E9" w:rsidP="00E31E69">
            <w:pPr>
              <w:pStyle w:val="Paragraph"/>
              <w:spacing w:before="0" w:after="0"/>
              <w:rPr>
                <w:sz w:val="15"/>
                <w:szCs w:val="15"/>
              </w:rPr>
            </w:pPr>
            <w:r w:rsidRPr="00273ED1">
              <w:rPr>
                <w:b/>
                <w:bCs/>
                <w:i/>
                <w:iCs/>
                <w:sz w:val="15"/>
                <w:szCs w:val="15"/>
              </w:rPr>
              <w:t xml:space="preserve">Il valore di mercato delle proprietà d'investimento è soggetto a incertezze e in futuro il valore delle proprietà del Gruppo potrebbe diminuire </w:t>
            </w:r>
          </w:p>
          <w:p w14:paraId="4B6AAB65" w14:textId="77777777" w:rsidR="004976E9" w:rsidRPr="00273ED1" w:rsidRDefault="004976E9" w:rsidP="00E31E69">
            <w:pPr>
              <w:pStyle w:val="Paragraph"/>
              <w:spacing w:before="0" w:after="0"/>
              <w:rPr>
                <w:sz w:val="15"/>
                <w:szCs w:val="15"/>
              </w:rPr>
            </w:pPr>
            <w:r w:rsidRPr="00273ED1">
              <w:rPr>
                <w:sz w:val="15"/>
                <w:szCs w:val="15"/>
                <w:shd w:val="clear" w:color="auto" w:fill="FFFFFF"/>
              </w:rPr>
              <w:t>I cambiamenti nel valore di mercato delle proprietà d'investimento costituiscono uno dei rischi a breve termine del Gruppo. Il valore di mercato delle proprietà d'investimento è influenzato da diversi fattori, ad esempio le condizioni economiche generali e locali, i tassi di interesse, le aspettative d'inflazione, i livelli di affitto del mercato, i tassi di sfitto, i requisiti di rendimento degli investitori e la concorrenza.</w:t>
            </w:r>
          </w:p>
          <w:p w14:paraId="563E141D" w14:textId="77777777" w:rsidR="004976E9" w:rsidRPr="00273ED1" w:rsidRDefault="004976E9" w:rsidP="00E31E69">
            <w:pPr>
              <w:pStyle w:val="Paragraph"/>
              <w:spacing w:before="0" w:after="0"/>
              <w:rPr>
                <w:sz w:val="15"/>
                <w:szCs w:val="15"/>
                <w:shd w:val="clear" w:color="auto" w:fill="FFFFFF"/>
              </w:rPr>
            </w:pPr>
            <w:r w:rsidRPr="00273ED1">
              <w:rPr>
                <w:sz w:val="15"/>
                <w:szCs w:val="15"/>
                <w:shd w:val="clear" w:color="auto" w:fill="FFFFFF"/>
              </w:rPr>
              <w:t xml:space="preserve">I fattori macroeconomici più significativi che influenzano i livelli generali di prezzo delle proprietà sono i tassi di </w:t>
            </w:r>
            <w:r w:rsidR="009C45DD" w:rsidRPr="00273ED1">
              <w:rPr>
                <w:sz w:val="15"/>
                <w:szCs w:val="15"/>
                <w:shd w:val="clear" w:color="auto" w:fill="FFFFFF"/>
              </w:rPr>
              <w:t xml:space="preserve">interesse, la crescita del PI, </w:t>
            </w:r>
            <w:r w:rsidRPr="00273ED1">
              <w:rPr>
                <w:sz w:val="15"/>
                <w:szCs w:val="15"/>
                <w:shd w:val="clear" w:color="auto" w:fill="FFFFFF"/>
              </w:rPr>
              <w:t xml:space="preserve">la spesa del consumatore e l’inflazione. Inoltre, la pianificazione urbanistica e i progetti di costruzione nonché le modifiche nelle dinamiche competitive, potrebbero influenzare il valore delle proprietà. </w:t>
            </w:r>
          </w:p>
          <w:p w14:paraId="26966EE2" w14:textId="77777777" w:rsidR="004976E9" w:rsidRPr="00273ED1" w:rsidRDefault="004976E9" w:rsidP="00E31E69">
            <w:pPr>
              <w:pStyle w:val="Paragraph"/>
              <w:spacing w:before="0" w:after="0"/>
              <w:rPr>
                <w:sz w:val="15"/>
                <w:szCs w:val="15"/>
                <w:shd w:val="clear" w:color="auto" w:fill="FFFFFF"/>
              </w:rPr>
            </w:pPr>
            <w:r w:rsidRPr="00273ED1">
              <w:rPr>
                <w:sz w:val="15"/>
                <w:szCs w:val="15"/>
                <w:shd w:val="clear" w:color="auto" w:fill="FFFFFF"/>
              </w:rPr>
              <w:t>Nella valutazione delle proprie proprietà d'investimento il Gruppo impiega il modello del valore di mercato, perciò le modifiche nel valore di mercato (ossia i guadagni e le perdite del valore di mercato) delle proprietà d'investimento sono rilevati nel prospetto di conto economico complessivo. In una perizia di stima di Colliers International al dicembre 2016 le proprietà del Gruppo sono state valutate con un valore d'investimento pari a 236 milioni di Euro.</w:t>
            </w:r>
          </w:p>
          <w:p w14:paraId="74289F7A" w14:textId="77777777" w:rsidR="004976E9" w:rsidRPr="00273ED1" w:rsidRDefault="004976E9" w:rsidP="00E31E69">
            <w:pPr>
              <w:pStyle w:val="Paragraph"/>
              <w:spacing w:before="0" w:after="0"/>
              <w:rPr>
                <w:sz w:val="15"/>
                <w:szCs w:val="15"/>
              </w:rPr>
            </w:pPr>
            <w:r w:rsidRPr="00273ED1">
              <w:rPr>
                <w:sz w:val="15"/>
                <w:szCs w:val="15"/>
                <w:shd w:val="clear" w:color="auto" w:fill="FFFFFF"/>
              </w:rPr>
              <w:t>Il valore d'investimento di tali proprietà è stato stimato sulla base di tecniche e metodologie che differiscono da quelle utilizzate nel bilancio della Società. Pertanto, i valori di tali proprietà così come rilevati nei Bilanci della Società differiscono significativamente dal loro valore d'investimento come indicato nel rapporto di stima. Il valore d’investimento è stato stimato da Colliers International sulla base di svariati presupposti.  Qualsiasi modifica delle reali circostanze rispetto ai presupposti utilizzati potrebbe comportare un’inesattezza nel valore d’investimento stimato delle proprietà del Gruppo. Il relativo valore delle proprietà potrebbe mutare nel tempo. Pertanto, qualsiasi stima in un secondo momento potrebbe causare una modifica nel valore d’investimento rispetto al valore dell’investimento indicato nel rapporto di stima.</w:t>
            </w:r>
          </w:p>
          <w:p w14:paraId="557B012E" w14:textId="77777777" w:rsidR="004976E9" w:rsidRPr="00273ED1" w:rsidRDefault="004976E9" w:rsidP="00E31E69">
            <w:pPr>
              <w:pStyle w:val="Paragraph"/>
              <w:spacing w:before="0" w:after="0"/>
              <w:rPr>
                <w:sz w:val="15"/>
                <w:szCs w:val="15"/>
              </w:rPr>
            </w:pPr>
            <w:r w:rsidRPr="00273ED1">
              <w:rPr>
                <w:sz w:val="15"/>
                <w:szCs w:val="15"/>
              </w:rPr>
              <w:t>Le modifiche nel valore di m</w:t>
            </w:r>
            <w:r w:rsidRPr="00273ED1">
              <w:rPr>
                <w:sz w:val="15"/>
                <w:szCs w:val="15"/>
                <w:shd w:val="clear" w:color="auto" w:fill="FFFFFF"/>
              </w:rPr>
              <w:t>ercato delle proprietà d'investimento hanno un impatto sulla dichiarazione del reddito complessivo e sulla dichiarazione di posizione finanziaria della Società per l’esercizio finanziario, ma non hanno un effetto diretto sul rendiconto fin</w:t>
            </w:r>
            <w:r w:rsidRPr="00273ED1">
              <w:rPr>
                <w:sz w:val="15"/>
                <w:szCs w:val="15"/>
              </w:rPr>
              <w:t xml:space="preserve">anziario. Rilevanti perdite di valore di mercato delle proprietà d'investimento potrebbero ledere l’attività, i risultati delle operazioni e la posizione finanziaria della Società. </w:t>
            </w:r>
          </w:p>
          <w:p w14:paraId="6AE93745" w14:textId="77777777" w:rsidR="004976E9" w:rsidRPr="00273ED1" w:rsidRDefault="004976E9" w:rsidP="00E31E69">
            <w:pPr>
              <w:pStyle w:val="Paragraph"/>
              <w:spacing w:before="0" w:after="0"/>
              <w:rPr>
                <w:sz w:val="15"/>
                <w:szCs w:val="15"/>
              </w:rPr>
            </w:pPr>
            <w:r w:rsidRPr="00273ED1">
              <w:rPr>
                <w:b/>
                <w:bCs/>
                <w:i/>
                <w:iCs/>
                <w:sz w:val="15"/>
                <w:szCs w:val="15"/>
              </w:rPr>
              <w:t>Il Gruppo potrebbe non avere sufficiente copertura assicurativa o specifiche riserve per l’indennizzo dei danni</w:t>
            </w:r>
          </w:p>
          <w:p w14:paraId="0FFA520C" w14:textId="77777777" w:rsidR="004976E9" w:rsidRPr="00273ED1" w:rsidRDefault="004976E9" w:rsidP="00E31E69">
            <w:pPr>
              <w:pStyle w:val="Paragraph"/>
              <w:spacing w:before="0" w:after="0"/>
              <w:rPr>
                <w:sz w:val="15"/>
                <w:szCs w:val="15"/>
              </w:rPr>
            </w:pPr>
            <w:r w:rsidRPr="00273ED1">
              <w:rPr>
                <w:sz w:val="15"/>
                <w:szCs w:val="15"/>
              </w:rPr>
              <w:t xml:space="preserve">Il Gruppo ha sottoscritto un'assicurazione contro svariati danni e perdite. Tuttavia, la copertura assicurativa è soggetta a limiti e limitazioni e svariati rischi (ad esempio alcuni disastri naturali e atti terroristici) non sono coperti dall’assicurazione per svariate ragioni (ad esempio in quanto tali rischi non sono assicurabili o il costo dell’assicurazione è, secondo il parere dell’Organo Amministrativo, troppo alto se paragonata al rischio). </w:t>
            </w:r>
          </w:p>
          <w:p w14:paraId="112A5321" w14:textId="1B9AA5F5" w:rsidR="004976E9" w:rsidRPr="00273ED1" w:rsidRDefault="004976E9" w:rsidP="00E31E69">
            <w:pPr>
              <w:pStyle w:val="Paragraph"/>
              <w:spacing w:before="0" w:after="0"/>
              <w:rPr>
                <w:sz w:val="15"/>
                <w:szCs w:val="15"/>
              </w:rPr>
            </w:pPr>
            <w:r w:rsidRPr="00273ED1">
              <w:rPr>
                <w:sz w:val="15"/>
                <w:szCs w:val="15"/>
              </w:rPr>
              <w:t xml:space="preserve">La Società ritiene che la propria assicurazione sia in linea con le prassi standard del settore. Tuttavia, tale assicurazione potrebbe non essere sufficiente a </w:t>
            </w:r>
            <w:r w:rsidR="009F0FFA" w:rsidRPr="00273ED1">
              <w:rPr>
                <w:sz w:val="15"/>
                <w:szCs w:val="15"/>
              </w:rPr>
              <w:t>tenere il</w:t>
            </w:r>
            <w:r w:rsidRPr="00273ED1">
              <w:rPr>
                <w:sz w:val="15"/>
                <w:szCs w:val="15"/>
              </w:rPr>
              <w:t xml:space="preserve"> Gruppo completamente </w:t>
            </w:r>
            <w:r w:rsidR="009F0FFA" w:rsidRPr="00273ED1">
              <w:rPr>
                <w:sz w:val="15"/>
                <w:szCs w:val="15"/>
              </w:rPr>
              <w:t>indenne da</w:t>
            </w:r>
            <w:r w:rsidRPr="00273ED1">
              <w:rPr>
                <w:sz w:val="15"/>
                <w:szCs w:val="15"/>
              </w:rPr>
              <w:t xml:space="preserve"> tutte </w:t>
            </w:r>
            <w:r w:rsidR="009F0FFA" w:rsidRPr="00273ED1">
              <w:rPr>
                <w:sz w:val="15"/>
                <w:szCs w:val="15"/>
              </w:rPr>
              <w:t>le perdite</w:t>
            </w:r>
            <w:r w:rsidRPr="00273ED1">
              <w:rPr>
                <w:sz w:val="15"/>
                <w:szCs w:val="15"/>
              </w:rPr>
              <w:t>. Ad esempio, qualora l’assicurazione sia adeguata a coprire le perdite dirette del Gruppo, il Gruppo potrebbe essere soggetto al lucro cessante causato da o relativo alle proprietà. Il verificarsi di uno degli effetti dannosi sopra menzionati o l’insufficiente</w:t>
            </w:r>
          </w:p>
          <w:p w14:paraId="1FC3D861" w14:textId="16DD794E" w:rsidR="004976E9" w:rsidRPr="00273ED1" w:rsidRDefault="00CE6687" w:rsidP="00101D08">
            <w:pPr>
              <w:pStyle w:val="Paragraph"/>
              <w:tabs>
                <w:tab w:val="left" w:pos="709"/>
              </w:tabs>
              <w:spacing w:before="0" w:after="0"/>
              <w:ind w:left="709"/>
              <w:rPr>
                <w:sz w:val="15"/>
                <w:szCs w:val="15"/>
              </w:rPr>
            </w:pPr>
            <w:r w:rsidRPr="00273ED1">
              <w:rPr>
                <w:sz w:val="15"/>
                <w:szCs w:val="15"/>
              </w:rPr>
              <w:t xml:space="preserve">copertura assicurativa </w:t>
            </w:r>
            <w:r w:rsidR="004976E9" w:rsidRPr="00273ED1">
              <w:rPr>
                <w:sz w:val="15"/>
                <w:szCs w:val="15"/>
              </w:rPr>
              <w:t>potrebbe provocare una perdita dei fondi investiti e dei redditi futuri e la costituzione di ulteriori obblighi e passività per il Gruppo</w:t>
            </w:r>
            <w:r w:rsidR="00717392" w:rsidRPr="00273ED1">
              <w:rPr>
                <w:sz w:val="15"/>
                <w:szCs w:val="15"/>
              </w:rPr>
              <w:t>,</w:t>
            </w:r>
            <w:r w:rsidR="004976E9" w:rsidRPr="00273ED1">
              <w:rPr>
                <w:sz w:val="15"/>
                <w:szCs w:val="15"/>
              </w:rPr>
              <w:t xml:space="preserve"> e</w:t>
            </w:r>
          </w:p>
          <w:p w14:paraId="3750CE57" w14:textId="77777777" w:rsidR="004976E9" w:rsidRPr="00273ED1" w:rsidRDefault="004976E9" w:rsidP="00E31E69">
            <w:pPr>
              <w:pStyle w:val="Paragraph"/>
              <w:numPr>
                <w:ilvl w:val="0"/>
                <w:numId w:val="2"/>
              </w:numPr>
              <w:tabs>
                <w:tab w:val="left" w:pos="709"/>
              </w:tabs>
              <w:spacing w:before="0" w:after="0"/>
              <w:rPr>
                <w:sz w:val="15"/>
                <w:szCs w:val="15"/>
              </w:rPr>
            </w:pPr>
            <w:r w:rsidRPr="00273ED1">
              <w:rPr>
                <w:sz w:val="15"/>
                <w:szCs w:val="15"/>
              </w:rPr>
              <w:t>potrebbe ledere sostanzialmente l’attività, i risultati delle operazioni, la redditività e le condizioni finanziarie del Gruppo.</w:t>
            </w:r>
          </w:p>
          <w:p w14:paraId="3208B5ED" w14:textId="77777777" w:rsidR="004976E9" w:rsidRPr="00273ED1" w:rsidRDefault="004976E9" w:rsidP="00E31E69">
            <w:pPr>
              <w:pStyle w:val="Paragraph"/>
              <w:spacing w:before="0" w:after="0"/>
              <w:rPr>
                <w:sz w:val="15"/>
                <w:szCs w:val="15"/>
              </w:rPr>
            </w:pPr>
            <w:r w:rsidRPr="00273ED1">
              <w:rPr>
                <w:sz w:val="15"/>
                <w:szCs w:val="15"/>
              </w:rPr>
              <w:t xml:space="preserve">Il Gruppo non mantiene fondi separati né accantona riserve a copertura delle tipologie di eventi sopra menzionati. </w:t>
            </w:r>
          </w:p>
          <w:p w14:paraId="1338022B" w14:textId="77777777" w:rsidR="004976E9" w:rsidRPr="00273ED1" w:rsidRDefault="004976E9" w:rsidP="00E31E69">
            <w:pPr>
              <w:pStyle w:val="Paragraph"/>
              <w:spacing w:before="0" w:after="0"/>
              <w:rPr>
                <w:sz w:val="15"/>
                <w:szCs w:val="15"/>
              </w:rPr>
            </w:pPr>
            <w:r w:rsidRPr="00273ED1">
              <w:rPr>
                <w:b/>
                <w:bCs/>
                <w:i/>
                <w:iCs/>
                <w:sz w:val="15"/>
                <w:szCs w:val="15"/>
                <w:shd w:val="clear" w:color="auto" w:fill="FFFFFF"/>
              </w:rPr>
              <w:t>Il Gruppo si appoggia a terzi costruttori</w:t>
            </w:r>
          </w:p>
          <w:p w14:paraId="66B7E085" w14:textId="77777777" w:rsidR="004976E9" w:rsidRPr="00273ED1" w:rsidRDefault="004976E9" w:rsidP="00E31E69">
            <w:pPr>
              <w:pStyle w:val="Paragraph"/>
              <w:spacing w:before="0" w:after="0"/>
              <w:rPr>
                <w:sz w:val="15"/>
                <w:szCs w:val="15"/>
              </w:rPr>
            </w:pPr>
            <w:r w:rsidRPr="00273ED1">
              <w:rPr>
                <w:sz w:val="15"/>
                <w:szCs w:val="15"/>
                <w:shd w:val="clear" w:color="auto" w:fill="FFFFFF"/>
              </w:rPr>
              <w:t xml:space="preserve">Il Gruppo si appoggia a terzi costruttori. Nel caso in cui Gruppo non possa stipulare contratti di progettazione e costruzione con terzi costruttori a condizioni accettabili o non possa concordare modifiche ragionevoli  ai contratti di progettazione e costruzioni conclusi o i terzi costruttori violino tali contratti o i propri obblighi derivanti da disposizioni imperative di legge, inclusi i requisiti che sono precondizioni per la validità del permesso di costruire (così come – l’ininterrotta polizza assicurativa di responsabilità del costruttore durante tutto il periodo di validità del permesso di costruire), per qualsiasi altra ragione, il Gruppo potrebbe dover sostenere ulteriori </w:t>
            </w:r>
            <w:r w:rsidRPr="00273ED1">
              <w:rPr>
                <w:sz w:val="15"/>
                <w:szCs w:val="15"/>
                <w:shd w:val="clear" w:color="auto" w:fill="FFFFFF"/>
              </w:rPr>
              <w:lastRenderedPageBreak/>
              <w:t>costi, subire perdite o perdere i guad</w:t>
            </w:r>
            <w:r w:rsidR="00436967" w:rsidRPr="00273ED1">
              <w:rPr>
                <w:sz w:val="15"/>
                <w:szCs w:val="15"/>
                <w:shd w:val="clear" w:color="auto" w:fill="FFFFFF"/>
              </w:rPr>
              <w:t xml:space="preserve">agni previsti. Tali violazioni </w:t>
            </w:r>
            <w:r w:rsidRPr="00273ED1">
              <w:rPr>
                <w:sz w:val="15"/>
                <w:szCs w:val="15"/>
                <w:shd w:val="clear" w:color="auto" w:fill="FFFFFF"/>
              </w:rPr>
              <w:t>potrebbero anche provocare un ritardo nel completamento del relativo progetto di sviluppo.  Tali eventi potrebbero ledere l’attività, i risultati delle operazioni, la condizione finanziaria e la redditività del Gruppo.</w:t>
            </w:r>
          </w:p>
          <w:p w14:paraId="372D314C" w14:textId="77777777" w:rsidR="004976E9" w:rsidRPr="00273ED1" w:rsidRDefault="004976E9" w:rsidP="00E31E69">
            <w:pPr>
              <w:pStyle w:val="Paragraph"/>
              <w:spacing w:before="0" w:after="0"/>
              <w:rPr>
                <w:sz w:val="15"/>
                <w:szCs w:val="15"/>
              </w:rPr>
            </w:pPr>
            <w:r w:rsidRPr="00273ED1">
              <w:rPr>
                <w:sz w:val="15"/>
                <w:szCs w:val="15"/>
              </w:rPr>
              <w:t>Inoltre, ai sensi della legge lituana, in caso di fallimento o liquidazione dell'appaltatore, il promotore del progetto immobiliare sarà ritenuto responsabile nei confronti degli acquirenti dell’immobile di ogni vizio emerso durante il periodo di garanzia e dovuto a un inadempimento dell'appaltatore. Ai sensi dell’applicabile legge lituana, il periodo di garanzia per le costruzioni è di 5 anni per le opere visibili (ad esempio lavori visibili, quali il tetto, le finestre, le porte, la facciata, i muri), e 10 anni per le opere non visibili (ossia le opere che richiedono una specifica valutazione, quali le reti ingegneristiche, l'isolamento etc.) e un determinato periodo di tempo (normalmente tra 1 e 5 anni) specificato dal produttore per gli elementi installati (riscaldamento, elettricità, sistemi, etc.). Pertanto, in caso di fallimento o liquidazione di un costruttore lituano delle Società del Gruppo, esse potrebbero essere ritenute responsabili come sopra indicato, il che potrebbe ledere significativamente i risultati delle operazioni e la condizione finanziaria del Gruppo.</w:t>
            </w:r>
          </w:p>
          <w:p w14:paraId="5BC9086D" w14:textId="77777777" w:rsidR="004976E9" w:rsidRPr="00273ED1" w:rsidRDefault="004976E9" w:rsidP="00E31E69">
            <w:pPr>
              <w:pStyle w:val="Paragraph"/>
              <w:spacing w:before="0" w:after="0"/>
              <w:rPr>
                <w:sz w:val="15"/>
                <w:szCs w:val="15"/>
              </w:rPr>
            </w:pPr>
            <w:r w:rsidRPr="00273ED1">
              <w:rPr>
                <w:b/>
                <w:bCs/>
                <w:i/>
                <w:iCs/>
                <w:sz w:val="15"/>
                <w:szCs w:val="15"/>
                <w:shd w:val="clear" w:color="auto" w:fill="FFFFFF"/>
              </w:rPr>
              <w:t xml:space="preserve">Nel caso non riesca a raccogliere il capitale aggiuntivo o non riesca a soddisfare i debiti arretrati, il Gruppo non sarà in grado di sviluppare i propri progetti secondo i propri programmi </w:t>
            </w:r>
          </w:p>
          <w:p w14:paraId="4A5512F1" w14:textId="77777777" w:rsidR="004976E9" w:rsidRPr="00273ED1" w:rsidRDefault="004976E9" w:rsidP="00E31E69">
            <w:pPr>
              <w:pStyle w:val="Paragraph"/>
              <w:spacing w:before="0" w:after="0"/>
              <w:rPr>
                <w:sz w:val="15"/>
                <w:szCs w:val="15"/>
              </w:rPr>
            </w:pPr>
            <w:r w:rsidRPr="00273ED1">
              <w:rPr>
                <w:sz w:val="15"/>
                <w:szCs w:val="15"/>
                <w:shd w:val="clear" w:color="auto" w:fill="FFFFFF"/>
              </w:rPr>
              <w:t>Il Gruppo opera nell’industria a capitale intensivo e necessita di un considerevole capitale circo</w:t>
            </w:r>
            <w:r w:rsidR="00436967" w:rsidRPr="00273ED1">
              <w:rPr>
                <w:sz w:val="15"/>
                <w:szCs w:val="15"/>
                <w:shd w:val="clear" w:color="auto" w:fill="FFFFFF"/>
              </w:rPr>
              <w:t xml:space="preserve">lante per </w:t>
            </w:r>
            <w:r w:rsidRPr="00273ED1">
              <w:rPr>
                <w:sz w:val="15"/>
                <w:szCs w:val="15"/>
                <w:shd w:val="clear" w:color="auto" w:fill="FFFFFF"/>
              </w:rPr>
              <w:t>sostenere l’acquisizione e lo sviluppo delle proprietà. Pertanto, qualora il flusso di cassa generato internamente o il flusso di cassa ricevuto dalle vendite degli immobili sviluppati sia diverso da quanto previsto ovvero qualora il denaro reso disponibile da finanziatori locali e globali sia sotto pressione di liquidità, ciò potrebbe ledere significativamente l’attività, i risultati delle operazioni e le condizioni finanziarie del Gruppo.</w:t>
            </w:r>
          </w:p>
          <w:p w14:paraId="3CC47D1F" w14:textId="77777777" w:rsidR="004976E9" w:rsidRPr="00273ED1" w:rsidRDefault="004976E9" w:rsidP="00E31E69">
            <w:pPr>
              <w:pStyle w:val="Paragraph"/>
              <w:spacing w:before="0" w:after="0"/>
              <w:rPr>
                <w:sz w:val="15"/>
                <w:szCs w:val="15"/>
              </w:rPr>
            </w:pPr>
            <w:r w:rsidRPr="00273ED1">
              <w:rPr>
                <w:sz w:val="15"/>
                <w:szCs w:val="15"/>
              </w:rPr>
              <w:t xml:space="preserve">Al 31 dicembre 2016 il rapporto del debito del Gruppo e </w:t>
            </w:r>
            <w:r w:rsidR="00436967" w:rsidRPr="00273ED1">
              <w:rPr>
                <w:sz w:val="15"/>
                <w:szCs w:val="15"/>
              </w:rPr>
              <w:t>l’</w:t>
            </w:r>
            <w:r w:rsidRPr="00273ED1">
              <w:rPr>
                <w:sz w:val="15"/>
                <w:szCs w:val="15"/>
              </w:rPr>
              <w:t>attivo totale era del 43,6 percento. I progetti devono essere posticipati se il Gruppo non riesce a raccogliere il capitale necessario (ad esempio se sono disponibili soltanto un numero limitato di finanziamenti a condizioni commercialmente attraenti).</w:t>
            </w:r>
          </w:p>
          <w:p w14:paraId="5900D25F" w14:textId="77777777" w:rsidR="004976E9" w:rsidRPr="00273ED1" w:rsidRDefault="004976E9" w:rsidP="00E31E69">
            <w:pPr>
              <w:pStyle w:val="Paragraph"/>
              <w:spacing w:before="0" w:after="0"/>
              <w:rPr>
                <w:sz w:val="15"/>
                <w:szCs w:val="15"/>
              </w:rPr>
            </w:pPr>
            <w:r w:rsidRPr="00273ED1">
              <w:rPr>
                <w:sz w:val="15"/>
                <w:szCs w:val="15"/>
              </w:rPr>
              <w:t>A meno che il Gruppo riesca a raccogliere il capitale necessario, lo stesso non sarà in grado di svolgere la propria attività così come programmata. La capacità del Gruppo di reperire ulteriore capitale e i termini e condizioni dello stesso, nonché la capacità del Gruppo di effettuare i pagamenti per il proprio indebitamento, dipendono da svariati fattori, inclusi fattori sui quali il Gruppo non ha alcun controllo (ad esempio le condizioni economiche generali e di mercato, fattori finanziari e commerciali, etc.).</w:t>
            </w:r>
          </w:p>
          <w:p w14:paraId="0F9364A0" w14:textId="77777777" w:rsidR="004976E9" w:rsidRPr="00273ED1" w:rsidRDefault="004976E9" w:rsidP="00E31E69">
            <w:pPr>
              <w:pStyle w:val="Paragraph"/>
              <w:spacing w:before="0" w:after="0"/>
              <w:rPr>
                <w:sz w:val="15"/>
                <w:szCs w:val="15"/>
              </w:rPr>
            </w:pPr>
            <w:r w:rsidRPr="00273ED1">
              <w:rPr>
                <w:sz w:val="15"/>
                <w:szCs w:val="15"/>
              </w:rPr>
              <w:t xml:space="preserve">L’indebitamento esistente e la necessità di reperire ulteriore capitale diminuiscono anche la flessibilità del Gruppo nella pianificazione della propria attività e nell’attuazione dei propri progetti e pongono il Gruppo in uno svantaggio competitivo relativamente ai suoi concorrenti aventi un indebitamento inferiore. Qualora il Gruppo non riesca a soddisfare, rifinanziare, ristrutturare il proprio indebitamento, potrebbe dover vendere le proprie attività o reperire ulteriore capitale. Il Gruppo potrebbe non essere in grado di realizzare ciò a condizioni favorevoli o accettabili per il Gruppo. Nel caso in cui il Gruppo non riesca a reperire l’ulteriore capitale necessario, lo stesso non sarà in grado di attuare i propri progetti di sviluppo secondo i programmi. Qualora il Gruppo non riesca a soddisfare, rifinanziare o ristrutturare il proprio indebitamento o a reperire ulteriore capitale (sia di debito che capitale proprio), ciò potrebbe ledere sostanzialmente l’attività, i risultati delle operazioni, la redditività e la condizione finanziaria del Gruppo.   </w:t>
            </w:r>
          </w:p>
          <w:p w14:paraId="248806FF" w14:textId="2D5F2574" w:rsidR="004976E9" w:rsidRPr="00273ED1" w:rsidRDefault="004976E9" w:rsidP="00E31E69">
            <w:pPr>
              <w:pStyle w:val="Paragraph"/>
              <w:spacing w:before="0" w:after="0"/>
              <w:rPr>
                <w:b/>
                <w:bCs/>
                <w:i/>
                <w:iCs/>
                <w:sz w:val="15"/>
                <w:szCs w:val="15"/>
              </w:rPr>
            </w:pPr>
            <w:r w:rsidRPr="00273ED1">
              <w:rPr>
                <w:b/>
                <w:bCs/>
                <w:i/>
                <w:iCs/>
                <w:sz w:val="15"/>
                <w:szCs w:val="15"/>
              </w:rPr>
              <w:t>Il Gruppo deve onorare le varie obbligazioni derivanti dai contratti di finanziamento</w:t>
            </w:r>
            <w:r w:rsidR="00101D08" w:rsidRPr="00273ED1">
              <w:rPr>
                <w:b/>
                <w:bCs/>
                <w:i/>
                <w:iCs/>
                <w:sz w:val="15"/>
                <w:szCs w:val="15"/>
              </w:rPr>
              <w:t xml:space="preserve"> </w:t>
            </w:r>
            <w:r w:rsidR="00F337AB" w:rsidRPr="00273ED1">
              <w:rPr>
                <w:b/>
                <w:bCs/>
                <w:i/>
                <w:iCs/>
                <w:sz w:val="15"/>
                <w:szCs w:val="15"/>
              </w:rPr>
              <w:t>e dagli strumenti finanziari</w:t>
            </w:r>
            <w:r w:rsidRPr="00273ED1">
              <w:rPr>
                <w:b/>
                <w:bCs/>
                <w:i/>
                <w:iCs/>
                <w:sz w:val="15"/>
                <w:szCs w:val="15"/>
              </w:rPr>
              <w:t xml:space="preserve">. L'eventuale inadempimento potrebbe causare al Gruppo la perdita dei propri diritti sulle proprie attività </w:t>
            </w:r>
          </w:p>
          <w:p w14:paraId="1181394F" w14:textId="40C2DAF0" w:rsidR="004976E9" w:rsidRPr="00273ED1" w:rsidRDefault="004976E9" w:rsidP="00E31E69">
            <w:pPr>
              <w:pStyle w:val="Paragraph"/>
              <w:keepNext/>
              <w:spacing w:before="0" w:after="0"/>
              <w:rPr>
                <w:sz w:val="15"/>
                <w:szCs w:val="15"/>
              </w:rPr>
            </w:pPr>
            <w:r w:rsidRPr="00273ED1">
              <w:rPr>
                <w:sz w:val="15"/>
                <w:szCs w:val="15"/>
              </w:rPr>
              <w:t>Il Gruppo ha reperito un f</w:t>
            </w:r>
            <w:r w:rsidR="00F337AB" w:rsidRPr="00273ED1">
              <w:rPr>
                <w:sz w:val="15"/>
                <w:szCs w:val="15"/>
              </w:rPr>
              <w:t>inanziamento del debito esterno</w:t>
            </w:r>
            <w:r w:rsidRPr="00273ED1">
              <w:rPr>
                <w:sz w:val="15"/>
                <w:szCs w:val="15"/>
              </w:rPr>
              <w:t xml:space="preserve"> attraverso un prestito da parte di istituti di credito secondo differenti contratti di finanziamento e mediante l’emissione di </w:t>
            </w:r>
            <w:r w:rsidR="00782E03" w:rsidRPr="00273ED1">
              <w:rPr>
                <w:sz w:val="15"/>
                <w:szCs w:val="15"/>
              </w:rPr>
              <w:t xml:space="preserve">obbligazioni e </w:t>
            </w:r>
            <w:r w:rsidRPr="00273ED1">
              <w:rPr>
                <w:sz w:val="15"/>
                <w:szCs w:val="15"/>
              </w:rPr>
              <w:t xml:space="preserve">obbligazioni </w:t>
            </w:r>
            <w:r w:rsidR="00101D08" w:rsidRPr="00273ED1">
              <w:rPr>
                <w:sz w:val="15"/>
                <w:szCs w:val="15"/>
              </w:rPr>
              <w:t>convertibili (</w:t>
            </w:r>
            <w:r w:rsidR="00782E03" w:rsidRPr="00273ED1">
              <w:rPr>
                <w:sz w:val="15"/>
                <w:szCs w:val="15"/>
              </w:rPr>
              <w:t>i “contratti di finanziamento”)</w:t>
            </w:r>
            <w:r w:rsidRPr="00273ED1">
              <w:rPr>
                <w:sz w:val="15"/>
                <w:szCs w:val="15"/>
              </w:rPr>
              <w:t>. Tali contratti di finanziamento stabiliscono diverse obbligazioni negative e positive e i requisiti per ottenere il cons</w:t>
            </w:r>
            <w:r w:rsidR="00782E03" w:rsidRPr="00273ED1">
              <w:rPr>
                <w:sz w:val="15"/>
                <w:szCs w:val="15"/>
              </w:rPr>
              <w:t>enso dei creditor</w:t>
            </w:r>
            <w:r w:rsidRPr="00273ED1">
              <w:rPr>
                <w:sz w:val="15"/>
                <w:szCs w:val="15"/>
              </w:rPr>
              <w:t>i per determinati atti, inclusi, tra gli altri,  per ottenere ulteriori finanziamenti, fornire garanzie o creare gravami sui propri beni, stipulare una locazione, un affitto o altri contratti riguardanti i beni gravati che concedono diritti a terzi, le modifiche nella struttura aziendale del Gruppo, le fusioni con un’ altra società, le modifiche nel capitale delle società del Gruppo, le modifiche nelle maggiori aree di attività delle società del Gruppo o nelle competenze dell’Organo Amministrativo, l’effettuazione di investimenti ad altre imprese o il trasferimento di attività o parti di esse. Alcuni contratti di finanziamento delle società del Gruppo prevedono inoltre l’obbligo della relativa società del Gruppo di mantenere alcuni livelli finanziari e indici per tutta la durata di tali contratti</w:t>
            </w:r>
            <w:r w:rsidR="00782E03" w:rsidRPr="00273ED1">
              <w:rPr>
                <w:sz w:val="15"/>
                <w:szCs w:val="15"/>
              </w:rPr>
              <w:t xml:space="preserve"> di finanziamento</w:t>
            </w:r>
            <w:r w:rsidRPr="00273ED1">
              <w:rPr>
                <w:sz w:val="15"/>
                <w:szCs w:val="15"/>
              </w:rPr>
              <w:t>.</w:t>
            </w:r>
          </w:p>
          <w:p w14:paraId="258048EB" w14:textId="77777777" w:rsidR="004976E9" w:rsidRPr="00273ED1" w:rsidRDefault="004976E9" w:rsidP="00E31E69">
            <w:pPr>
              <w:rPr>
                <w:rFonts w:ascii="Arial" w:hAnsi="Arial"/>
                <w:sz w:val="15"/>
                <w:szCs w:val="15"/>
              </w:rPr>
            </w:pPr>
            <w:r w:rsidRPr="00273ED1">
              <w:rPr>
                <w:rFonts w:ascii="Arial" w:hAnsi="Arial"/>
                <w:sz w:val="15"/>
                <w:szCs w:val="15"/>
              </w:rPr>
              <w:t>I contratti di finanziamento del Gruppo prescrivono che qualora una delle obbligazioni positive o negative sia violata o qualora il consenso del finanziatore non sia ottenuto prima di un’operazione come richiesto, tale violazione costituisce un inadempime</w:t>
            </w:r>
            <w:r w:rsidR="00782E03" w:rsidRPr="00273ED1">
              <w:rPr>
                <w:rFonts w:ascii="Arial" w:hAnsi="Arial"/>
                <w:sz w:val="15"/>
                <w:szCs w:val="15"/>
              </w:rPr>
              <w:t>nto essenziale e il creditore</w:t>
            </w:r>
            <w:r w:rsidRPr="00273ED1">
              <w:rPr>
                <w:rFonts w:ascii="Arial" w:hAnsi="Arial"/>
                <w:sz w:val="15"/>
                <w:szCs w:val="15"/>
              </w:rPr>
              <w:t xml:space="preserve"> potrebbe far decadere dal beneficio del termine i pagamenti </w:t>
            </w:r>
            <w:r w:rsidR="00E35A25" w:rsidRPr="00273ED1">
              <w:rPr>
                <w:rFonts w:ascii="Arial" w:hAnsi="Arial"/>
                <w:sz w:val="15"/>
                <w:szCs w:val="15"/>
              </w:rPr>
              <w:t>del</w:t>
            </w:r>
            <w:r w:rsidR="00502E46" w:rsidRPr="00273ED1">
              <w:rPr>
                <w:rFonts w:ascii="Arial" w:hAnsi="Arial"/>
                <w:sz w:val="15"/>
                <w:szCs w:val="15"/>
              </w:rPr>
              <w:t>le società del</w:t>
            </w:r>
            <w:r w:rsidR="00E35A25" w:rsidRPr="00273ED1">
              <w:rPr>
                <w:rFonts w:ascii="Arial" w:hAnsi="Arial"/>
                <w:sz w:val="15"/>
                <w:szCs w:val="15"/>
              </w:rPr>
              <w:t xml:space="preserve"> Gruppo </w:t>
            </w:r>
            <w:r w:rsidRPr="00273ED1">
              <w:rPr>
                <w:rFonts w:ascii="Arial" w:hAnsi="Arial"/>
                <w:sz w:val="15"/>
                <w:szCs w:val="15"/>
              </w:rPr>
              <w:t>nonché usare altri mezzi di tutela previsti dal contratto o dalla legge (per esempio, penali contrattuali e/o risarcimento danni). I contratti di finanziamento conclusi dalle società del Gruppo contengono varie ulteriori ipotesi d'inadempimento, comprese le disposizioni sull’inadempimento indiretto, ai sensi delle quali il Gruppo è esposto ai rischi d'inadempimento sulla base delle prestazioni contrattuali ai sensi di altri contratti coi rispettivi finanziatori o con altri creditori. Inoltre, ai sensi dei contratti di finanziamento, qualora il mutuatario assuma significativi ulteriori obblighi finanziari o qualora si verifichi un cambio di controllo nel mutuatario senza il preventivo consenso del finanziatore, ciò costituisce un caso di inadempimento.</w:t>
            </w:r>
          </w:p>
          <w:p w14:paraId="457A2235" w14:textId="77777777" w:rsidR="004976E9" w:rsidRPr="00273ED1" w:rsidRDefault="004976E9" w:rsidP="00E31E69">
            <w:pPr>
              <w:rPr>
                <w:rFonts w:ascii="Arial" w:hAnsi="Arial"/>
                <w:sz w:val="15"/>
                <w:szCs w:val="15"/>
              </w:rPr>
            </w:pPr>
            <w:r w:rsidRPr="00273ED1">
              <w:rPr>
                <w:rFonts w:ascii="Arial" w:hAnsi="Arial"/>
                <w:sz w:val="15"/>
                <w:szCs w:val="15"/>
              </w:rPr>
              <w:t>Inoltre, i contratti di finanziamento del Gruppo impongono alle società del Gruppo di dare in garanzia i propri beni (incluse le proprietà immobiliari, le azioni delle controllate e altre attività). La maggior parte delle proprietà immobiliari del Gruppo è stata gravato da ipoteche a beneficio dei relativi finanziatori. Alcuni pegni e ipoteche garantiscono altresì tutte le azioni giudiziarie esistenti e potenziali del finanziatore nei confronti di altre società del Gruppo. Il mancato rispetto dei contratti di finanziamento potrebbe comportare che il Gruppo perda i propri diritti su o la proprietà dei beni dati in garanzia o che il Gruppo sia costretto a vendere tali beni a condizioni sfavorevoli (ad esempio ad un prezzo inferiore al valore di mercato e al debito r</w:t>
            </w:r>
            <w:r w:rsidR="00E35A25" w:rsidRPr="00273ED1">
              <w:rPr>
                <w:rFonts w:ascii="Arial" w:hAnsi="Arial"/>
                <w:sz w:val="15"/>
                <w:szCs w:val="15"/>
              </w:rPr>
              <w:t xml:space="preserve">esiduo, mantenendo in tal modo </w:t>
            </w:r>
            <w:r w:rsidRPr="00273ED1">
              <w:rPr>
                <w:rFonts w:ascii="Arial" w:hAnsi="Arial"/>
                <w:sz w:val="15"/>
                <w:szCs w:val="15"/>
              </w:rPr>
              <w:t xml:space="preserve">ulteriori passività parziali verso i finanziatori per particolari proprietà). </w:t>
            </w:r>
          </w:p>
          <w:p w14:paraId="797F25FD" w14:textId="77777777" w:rsidR="004976E9" w:rsidRPr="00273ED1" w:rsidRDefault="004976E9" w:rsidP="00E31E69">
            <w:pPr>
              <w:rPr>
                <w:rFonts w:ascii="Arial" w:hAnsi="Arial"/>
                <w:sz w:val="15"/>
                <w:szCs w:val="15"/>
              </w:rPr>
            </w:pPr>
            <w:r w:rsidRPr="00273ED1">
              <w:rPr>
                <w:rFonts w:ascii="Arial" w:hAnsi="Arial"/>
                <w:sz w:val="15"/>
                <w:szCs w:val="15"/>
              </w:rPr>
              <w:t xml:space="preserve">Per di più, alcune società del Gruppo (inclusa la Società) hanno emesso lettere di garanzia per garantire l'adempimento degli obblighi del Gruppo derivanti dai contratti di finanziamento. Ciò consente all’istituto di credito, qualora il mutuatario non riesca ad adempiere ai propri doveri ai sensi del contratto di finanziamento, di richiedere l'adempimento dei contratti di finanziamento all’emittente di tale garanzia (ad esempio la Società). Di conseguenza, l'intero Gruppo è esposto ai rischi di inadempimento delle obbligazioni nascenti dai contratti di finanziamento da parte delle controllate. </w:t>
            </w:r>
          </w:p>
          <w:p w14:paraId="1DE159D7" w14:textId="77777777" w:rsidR="004976E9" w:rsidRPr="00273ED1" w:rsidRDefault="004976E9" w:rsidP="00E31E69">
            <w:pPr>
              <w:rPr>
                <w:rFonts w:ascii="Arial" w:hAnsi="Arial"/>
                <w:sz w:val="15"/>
                <w:szCs w:val="15"/>
              </w:rPr>
            </w:pPr>
            <w:r w:rsidRPr="00273ED1">
              <w:rPr>
                <w:rFonts w:ascii="Arial" w:hAnsi="Arial"/>
                <w:sz w:val="15"/>
                <w:szCs w:val="15"/>
              </w:rPr>
              <w:t>Inoltre, alcuni contratti di finanziamento conclusi dalle società del Gruppo stabiliscono che tutti i finanziamenti emessi alla rispettiva società dal proprio azionista e dalle parti correlate siano subordinati al credito emesso dalla banca. Secondo i contratti indicati nonché secondo i rispettivi contratti di subordinazione, alcune società del Gruppo potrebbero non rimborsare una parte del finanziamento o degli interessi alle altre società del Gruppo prima di rimborsare il credito cui i finanziamenti intra-gruppo sono subordinati. Di conseguenza, tali disposizioni limitano il flusso di fondi tra le società del Gruppo, il che potrebbe ledere negativamente la condizione finanziaria delle società del Gruppo o il Gruppo nel suo insieme.</w:t>
            </w:r>
          </w:p>
          <w:p w14:paraId="69405B8E" w14:textId="77777777" w:rsidR="004976E9" w:rsidRPr="00273ED1" w:rsidRDefault="004976E9" w:rsidP="00E31E69">
            <w:pPr>
              <w:rPr>
                <w:rFonts w:ascii="Arial" w:hAnsi="Arial"/>
                <w:sz w:val="15"/>
                <w:szCs w:val="15"/>
              </w:rPr>
            </w:pPr>
            <w:r w:rsidRPr="00273ED1">
              <w:rPr>
                <w:rFonts w:ascii="Arial" w:hAnsi="Arial"/>
                <w:sz w:val="15"/>
                <w:szCs w:val="15"/>
              </w:rPr>
              <w:t>A decorrere dalla data del presente Prospetto gli istituti di credito non hanno avanzato alcuna richiesta basata su un possibile inadempimento delle obbligazioni. L</w:t>
            </w:r>
            <w:r w:rsidR="00E35A25" w:rsidRPr="00273ED1">
              <w:rPr>
                <w:rFonts w:ascii="Arial" w:hAnsi="Arial"/>
                <w:sz w:val="15"/>
                <w:szCs w:val="15"/>
              </w:rPr>
              <w:t>’ “Organo Amministrativo”</w:t>
            </w:r>
            <w:r w:rsidRPr="00273ED1">
              <w:rPr>
                <w:rFonts w:ascii="Arial" w:hAnsi="Arial"/>
                <w:sz w:val="15"/>
                <w:szCs w:val="15"/>
              </w:rPr>
              <w:t xml:space="preserve"> ritiene che nessuna delle società del Gruppo stia violando i propri obblighi nascenti dai contratti di finanziamento.</w:t>
            </w:r>
          </w:p>
          <w:p w14:paraId="6505373E" w14:textId="77777777" w:rsidR="004976E9" w:rsidRPr="00273ED1" w:rsidRDefault="004976E9" w:rsidP="00E31E69">
            <w:pPr>
              <w:rPr>
                <w:sz w:val="15"/>
                <w:szCs w:val="15"/>
              </w:rPr>
            </w:pPr>
            <w:r w:rsidRPr="00273ED1">
              <w:rPr>
                <w:rFonts w:ascii="Arial" w:hAnsi="Arial"/>
                <w:sz w:val="15"/>
                <w:szCs w:val="15"/>
              </w:rPr>
              <w:lastRenderedPageBreak/>
              <w:t>L'eventuale incapacità di adempiere i contratti di finanziamento o eventuali richieste di rimborso anticipato da parte di un finanziatore ovvero il mancato ricevimento di un'autorizzazione o rinuncia di un finanziatore riguardo a un’azione deI Gruppo, potrebbe ledere significativamente l’attività, i</w:t>
            </w:r>
            <w:r w:rsidRPr="00273ED1">
              <w:rPr>
                <w:rFonts w:ascii="Arial" w:hAnsi="Arial"/>
                <w:color w:val="000000"/>
                <w:sz w:val="15"/>
                <w:szCs w:val="15"/>
              </w:rPr>
              <w:t xml:space="preserve"> risultati delle operazioni, la redditività e la condizione finanziaria del Gruppo.</w:t>
            </w:r>
          </w:p>
          <w:p w14:paraId="14252B81" w14:textId="77777777" w:rsidR="004976E9" w:rsidRPr="00273ED1" w:rsidRDefault="004976E9" w:rsidP="00E31E69">
            <w:pPr>
              <w:rPr>
                <w:sz w:val="15"/>
                <w:szCs w:val="15"/>
              </w:rPr>
            </w:pPr>
            <w:r w:rsidRPr="00273ED1">
              <w:rPr>
                <w:rFonts w:ascii="Arial" w:hAnsi="Arial"/>
                <w:b/>
                <w:color w:val="000000"/>
                <w:sz w:val="15"/>
                <w:szCs w:val="15"/>
              </w:rPr>
              <w:t>La Società dipende dai flussi di cassa delle sue controllate</w:t>
            </w:r>
          </w:p>
          <w:p w14:paraId="7102AF81" w14:textId="77777777" w:rsidR="004976E9" w:rsidRPr="00273ED1" w:rsidRDefault="004976E9" w:rsidP="00E31E69">
            <w:pPr>
              <w:rPr>
                <w:rFonts w:ascii="Arial" w:hAnsi="Arial"/>
                <w:color w:val="000000"/>
                <w:sz w:val="15"/>
                <w:szCs w:val="15"/>
              </w:rPr>
            </w:pPr>
            <w:r w:rsidRPr="00273ED1">
              <w:rPr>
                <w:rFonts w:ascii="Arial" w:hAnsi="Arial"/>
                <w:color w:val="000000"/>
                <w:sz w:val="15"/>
                <w:szCs w:val="15"/>
              </w:rPr>
              <w:t>La Società è una holding che svolge la sua attività tramite proprie controllate. La Società detiene il 100% della partecipazione in cinque controllate principali che a lor</w:t>
            </w:r>
            <w:r w:rsidR="00E35A25" w:rsidRPr="00273ED1">
              <w:rPr>
                <w:rFonts w:ascii="Arial" w:hAnsi="Arial"/>
                <w:color w:val="000000"/>
                <w:sz w:val="15"/>
                <w:szCs w:val="15"/>
              </w:rPr>
              <w:t>o volta possiedono il 100% di 11</w:t>
            </w:r>
            <w:r w:rsidRPr="00273ED1">
              <w:rPr>
                <w:rFonts w:ascii="Arial" w:hAnsi="Arial"/>
                <w:color w:val="000000"/>
                <w:sz w:val="15"/>
                <w:szCs w:val="15"/>
              </w:rPr>
              <w:t xml:space="preserve"> società – cinque in Lettonia, una in Ger</w:t>
            </w:r>
            <w:r w:rsidR="00E35A25" w:rsidRPr="00273ED1">
              <w:rPr>
                <w:rFonts w:ascii="Arial" w:hAnsi="Arial"/>
                <w:color w:val="000000"/>
                <w:sz w:val="15"/>
                <w:szCs w:val="15"/>
              </w:rPr>
              <w:t>mania, due in Lituania e tre</w:t>
            </w:r>
            <w:r w:rsidRPr="00273ED1">
              <w:rPr>
                <w:rFonts w:ascii="Arial" w:hAnsi="Arial"/>
                <w:color w:val="000000"/>
                <w:sz w:val="15"/>
                <w:szCs w:val="15"/>
              </w:rPr>
              <w:t xml:space="preserve"> in Estonia, nonché il 93% in un’ulteriore controllata in Estonia. Inoltre, una controllata estone del Gruppo, AS Tondi Kvartal, detiene il 100% della partecipazione in un’ulteriore controllata (OÜ Marsi Elu) e una controllata lituana del Gruppo, PK Invest UAB, detiene il 100% della partecipazione in un’ulteriore controllata (Pro Kapital Bonum UAB). La Società stessa non possiede significative attività oltre agli investimenti nelle sue controllate. Pertanto, per essere in grado di distribuire dividendi ai propri azionisti e rispettare i propri obblighi, la Società fa affidamento sul ricevimento di dividendi dalle sue controllate.</w:t>
            </w:r>
          </w:p>
          <w:p w14:paraId="0F13D82F" w14:textId="77777777" w:rsidR="004976E9" w:rsidRPr="00273ED1" w:rsidRDefault="004976E9" w:rsidP="00E31E69">
            <w:pPr>
              <w:rPr>
                <w:rFonts w:ascii="Arial" w:hAnsi="Arial"/>
                <w:color w:val="000000"/>
                <w:sz w:val="15"/>
                <w:szCs w:val="15"/>
              </w:rPr>
            </w:pPr>
            <w:r w:rsidRPr="00273ED1">
              <w:rPr>
                <w:rFonts w:ascii="Arial" w:hAnsi="Arial"/>
                <w:color w:val="000000"/>
                <w:sz w:val="15"/>
                <w:szCs w:val="15"/>
              </w:rPr>
              <w:t>Il diritto estone, lettone, lituano e tedesco prevedono regole di salvaguardia del capitale e altre regole pertinenti che limitano la capacità delle società del Gruppo di pagare dividendi o effettuare altre distribuzioni. Secondo la legge estone, una società può pagare dividendi o effettuare distribuzioni soltanto se i suoi utili correnti e profitti non distribuiti sono sufficienti per tale distribuzione.</w:t>
            </w:r>
          </w:p>
          <w:p w14:paraId="07594158" w14:textId="77777777" w:rsidR="004976E9" w:rsidRPr="00273ED1" w:rsidRDefault="004976E9" w:rsidP="00E31E69">
            <w:pPr>
              <w:rPr>
                <w:rFonts w:ascii="Arial" w:hAnsi="Arial"/>
                <w:color w:val="000000"/>
                <w:sz w:val="15"/>
                <w:szCs w:val="15"/>
              </w:rPr>
            </w:pPr>
            <w:r w:rsidRPr="00273ED1">
              <w:rPr>
                <w:rFonts w:ascii="Arial" w:hAnsi="Arial"/>
                <w:color w:val="000000"/>
                <w:sz w:val="15"/>
                <w:szCs w:val="15"/>
              </w:rPr>
              <w:t>Ai sensi del diritto lettone, i dividendi possono essere dichiarati più di una volta per esercizio finanziario mediante delibera dell'assemblea annuale degli azionisti ovvero dell'assemblea straordinaria degli azionisti sulla distribuzione degli utili, basata sulla proposta dell’organo amministrativo in merito alla distribuzione degli utili. Qualora una società abbai utili non distribuiti, gli azionisti possono chiedere all’organo amministrativo di convocare un'assemblea straordinaria degli azionisti per adottare una delibera sulla distribuzione degli utili. Inoltre, purché lo statuto della società consenta la distribuzione di acconti sui dividendi, i dividendi possono essere determinati e calcolati anche sulla base degli utili del corrente esercizio contabile. In tal caso, una società può versare quale acconto sui dividendi non più dell’85% degli utili generali nel periodo per cui l'acconto sui dividendi è determinato. I dividendi non possono essere determinati, calcolati e distribuiti, qualora il valore netto dei fondi propri di una società sia sceso al di sotto del complessivo capitale della società alla fine dell’esercizio contabile, o potrebbe scendere al di sotto di tale soglia a causa di tale pagamento.</w:t>
            </w:r>
          </w:p>
          <w:p w14:paraId="1AAD918E" w14:textId="77777777" w:rsidR="004976E9" w:rsidRPr="00273ED1" w:rsidRDefault="004976E9" w:rsidP="00E31E69">
            <w:pPr>
              <w:rPr>
                <w:sz w:val="15"/>
                <w:szCs w:val="15"/>
              </w:rPr>
            </w:pPr>
            <w:r w:rsidRPr="00273ED1">
              <w:rPr>
                <w:rFonts w:ascii="Arial" w:hAnsi="Arial"/>
                <w:b/>
                <w:bCs/>
                <w:i/>
                <w:iCs/>
                <w:color w:val="000000"/>
                <w:sz w:val="15"/>
                <w:szCs w:val="15"/>
              </w:rPr>
              <w:t>Il Gruppo è esposto al rischio di credito dei suoi clienti e delle altre controparti</w:t>
            </w:r>
          </w:p>
          <w:p w14:paraId="0FB5B7F3" w14:textId="77777777" w:rsidR="004976E9" w:rsidRPr="00273ED1" w:rsidRDefault="004976E9" w:rsidP="00E31E69">
            <w:pPr>
              <w:rPr>
                <w:sz w:val="15"/>
                <w:szCs w:val="15"/>
              </w:rPr>
            </w:pPr>
            <w:r w:rsidRPr="00273ED1">
              <w:rPr>
                <w:rFonts w:ascii="Arial" w:hAnsi="Arial"/>
                <w:color w:val="000000"/>
                <w:sz w:val="15"/>
                <w:szCs w:val="15"/>
              </w:rPr>
              <w:t>Il Gruppo è esposto al rischio di credito. Il Gruppo monitora continuamente la condotta di pagamento dei suoi clienti e di altre controparti. Inoltre, oltre agli obblighi monetari contrattuali, le controparti possono non essere in grado di risarcire il Gruppo per i danni causati in conseguenza di violazioni dei loro obblighi non patrimoniali. Tale inadempimento delle controparti potrebbe, tra l’altro, provocare l'inadempimento ai sensi di altri contratti da parte delle società del Gruppo e obbligarle a versare un risarcimento alle loro altre controparti senza essere rispettivamente risarcite dalle controparti che hanno inadempiuto da principio; ciò potrebbe ledere significativamente l’attività, i risultati delle operazioni e la condizione finanziaria del Gruppo.</w:t>
            </w:r>
          </w:p>
          <w:p w14:paraId="495EA411" w14:textId="77777777" w:rsidR="004976E9" w:rsidRPr="00273ED1" w:rsidRDefault="004976E9" w:rsidP="00E31E69">
            <w:pPr>
              <w:rPr>
                <w:sz w:val="15"/>
                <w:szCs w:val="15"/>
              </w:rPr>
            </w:pPr>
            <w:r w:rsidRPr="00273ED1">
              <w:rPr>
                <w:rFonts w:ascii="Arial" w:hAnsi="Arial"/>
                <w:b/>
                <w:bCs/>
                <w:i/>
                <w:iCs/>
                <w:color w:val="000000"/>
                <w:sz w:val="15"/>
                <w:szCs w:val="15"/>
              </w:rPr>
              <w:t>Rischi relativi ai contratti di locazione</w:t>
            </w:r>
          </w:p>
          <w:p w14:paraId="4EC90242" w14:textId="77777777" w:rsidR="004976E9" w:rsidRPr="00273ED1" w:rsidRDefault="004976E9" w:rsidP="00E31E69">
            <w:pPr>
              <w:rPr>
                <w:sz w:val="15"/>
                <w:szCs w:val="15"/>
              </w:rPr>
            </w:pPr>
            <w:r w:rsidRPr="00273ED1">
              <w:rPr>
                <w:rFonts w:ascii="Arial" w:hAnsi="Arial"/>
                <w:color w:val="000000"/>
                <w:sz w:val="15"/>
                <w:szCs w:val="15"/>
              </w:rPr>
              <w:t>I contratti di locazione del Gruppo sono divisi in due categorie: contratti di locazione a tempo determinato e contratti di locazione stipulati a tempo indeterminato. Il Gruppo cerca di utilizzare entrambi i tipi di contratto, a seconda della situazione di mercato e degli immobili in questione.</w:t>
            </w:r>
          </w:p>
          <w:p w14:paraId="10686EE7" w14:textId="77777777" w:rsidR="004976E9" w:rsidRPr="00273ED1" w:rsidRDefault="004976E9" w:rsidP="00E31E69">
            <w:pPr>
              <w:rPr>
                <w:sz w:val="15"/>
                <w:szCs w:val="15"/>
              </w:rPr>
            </w:pPr>
            <w:r w:rsidRPr="00273ED1">
              <w:rPr>
                <w:rFonts w:ascii="Arial" w:hAnsi="Arial"/>
                <w:color w:val="000000"/>
                <w:sz w:val="15"/>
                <w:szCs w:val="15"/>
              </w:rPr>
              <w:t>Ad ogni modo, i contratti di locazione stipulati a tempo indeterminato comportano il rischio che un ampio numero degli stessi sia risolto entro un breve periodo di tempo. Il Gruppo mira a rinnovare i contratti di locazione a tempo determinato in modo flessibile in collaborazione con i conduttori. Non ci sono, tuttavia, garanzie che il Gruppo riesca a rinnovarli. Per evitare che i conduttori risolvano i contratti di locazione, il Gruppo potrebbe anche essere costretto a concordare una riduzione del canone di affitto.</w:t>
            </w:r>
          </w:p>
          <w:p w14:paraId="11734DFE" w14:textId="77777777" w:rsidR="004976E9" w:rsidRPr="00273ED1" w:rsidRDefault="004976E9" w:rsidP="00E31E69">
            <w:pPr>
              <w:rPr>
                <w:sz w:val="15"/>
                <w:szCs w:val="15"/>
              </w:rPr>
            </w:pPr>
            <w:r w:rsidRPr="00273ED1">
              <w:rPr>
                <w:rFonts w:ascii="Arial" w:hAnsi="Arial"/>
                <w:b/>
                <w:bCs/>
                <w:i/>
                <w:iCs/>
                <w:color w:val="000000"/>
                <w:sz w:val="15"/>
                <w:szCs w:val="15"/>
              </w:rPr>
              <w:t>Rischi contrattuali e procedimenti legali</w:t>
            </w:r>
          </w:p>
          <w:p w14:paraId="0F83B3FC" w14:textId="77777777" w:rsidR="004976E9" w:rsidRPr="00273ED1" w:rsidRDefault="004976E9" w:rsidP="00E31E69">
            <w:pPr>
              <w:rPr>
                <w:rFonts w:ascii="Arial" w:hAnsi="Arial"/>
                <w:color w:val="000000"/>
                <w:sz w:val="15"/>
                <w:szCs w:val="15"/>
              </w:rPr>
            </w:pPr>
            <w:r w:rsidRPr="00273ED1">
              <w:rPr>
                <w:rFonts w:ascii="Arial" w:hAnsi="Arial"/>
                <w:color w:val="000000"/>
                <w:sz w:val="15"/>
                <w:szCs w:val="15"/>
              </w:rPr>
              <w:t>Tra il Gruppo e le sue controparti contrattuali potrebbero insorgere controversie in merito all’interpretazione o alla validità di un contratto o all’adempimento di obblighi contrattuali. Ciò può comportare un arbitrato o un procedimento giudiziario avente esito sfavorevole per il Gruppo. Tra le altre cose, qualunque bene acquisito o venduto dal Gruppo, inclusi tra l’altro gli immobili, potrebbe avere vizi impliciti (e.g. inquinamento o vizi impliciti nei lavori di costruzione etc.) che diventano visibili solamente in seguito all'acquisto o vendita dei relativi beni. Ciò può condurre a controversie tra il Gruppo e le controparti contrattuali e la titolarità dei beni del Gruppo potrebbe essere controversa in ragione dei vizi degli stessi o dei relativi contratti. L’applicazione di misure provvisorie di tutela o di misure cautelari per garantire un’azione contro le società del Gruppo nel corso di una controversia possono ostacolare significativamente l’attività del Gruppo. Pertanto, uno qualsiasi dei fatti precedenti potrebbe anche ledere la condizione finanziaria e i risultati delle operazioni del Gruppo.</w:t>
            </w:r>
          </w:p>
          <w:p w14:paraId="4A9C928D" w14:textId="77777777" w:rsidR="004976E9" w:rsidRPr="00273ED1" w:rsidRDefault="004976E9" w:rsidP="00E31E69">
            <w:pPr>
              <w:pStyle w:val="Paragraph"/>
              <w:tabs>
                <w:tab w:val="left" w:pos="709"/>
              </w:tabs>
              <w:spacing w:before="0" w:after="0" w:line="252" w:lineRule="auto"/>
              <w:rPr>
                <w:sz w:val="15"/>
                <w:szCs w:val="15"/>
              </w:rPr>
            </w:pPr>
            <w:r w:rsidRPr="00273ED1">
              <w:rPr>
                <w:b/>
                <w:bCs/>
                <w:i/>
                <w:iCs/>
                <w:color w:val="000000"/>
                <w:sz w:val="15"/>
                <w:szCs w:val="15"/>
              </w:rPr>
              <w:t>Il Gruppo è esposto a responsabilità ambientale</w:t>
            </w:r>
          </w:p>
          <w:p w14:paraId="73AF1A6A" w14:textId="77777777" w:rsidR="004976E9" w:rsidRPr="00273ED1" w:rsidRDefault="004976E9" w:rsidP="00E31E69">
            <w:pPr>
              <w:spacing w:line="252" w:lineRule="auto"/>
              <w:jc w:val="both"/>
              <w:rPr>
                <w:sz w:val="15"/>
                <w:szCs w:val="15"/>
              </w:rPr>
            </w:pPr>
            <w:r w:rsidRPr="00273ED1">
              <w:rPr>
                <w:rFonts w:ascii="Arial" w:hAnsi="Arial"/>
                <w:color w:val="000000"/>
                <w:sz w:val="15"/>
                <w:szCs w:val="15"/>
              </w:rPr>
              <w:t xml:space="preserve">Le attività del Gruppo sono e continueranno ad essere soggette alle leggi e regolamenti relativi alla protezione ambientale tra cui, </w:t>
            </w:r>
            <w:r w:rsidRPr="00273ED1">
              <w:rPr>
                <w:rFonts w:ascii="Arial" w:hAnsi="Arial"/>
                <w:i/>
                <w:iCs/>
                <w:color w:val="000000"/>
                <w:sz w:val="15"/>
                <w:szCs w:val="15"/>
              </w:rPr>
              <w:t>inter alia</w:t>
            </w:r>
            <w:r w:rsidRPr="00273ED1">
              <w:rPr>
                <w:rFonts w:ascii="Arial" w:hAnsi="Arial"/>
                <w:color w:val="000000"/>
                <w:sz w:val="15"/>
                <w:szCs w:val="15"/>
              </w:rPr>
              <w:t>, il trattamento dei rifiuti, la contaminazione del suolo, la protezione dell’ambiente e l’uso dell’acqua. Inoltre, tali leggi sono soggette a possibili futuri emendamenti. Il mancato rispetto delle leggi, dei regolamenti e delle autorizzazioni concesse ai sensi degli stessi e relativi ai termini e condizioni contrattuali (compreso il mancato adeguamento delle attività del Gruppo ai requisiti legali, così come modificati) potrebbe risultare in rilevanti costi e passività per il Gruppo. Ciò potrebbe ledere significativamente l’attività, i risultati delle operazioni e la situazione finanziaria del Gruppo.</w:t>
            </w:r>
          </w:p>
          <w:p w14:paraId="1F9543A1" w14:textId="77777777" w:rsidR="004976E9" w:rsidRPr="00273ED1" w:rsidRDefault="004976E9" w:rsidP="00E31E69">
            <w:pPr>
              <w:spacing w:line="252" w:lineRule="auto"/>
              <w:jc w:val="both"/>
              <w:rPr>
                <w:sz w:val="15"/>
                <w:szCs w:val="15"/>
              </w:rPr>
            </w:pPr>
            <w:r w:rsidRPr="00273ED1">
              <w:rPr>
                <w:rFonts w:ascii="Arial" w:hAnsi="Arial"/>
                <w:color w:val="000000"/>
                <w:sz w:val="15"/>
                <w:szCs w:val="15"/>
              </w:rPr>
              <w:t>I lotti che sono stati o saranno acquistati dal Gruppo potrebbero successivamente rivelarsi inquinati. In conformità alle leggi ambientali, il proprietario è spesso ritenuto responsabile per l’inquinamento rinvenuto in una determinata proprietà anche se la stessa sia stata inquinata prima dell'acquisto e il proprietario non ne era al corrente al momento della compravendita. In relazione a questo rischio, si prega di notare che:</w:t>
            </w:r>
          </w:p>
          <w:p w14:paraId="3C50395A" w14:textId="77777777" w:rsidR="004976E9" w:rsidRPr="00273ED1" w:rsidRDefault="004976E9" w:rsidP="00E31E69">
            <w:pPr>
              <w:spacing w:line="252" w:lineRule="auto"/>
              <w:jc w:val="both"/>
              <w:rPr>
                <w:sz w:val="15"/>
                <w:szCs w:val="15"/>
              </w:rPr>
            </w:pPr>
            <w:r w:rsidRPr="00273ED1">
              <w:rPr>
                <w:rFonts w:ascii="Arial" w:hAnsi="Arial"/>
                <w:color w:val="000000"/>
                <w:sz w:val="15"/>
                <w:szCs w:val="15"/>
              </w:rPr>
              <w:t>- in occasione dell'acquisto dei terreni il Gruppo non ha sempre chiesto al venditore di garantire che gli stessi non fossero inquinati. Pertanto, alla scoperta dell’inquinamento, il Gruppo potrebbe non avere il diritto di agire contro terzi per ottenere il risarcimento dei costi di risanamento e dei danni;</w:t>
            </w:r>
          </w:p>
          <w:p w14:paraId="6CB4FE92" w14:textId="77777777" w:rsidR="004976E9" w:rsidRPr="00273ED1" w:rsidRDefault="004976E9" w:rsidP="00E31E69">
            <w:pPr>
              <w:spacing w:line="252" w:lineRule="auto"/>
              <w:jc w:val="both"/>
              <w:rPr>
                <w:rFonts w:ascii="Arial" w:hAnsi="Arial"/>
                <w:color w:val="000000"/>
                <w:sz w:val="15"/>
                <w:szCs w:val="15"/>
              </w:rPr>
            </w:pPr>
            <w:r w:rsidRPr="00273ED1">
              <w:rPr>
                <w:rFonts w:ascii="Arial" w:hAnsi="Arial"/>
                <w:color w:val="000000"/>
                <w:sz w:val="15"/>
                <w:szCs w:val="15"/>
              </w:rPr>
              <w:t>- riguardo numerosi lotti di sua proprietà, il Gruppo non ha effettuato indagini ambientali. La storia di alcuni di tali lotti suggerisce che l’inquinamento è possibile (e.g. (i) il territorio di Tondi Quarter era parte di un campo dell’esercito sovietico; (ii) la proprietà del Complesso Residenziale Šaltiniɥ Namai era parte di una fabbrica di macchinari; (iii) contenitori di rifiuti pericolosi di edifici industriali erano situati nella proprietà del Centro Zvaigznes; e (iv) la proprietà del complesso residenziale di Kalaranna è stata storicamente un porto peschereccio e un mercato). Inoltre, durante il processo di costruzione di un edificio residenziale a Tondi Quarter è stato rilevato un inquinamento di entità ridotta. Il costo totale di bonifica di tale inquinamento è stato pari a circa EURO 60.000;</w:t>
            </w:r>
          </w:p>
          <w:p w14:paraId="76970ED0" w14:textId="77777777" w:rsidR="004976E9" w:rsidRPr="00273ED1" w:rsidRDefault="004976E9" w:rsidP="00E31E69">
            <w:pPr>
              <w:spacing w:line="252" w:lineRule="auto"/>
              <w:jc w:val="both"/>
              <w:rPr>
                <w:sz w:val="15"/>
                <w:szCs w:val="15"/>
              </w:rPr>
            </w:pPr>
            <w:r w:rsidRPr="00273ED1">
              <w:rPr>
                <w:rFonts w:ascii="Arial" w:hAnsi="Arial"/>
                <w:color w:val="000000"/>
                <w:sz w:val="15"/>
                <w:szCs w:val="15"/>
              </w:rPr>
              <w:t>- se il Gruppo non dovesse riuscire a rilevare e a rimediare all’inquinamento, ciò potrebbe compromettere la capacità del gruppo di vendere o affittare le proprietà ed esporrebbe il Gruppo alle richieste di risarcimento da parte dei suoi clienti o di terzi per lesioni personali o danni alla proprietà associati all’esposizione all’inquinamento;</w:t>
            </w:r>
          </w:p>
          <w:p w14:paraId="1C20316F" w14:textId="77777777" w:rsidR="004976E9" w:rsidRPr="00273ED1" w:rsidRDefault="004976E9" w:rsidP="00E31E69">
            <w:pPr>
              <w:spacing w:line="252" w:lineRule="auto"/>
              <w:jc w:val="both"/>
              <w:rPr>
                <w:sz w:val="15"/>
                <w:szCs w:val="15"/>
              </w:rPr>
            </w:pPr>
            <w:r w:rsidRPr="00273ED1">
              <w:rPr>
                <w:rFonts w:ascii="Arial" w:hAnsi="Arial"/>
                <w:color w:val="000000"/>
                <w:sz w:val="15"/>
                <w:szCs w:val="15"/>
              </w:rPr>
              <w:lastRenderedPageBreak/>
              <w:t>- alla vendita della proprietà, i compratori hanno richiesto, ovvero è probabile che richiedano, al Gruppo di garantire che non ci sia inquinamento nel relativo terreno; e</w:t>
            </w:r>
          </w:p>
          <w:p w14:paraId="1A152A25" w14:textId="77777777" w:rsidR="004976E9" w:rsidRPr="00273ED1" w:rsidRDefault="004976E9" w:rsidP="00E31E69">
            <w:pPr>
              <w:spacing w:line="252" w:lineRule="auto"/>
              <w:jc w:val="both"/>
              <w:rPr>
                <w:sz w:val="15"/>
                <w:szCs w:val="15"/>
              </w:rPr>
            </w:pPr>
            <w:r w:rsidRPr="00273ED1">
              <w:rPr>
                <w:rFonts w:ascii="Arial" w:hAnsi="Arial"/>
                <w:color w:val="000000"/>
                <w:sz w:val="15"/>
                <w:szCs w:val="15"/>
              </w:rPr>
              <w:t>- fra gli altri, il rischio relativo alla posizione finanziaria delle controparti, così come descritto sopra, è rilevante anche in merito alla responsabilità ambientale.</w:t>
            </w:r>
          </w:p>
          <w:p w14:paraId="38FE9779" w14:textId="77777777" w:rsidR="004976E9" w:rsidRPr="00273ED1" w:rsidRDefault="004976E9" w:rsidP="00E31E69">
            <w:pPr>
              <w:spacing w:line="252" w:lineRule="auto"/>
              <w:jc w:val="both"/>
              <w:rPr>
                <w:sz w:val="15"/>
                <w:szCs w:val="15"/>
              </w:rPr>
            </w:pPr>
            <w:r w:rsidRPr="00273ED1">
              <w:rPr>
                <w:rFonts w:ascii="Arial" w:hAnsi="Arial"/>
                <w:color w:val="000000"/>
                <w:sz w:val="15"/>
                <w:szCs w:val="15"/>
              </w:rPr>
              <w:t>Tutti i costi di risanamento e i costi relativi alle domande di risarcimento di clienti del Gruppo, delle controparti o di terzi relativi all’esposizione all’inquinamento di qualsiasi proprietà inquinata potrebbero ledere significativamente la situazione finanziaria e i risultati delle operazioni del Gruppo.</w:t>
            </w:r>
          </w:p>
          <w:p w14:paraId="1A05C21E" w14:textId="77777777" w:rsidR="004976E9" w:rsidRPr="00273ED1" w:rsidRDefault="004976E9" w:rsidP="00E31E69">
            <w:pPr>
              <w:spacing w:line="252" w:lineRule="auto"/>
              <w:jc w:val="both"/>
              <w:rPr>
                <w:sz w:val="15"/>
                <w:szCs w:val="15"/>
              </w:rPr>
            </w:pPr>
            <w:r w:rsidRPr="00273ED1">
              <w:rPr>
                <w:rFonts w:ascii="Arial" w:hAnsi="Arial"/>
                <w:b/>
                <w:bCs/>
                <w:i/>
                <w:iCs/>
                <w:color w:val="000000"/>
                <w:sz w:val="15"/>
                <w:szCs w:val="15"/>
              </w:rPr>
              <w:t>Il Gruppo dipende dalle risorse chiave</w:t>
            </w:r>
          </w:p>
          <w:p w14:paraId="69F4C579" w14:textId="77777777" w:rsidR="004976E9" w:rsidRPr="00273ED1" w:rsidRDefault="004976E9" w:rsidP="00E31E69">
            <w:pPr>
              <w:spacing w:line="252" w:lineRule="auto"/>
              <w:jc w:val="both"/>
              <w:rPr>
                <w:sz w:val="15"/>
                <w:szCs w:val="15"/>
              </w:rPr>
            </w:pPr>
            <w:r w:rsidRPr="00273ED1">
              <w:rPr>
                <w:rFonts w:ascii="Arial" w:hAnsi="Arial"/>
                <w:color w:val="000000"/>
                <w:sz w:val="15"/>
                <w:szCs w:val="15"/>
              </w:rPr>
              <w:t>L’attività del gruppo dipende dall'abilità, dalla diligenza e dalle prestazioni di un numero relativamente ristretto di risorse chiave. Per avere successo, il Gruppo ha bisogno di manager ben collegati in ognuno dei propri mercati geografici con una conoscenza approfondita e aggiornata del mercato locale. Al momento, il Gruppo non ha alcun programma di incentivazione basato sull'assegnazione di azioni. Anche se il Gruppo ha concordato con la maggior parte delle risorse chiave un obbligo di non concorrenza applicabile per sei mesi a partire dal termine del loro impiego, gli stessi potrebbero cessare di lavorare per il Gruppo. La perdita dei servizi delle risorse chiave del Gruppo e l’incapacità di trovare immediatamente sostituti che abbino capacità almeno simili potrebbero ledere l’esito delle operazioni del Gruppo.</w:t>
            </w:r>
          </w:p>
          <w:p w14:paraId="6E48A538" w14:textId="77777777" w:rsidR="004976E9" w:rsidRPr="00273ED1" w:rsidRDefault="004976E9" w:rsidP="00E31E69">
            <w:pPr>
              <w:pStyle w:val="Paragraph"/>
              <w:spacing w:before="0" w:after="0" w:line="252" w:lineRule="auto"/>
              <w:rPr>
                <w:sz w:val="15"/>
                <w:szCs w:val="15"/>
              </w:rPr>
            </w:pPr>
            <w:r w:rsidRPr="00273ED1">
              <w:rPr>
                <w:b/>
                <w:bCs/>
                <w:i/>
                <w:iCs/>
                <w:sz w:val="15"/>
                <w:szCs w:val="15"/>
                <w:shd w:val="clear" w:color="auto" w:fill="FFFFFF"/>
              </w:rPr>
              <w:t>La reputazione del Gruppo potrebbe essere compromessa</w:t>
            </w:r>
          </w:p>
          <w:p w14:paraId="73F7559E" w14:textId="77777777" w:rsidR="004976E9" w:rsidRPr="00273ED1" w:rsidRDefault="004976E9" w:rsidP="00E31E69">
            <w:pPr>
              <w:pStyle w:val="Paragraph"/>
              <w:spacing w:before="0" w:after="0" w:line="252" w:lineRule="auto"/>
              <w:rPr>
                <w:sz w:val="15"/>
                <w:szCs w:val="15"/>
              </w:rPr>
            </w:pPr>
            <w:r w:rsidRPr="00273ED1">
              <w:rPr>
                <w:sz w:val="15"/>
                <w:szCs w:val="15"/>
              </w:rPr>
              <w:t xml:space="preserve">La capacità del Gruppo di attirare acquirenti di immobili, di attrarre affittuari di terreni, di procurarsi i finanziamenti necessari per lo sviluppo di progetti e di mantenere personale in impiego potrebbe essere compromessa nel caso in cui la reputazione del Gruppo sia danneggiata. Le questioni che influiscono sulla reputazione del Gruppo comprendono, </w:t>
            </w:r>
            <w:r w:rsidRPr="00273ED1">
              <w:rPr>
                <w:i/>
                <w:iCs/>
                <w:sz w:val="15"/>
                <w:szCs w:val="15"/>
              </w:rPr>
              <w:t>inter alia</w:t>
            </w:r>
            <w:r w:rsidRPr="00273ED1">
              <w:rPr>
                <w:sz w:val="15"/>
                <w:szCs w:val="15"/>
              </w:rPr>
              <w:t xml:space="preserve">, la qualità e la sicurezza dei locali e la conformità con le leggi e le normative. Eventuali danni alla reputazione del Gruppo dovuti, ad esempio, a mero titolo esemplificativo alle questioni suindicate, possono ledere in modo significativo le attività, i risultati delle operazioni e le condizioni finanziarie del Gruppo. </w:t>
            </w:r>
          </w:p>
          <w:p w14:paraId="729C8D66" w14:textId="77777777" w:rsidR="004976E9" w:rsidRPr="00273ED1" w:rsidRDefault="004976E9" w:rsidP="00E31E69">
            <w:pPr>
              <w:pStyle w:val="Paragraph"/>
              <w:spacing w:before="0" w:after="0" w:line="252" w:lineRule="auto"/>
              <w:rPr>
                <w:sz w:val="15"/>
                <w:szCs w:val="15"/>
              </w:rPr>
            </w:pPr>
            <w:r w:rsidRPr="00273ED1">
              <w:rPr>
                <w:b/>
                <w:bCs/>
                <w:i/>
                <w:iCs/>
                <w:sz w:val="15"/>
                <w:szCs w:val="15"/>
              </w:rPr>
              <w:t>Il Gruppo fa affidamento sui propri sistemi IT</w:t>
            </w:r>
          </w:p>
          <w:p w14:paraId="7AE97DC2" w14:textId="77777777" w:rsidR="004976E9" w:rsidRPr="00273ED1" w:rsidRDefault="004976E9" w:rsidP="00E31E69">
            <w:pPr>
              <w:pStyle w:val="Paragraph"/>
              <w:spacing w:before="0" w:after="0" w:line="252" w:lineRule="auto"/>
              <w:rPr>
                <w:sz w:val="15"/>
                <w:szCs w:val="15"/>
              </w:rPr>
            </w:pPr>
            <w:r w:rsidRPr="00273ED1">
              <w:rPr>
                <w:sz w:val="15"/>
                <w:szCs w:val="15"/>
              </w:rPr>
              <w:t xml:space="preserve">Nelle proprie operatività il Gruppo fa affidamento su vari sistemi IT. Il Gruppo mantiene e scambia internamente le proprie informazioni, compresi i segreti commerciali, impiegando sistemi IT. In caso di una significativa interruzione delle operatività dei sistemi IT del Gruppo, quest'ultimo potrebbe non essere in grado di continuare il proprio lavoro durante tali interruzioni, il che comporterebbe costi e perdite per il Gruppo stesso. Nel caso in cui un soggetto non autorizzato acceda ai sistemi IT, alle informazioni riservate e i segreti commerciali del Gruppo, ciò potrebbe comportare per quest'ultimo una posizione di svantaggio competitivo relativamente ai propri concorrenti e risultare in varie azioni contro il Gruppo da parte dei propri clienti e di terzi. Una qualsiasi delle situazioni precedenti potrebbe ledere in modo determinante le attività, l’esito delle operazioni e le condizioni finanziare del Gruppo. </w:t>
            </w:r>
          </w:p>
          <w:p w14:paraId="6A8A777B" w14:textId="77777777" w:rsidR="004976E9" w:rsidRPr="00273ED1" w:rsidRDefault="004976E9" w:rsidP="00E31E69">
            <w:pPr>
              <w:pStyle w:val="Paragraph"/>
              <w:spacing w:before="0" w:after="0" w:line="252" w:lineRule="auto"/>
              <w:rPr>
                <w:sz w:val="15"/>
                <w:szCs w:val="15"/>
              </w:rPr>
            </w:pPr>
            <w:r w:rsidRPr="00273ED1">
              <w:rPr>
                <w:b/>
                <w:bCs/>
                <w:i/>
                <w:iCs/>
                <w:sz w:val="15"/>
                <w:szCs w:val="15"/>
              </w:rPr>
              <w:t>Potenziali responsabilità fiscali</w:t>
            </w:r>
          </w:p>
          <w:p w14:paraId="5D169B33" w14:textId="77777777" w:rsidR="004976E9" w:rsidRPr="00273ED1" w:rsidRDefault="004976E9" w:rsidP="00E31E69">
            <w:pPr>
              <w:pStyle w:val="Paragraph"/>
              <w:spacing w:before="0" w:after="0" w:line="252" w:lineRule="auto"/>
              <w:rPr>
                <w:sz w:val="15"/>
                <w:szCs w:val="15"/>
              </w:rPr>
            </w:pPr>
            <w:r w:rsidRPr="00273ED1">
              <w:rPr>
                <w:sz w:val="15"/>
                <w:szCs w:val="15"/>
              </w:rPr>
              <w:t xml:space="preserve">Sono stati sottoscritti un significativo numero di transazioni infra-gruppo e di accordi contrattuali (quali locazioni, contratti di credito e di servizi tra le Società del Gruppo). Conseguentemente, il Gruppo è soggetto a un rischio di </w:t>
            </w:r>
            <w:r w:rsidRPr="00273ED1">
              <w:rPr>
                <w:i/>
                <w:iCs/>
                <w:sz w:val="15"/>
                <w:szCs w:val="15"/>
              </w:rPr>
              <w:t xml:space="preserve">transfer pricing </w:t>
            </w:r>
            <w:r w:rsidRPr="00273ED1">
              <w:rPr>
                <w:sz w:val="15"/>
                <w:szCs w:val="15"/>
              </w:rPr>
              <w:t xml:space="preserve">relativamente alle transazioni tra parti correlate non effettuate nel rispetto della reciproca indipendenza delle parti. Ciò potrebbe comportare un adeguamento dei risultati fiscali per le entità coinvolte affinché utilizzino una prezzatura in condizioni di reciproca indipendenza delle parti, la quale potrebbe ledere le attività, i risultati delle operazioni e le condizioni finanziarie del Gruppo. </w:t>
            </w:r>
          </w:p>
          <w:p w14:paraId="474CD47C" w14:textId="77777777" w:rsidR="004976E9" w:rsidRPr="00273ED1" w:rsidRDefault="004976E9" w:rsidP="00E31E69">
            <w:pPr>
              <w:pStyle w:val="Paragraph"/>
              <w:spacing w:before="0" w:after="0" w:line="252" w:lineRule="auto"/>
              <w:rPr>
                <w:sz w:val="15"/>
                <w:szCs w:val="15"/>
              </w:rPr>
            </w:pPr>
            <w:r w:rsidRPr="00273ED1">
              <w:rPr>
                <w:sz w:val="15"/>
                <w:szCs w:val="15"/>
              </w:rPr>
              <w:t xml:space="preserve">Le transazioni con parti correlate e non correlate possono portare con sé un rischio di riqualificazione nel caso in cui le autorità fiscali contestino la sostanza economica delle transazioni, ossia secondo le regole “la sostanza prevale sulla forma”. Considerando l'ampia interpretazione data in vari casi alle regole “la sostanza prevale sulla forma” da parte delle autorità fiscali estoni, lettoni e lituane, la riqualificazione di transazioni e i corrispondenti adeguamenti dei risultati fiscali, risultanti ad esempio nel divieto di dedurre l'IVA imputata ovvero nell'addebito di ulteriori imposte sul reddito, potrebbero ledere le attività, le operatività o le condizioni finanziarie del Gruppo.  </w:t>
            </w:r>
          </w:p>
          <w:p w14:paraId="69807488" w14:textId="77777777" w:rsidR="004976E9" w:rsidRPr="00273ED1" w:rsidRDefault="004976E9" w:rsidP="00E31E69">
            <w:pPr>
              <w:pStyle w:val="Paragraph"/>
              <w:spacing w:before="0" w:after="0" w:line="252" w:lineRule="auto"/>
              <w:rPr>
                <w:sz w:val="15"/>
                <w:szCs w:val="15"/>
              </w:rPr>
            </w:pPr>
            <w:r w:rsidRPr="00273ED1">
              <w:rPr>
                <w:b/>
                <w:bCs/>
                <w:i/>
                <w:iCs/>
                <w:sz w:val="15"/>
                <w:szCs w:val="15"/>
              </w:rPr>
              <w:t>Responsabilità del promotore di immobili</w:t>
            </w:r>
          </w:p>
          <w:p w14:paraId="00037D4C" w14:textId="77777777" w:rsidR="004976E9" w:rsidRPr="00273ED1" w:rsidRDefault="004976E9" w:rsidP="00E31E69">
            <w:pPr>
              <w:pStyle w:val="Paragraph"/>
              <w:spacing w:before="0" w:after="0" w:line="252" w:lineRule="auto"/>
              <w:rPr>
                <w:sz w:val="15"/>
                <w:szCs w:val="15"/>
              </w:rPr>
            </w:pPr>
            <w:r w:rsidRPr="00273ED1">
              <w:rPr>
                <w:sz w:val="15"/>
                <w:szCs w:val="15"/>
              </w:rPr>
              <w:t xml:space="preserve">Ai sensi del diritto estone, lettone e lituano, le società del Gruppo, in quanto operanti nello sviluppo d' immobili, potranno essere considerate responsabili nei confronti dei propri clienti, </w:t>
            </w:r>
            <w:r w:rsidRPr="00273ED1">
              <w:rPr>
                <w:i/>
                <w:iCs/>
                <w:sz w:val="15"/>
                <w:szCs w:val="15"/>
              </w:rPr>
              <w:t>inter alia</w:t>
            </w:r>
            <w:r w:rsidRPr="00273ED1">
              <w:rPr>
                <w:sz w:val="15"/>
                <w:szCs w:val="15"/>
              </w:rPr>
              <w:t>, per difetti di costruzione (qualità delle opere e dei materiali) e per difetti legali (ad esempio restrizioni d'uso, diritti di terzi, restrizioni dovute ai piani regolatori ecc.) degli immobili venduti.</w:t>
            </w:r>
          </w:p>
          <w:p w14:paraId="20EA71B3" w14:textId="3A14F502" w:rsidR="004976E9" w:rsidRPr="00273ED1" w:rsidRDefault="004976E9" w:rsidP="00E31E69">
            <w:pPr>
              <w:pStyle w:val="Paragraph"/>
              <w:spacing w:before="0" w:after="0" w:line="252" w:lineRule="auto"/>
              <w:rPr>
                <w:sz w:val="15"/>
                <w:szCs w:val="15"/>
              </w:rPr>
            </w:pPr>
            <w:r w:rsidRPr="00273ED1">
              <w:rPr>
                <w:sz w:val="15"/>
                <w:szCs w:val="15"/>
              </w:rPr>
              <w:t xml:space="preserve">Il diritto estone garantisce il diritto di azione nei confronti del venditore di un lotto in caso di difetti nelle costruzioni secondo le normali regole di prescrizione per un periodo esteso a 5 anni (la prescrizione ordinaria per le azioni contrattuali è di 3 anni). All'interno del contratto di vendita è possibile concordare contrattualmente un periodo di prescrizione ridotto. </w:t>
            </w:r>
            <w:r w:rsidR="00577A8D" w:rsidRPr="00273ED1">
              <w:rPr>
                <w:sz w:val="15"/>
                <w:szCs w:val="15"/>
              </w:rPr>
              <w:t xml:space="preserve">Ai sensi del </w:t>
            </w:r>
            <w:r w:rsidR="00221D64" w:rsidRPr="00273ED1">
              <w:rPr>
                <w:sz w:val="15"/>
                <w:szCs w:val="15"/>
              </w:rPr>
              <w:t xml:space="preserve">diritto lettone, ci sono tre diversi periodi di garanzia per le costruzioni a seconda della categoria di costruzione. Un periodo di garanzia di due anni </w:t>
            </w:r>
            <w:r w:rsidR="00665F88" w:rsidRPr="00273ED1">
              <w:rPr>
                <w:sz w:val="15"/>
                <w:szCs w:val="15"/>
              </w:rPr>
              <w:t>è il periodo minimo obbligatorio di garanzia per la prima categoria di costruzioni (“costruzioni semplici”, e.g. costruzioni la cui superficie totale non è superiore a 25m</w:t>
            </w:r>
            <w:r w:rsidR="00665F88" w:rsidRPr="00273ED1">
              <w:rPr>
                <w:sz w:val="15"/>
                <w:szCs w:val="15"/>
                <w:vertAlign w:val="superscript"/>
              </w:rPr>
              <w:t>2</w:t>
            </w:r>
            <w:r w:rsidR="00665F88" w:rsidRPr="00273ED1">
              <w:rPr>
                <w:sz w:val="15"/>
                <w:szCs w:val="15"/>
              </w:rPr>
              <w:t>). Costruzioni dotate di cinque o più p</w:t>
            </w:r>
            <w:r w:rsidR="00577A8D" w:rsidRPr="00273ED1">
              <w:rPr>
                <w:sz w:val="15"/>
                <w:szCs w:val="15"/>
              </w:rPr>
              <w:t>i</w:t>
            </w:r>
            <w:r w:rsidR="00665F88" w:rsidRPr="00273ED1">
              <w:rPr>
                <w:sz w:val="15"/>
                <w:szCs w:val="15"/>
              </w:rPr>
              <w:t xml:space="preserve">ani terra </w:t>
            </w:r>
            <w:r w:rsidR="00577A8D" w:rsidRPr="00273ED1">
              <w:rPr>
                <w:sz w:val="15"/>
                <w:szCs w:val="15"/>
              </w:rPr>
              <w:t>e</w:t>
            </w:r>
            <w:r w:rsidR="00665F88" w:rsidRPr="00273ED1">
              <w:rPr>
                <w:sz w:val="15"/>
                <w:szCs w:val="15"/>
              </w:rPr>
              <w:t xml:space="preserve"> di almeno un piano </w:t>
            </w:r>
            <w:r w:rsidR="00B45A98" w:rsidRPr="00273ED1">
              <w:rPr>
                <w:sz w:val="15"/>
                <w:szCs w:val="15"/>
              </w:rPr>
              <w:t xml:space="preserve">sotterraneo </w:t>
            </w:r>
            <w:r w:rsidR="00665F88" w:rsidRPr="00273ED1">
              <w:rPr>
                <w:sz w:val="15"/>
                <w:szCs w:val="15"/>
              </w:rPr>
              <w:t>sono qualificate come costruzioni di terza categoria ed hanno un periodo minimo di garanzia obbligatoria di cinque anni. Le costruzioni di seconda categoria sono quelle che non ricadono né nella prima né nella terza categoria ed hanno un periodo di garanzia obbligatoria di tre anni.</w:t>
            </w:r>
            <w:r w:rsidR="00645C62" w:rsidRPr="00273ED1">
              <w:rPr>
                <w:sz w:val="15"/>
                <w:szCs w:val="15"/>
              </w:rPr>
              <w:t xml:space="preserve"> </w:t>
            </w:r>
            <w:r w:rsidRPr="00273ED1">
              <w:rPr>
                <w:sz w:val="15"/>
                <w:szCs w:val="15"/>
              </w:rPr>
              <w:t>Il diritto lituano consente di intraprendere azioni relative ai difetti degli edifici contro l'appaltatore per i seguenti periodi: (i) 5 anni per opere visibili (ad esempio lavori visibili, quali il tetto, le finestre, le porte, la facciata i muri), (ii) 10 anni per le opere non visibili (ossia le opere che richiedono una specifica valutazione, quali le reti ingegneristiche, l'isolamento ecc.) e (iii) un determinato periodo di tempo (normalmente tra 1 e 5 anni) specificato dal produttore per gli elementi installati (riscaldamento, elettricità, sistemi, ecc.). Tuttavia, in caso di fallimento di un appaltatore lituano, tali azioni saranno dirette nei confronti del promotore immobiliari (si prega di leggere altresì il fattore di rischio “</w:t>
            </w:r>
            <w:r w:rsidRPr="00273ED1">
              <w:rPr>
                <w:sz w:val="15"/>
                <w:szCs w:val="15"/>
                <w:shd w:val="clear" w:color="auto" w:fill="FFFFFF"/>
              </w:rPr>
              <w:t>Dipendenza dagli appaltatori costruttori</w:t>
            </w:r>
            <w:r w:rsidRPr="00273ED1">
              <w:rPr>
                <w:sz w:val="15"/>
                <w:szCs w:val="15"/>
              </w:rPr>
              <w:t xml:space="preserve">”) </w:t>
            </w:r>
          </w:p>
          <w:p w14:paraId="5D18B67F" w14:textId="77777777" w:rsidR="004976E9" w:rsidRPr="00273ED1" w:rsidRDefault="004976E9" w:rsidP="00E31E69">
            <w:pPr>
              <w:pStyle w:val="Paragraph"/>
              <w:spacing w:before="0" w:after="0" w:line="252" w:lineRule="auto"/>
              <w:rPr>
                <w:sz w:val="15"/>
                <w:szCs w:val="15"/>
              </w:rPr>
            </w:pPr>
            <w:r w:rsidRPr="00273ED1">
              <w:rPr>
                <w:sz w:val="15"/>
                <w:szCs w:val="15"/>
              </w:rPr>
              <w:t xml:space="preserve">Il Gruppo cerca di coprire la propria esposizione dalle azioni di garanzia principalmente richiedendo al principale appaltatore del progetto di ottenere un'assicurazione a copertura di tutti i rischi di costruzione per l'intera durata del progetto. Tale assicurazione deve essere in favore del finanziatore del rispettivo progetto (la banca), della rispettiva società del Gruppo, e se rilevante, di altre società del Gruppo. Tuttavia, avere sottoscritto una tale assicurazione può risultare insufficiente. Gli appaltatori e i sub-appaltatori del Gruppo, cui la responsabilità di garanzia è trasferita, potrebbero non disporre di sufficienti mezzi finanziari per indennizzare interamente il Gruppo. Inoltre, alcune perdite possono derivate da rischi che non sono adeguatamente coperti dalle polizze assicurative, ovvero nei contratti d'indennità del Gruppo. Nel caso in cui l'esposizione del Gruppo ai rischi nascenti dalla progettazione e dalle responsabilità da costruzione non possano essere effettivamente coperti, ciò potrebbe comportare costi significativi e causare potenziali gravi perdite a carico del Gruppo. Lasciando da parte il fatto che i difetti di costruzione e di progettazione e le relative responsabilità del Gruppo possono altresì danneggiare la reputazione dello stesso e ledere l'attività e le condizioni finanziarie del Gruppo. Il fatto che il Gruppo abbia deciso di essere un promotore piuttosto che una società di costruzione, fa sì che lo stesso faccia </w:t>
            </w:r>
            <w:r w:rsidRPr="00273ED1">
              <w:rPr>
                <w:sz w:val="15"/>
                <w:szCs w:val="15"/>
              </w:rPr>
              <w:lastRenderedPageBreak/>
              <w:t xml:space="preserve">fronte ad ulteriori rischi dovuti a un ridotto controllo sui progetti e alla tempistica riferita agli stessi, la quale potrebbe essere influenzata da possibili ritardi da parte dei sub-appaltatori, ovvero il loro mancato adempimento. Ciò potrebbe altresì ledere le attività, i risultati delle operazioni e la condizione finanziaria del Gruppo.   </w:t>
            </w:r>
          </w:p>
          <w:p w14:paraId="181DFEF8" w14:textId="77777777" w:rsidR="004976E9" w:rsidRPr="00273ED1" w:rsidRDefault="004976E9" w:rsidP="00E31E69">
            <w:pPr>
              <w:pStyle w:val="Paragraph"/>
              <w:spacing w:before="0" w:after="0" w:line="252" w:lineRule="auto"/>
              <w:rPr>
                <w:sz w:val="15"/>
                <w:szCs w:val="15"/>
              </w:rPr>
            </w:pPr>
            <w:r w:rsidRPr="00273ED1">
              <w:rPr>
                <w:b/>
                <w:bCs/>
                <w:i/>
                <w:iCs/>
                <w:sz w:val="15"/>
                <w:szCs w:val="15"/>
              </w:rPr>
              <w:t>Regole di assistenza finanziaria</w:t>
            </w:r>
          </w:p>
          <w:p w14:paraId="51CB1D33" w14:textId="77777777" w:rsidR="004976E9" w:rsidRPr="00273ED1" w:rsidRDefault="004976E9" w:rsidP="00E31E69">
            <w:pPr>
              <w:pStyle w:val="Paragraph"/>
              <w:spacing w:before="0" w:after="0" w:line="252" w:lineRule="auto"/>
              <w:rPr>
                <w:sz w:val="15"/>
                <w:szCs w:val="15"/>
              </w:rPr>
            </w:pPr>
            <w:r w:rsidRPr="00273ED1">
              <w:rPr>
                <w:sz w:val="15"/>
                <w:szCs w:val="15"/>
              </w:rPr>
              <w:t xml:space="preserve">Le società del Gruppo hanno sottoscritto svariati contratti di finanziamento infra-gruppo. Le leggi applicabili prevedono limiti e restrizioni circa determinate transazioni infra-gruppo, ad esempio per i finanziamenti a monte. Ad esempio, il diritto estone consente la fornitura di un finanziamento a monte a una società controllante solamente nel caso in cui ciò non sia pregiudizievole per la situazione finanziaria della controllata finanziatrice e non comprometta gli interessi dei suoi creditori. Una violazione di tali limiti e restrizioni potrebbe comportare l'invalidità del relativo contratto di finanziamento, il che significherebbe che la controllata finanziatrice potrebbe richiedere immediatamente la restituzione dell'importo prestato. Ciò potrebbe ledere le attività, i risultati delle operazioni e le condizioni finanziarie del Gruppo. </w:t>
            </w:r>
          </w:p>
          <w:p w14:paraId="782C14B3" w14:textId="200F79EE" w:rsidR="004976E9" w:rsidRPr="00273ED1" w:rsidRDefault="004976E9" w:rsidP="00E31E69">
            <w:pPr>
              <w:pStyle w:val="Paragraph"/>
              <w:spacing w:before="0" w:after="0" w:line="252" w:lineRule="auto"/>
              <w:rPr>
                <w:sz w:val="15"/>
                <w:szCs w:val="15"/>
              </w:rPr>
            </w:pPr>
            <w:r w:rsidRPr="00273ED1">
              <w:rPr>
                <w:sz w:val="15"/>
                <w:szCs w:val="15"/>
              </w:rPr>
              <w:t xml:space="preserve">Il diritto lettone proibisce a una controllante diretta o indiretta, in qualità di impresa dominante, di fare uso della propria influenza al fine di indurre una controllata, in qualità di società dipendente, a concludere transazioni svantaggiose per quest'ultima senza compensi per le perdite sostenute durante l'esercizio fiscale o senza garantire alla controllata un diritto di azione nei confronti della controllante. Una controllata dovrà redigere una relazione di dipendenza per ciascun esercizio fiscale indicando tutte le transazioni con una controllante o altre società del Gruppo, comprese altresì le transazioni concluse da una controllata nell'interesse di tali società o in ragione di un incentivo, indicando in particolare le transazioni interamente o parzialmente svantaggiose, che comportano un rischio speciale per la società dipendente ovvero che sono sostanzialmente diverse dalle attività imprenditoriali ordinariamente svolte dalla stessa. Una controllante diretta o indiretta e la direzione della stessa, che hanno indotto una controllata a sottoscrivere una transazione svantaggiosa per quest'ultima, saranno responsabili in solido per le perdite subite. Se nella relazione di dipendenza non è indicata una transazione svantaggiosa o non è indicato che la controllata ha subito delle perdite e che di fatto non c'è stato alcun risarcimento a tal riguardo, </w:t>
            </w:r>
            <w:r w:rsidR="006D320D" w:rsidRPr="00273ED1">
              <w:rPr>
                <w:sz w:val="15"/>
                <w:szCs w:val="15"/>
              </w:rPr>
              <w:t xml:space="preserve">i membri </w:t>
            </w:r>
            <w:r w:rsidR="006F0934" w:rsidRPr="00273ED1">
              <w:rPr>
                <w:sz w:val="15"/>
                <w:szCs w:val="15"/>
              </w:rPr>
              <w:t xml:space="preserve">dell’organo amministrativo </w:t>
            </w:r>
            <w:r w:rsidRPr="00273ED1">
              <w:rPr>
                <w:sz w:val="15"/>
                <w:szCs w:val="15"/>
              </w:rPr>
              <w:t xml:space="preserve">  della controllata sarà responsabile in solido con la controllante e la direzione di quest'ultima. </w:t>
            </w:r>
            <w:r w:rsidR="00D07A74" w:rsidRPr="00273ED1">
              <w:rPr>
                <w:sz w:val="15"/>
                <w:szCs w:val="15"/>
              </w:rPr>
              <w:t xml:space="preserve">Inoltre, la mancata presentazione alle autorità di una relazione richiesta corretta e veritiera può dare luogo ad una </w:t>
            </w:r>
            <w:r w:rsidR="007F2C23" w:rsidRPr="00273ED1">
              <w:rPr>
                <w:sz w:val="15"/>
                <w:szCs w:val="15"/>
              </w:rPr>
              <w:t xml:space="preserve">sanzione </w:t>
            </w:r>
            <w:r w:rsidR="00D07A74" w:rsidRPr="00273ED1">
              <w:rPr>
                <w:sz w:val="15"/>
                <w:szCs w:val="15"/>
              </w:rPr>
              <w:t xml:space="preserve">amministrativa a carico dei membri </w:t>
            </w:r>
            <w:r w:rsidR="001C6C8B" w:rsidRPr="00273ED1">
              <w:rPr>
                <w:sz w:val="15"/>
                <w:szCs w:val="15"/>
              </w:rPr>
              <w:t xml:space="preserve">dell’organo amministrativo </w:t>
            </w:r>
            <w:r w:rsidR="00D07A74" w:rsidRPr="00273ED1">
              <w:rPr>
                <w:sz w:val="15"/>
                <w:szCs w:val="15"/>
              </w:rPr>
              <w:t xml:space="preserve">di una controllata, in quanto l’obbligo di presentare relazioni ricade </w:t>
            </w:r>
            <w:r w:rsidR="003E248B" w:rsidRPr="00273ED1">
              <w:rPr>
                <w:sz w:val="15"/>
                <w:szCs w:val="15"/>
              </w:rPr>
              <w:t xml:space="preserve">sull’organo amministrativo </w:t>
            </w:r>
            <w:r w:rsidR="00D07A74" w:rsidRPr="00273ED1">
              <w:rPr>
                <w:sz w:val="15"/>
                <w:szCs w:val="15"/>
              </w:rPr>
              <w:t>di una società.</w:t>
            </w:r>
          </w:p>
          <w:p w14:paraId="4E231BCD" w14:textId="77777777" w:rsidR="004976E9" w:rsidRPr="00273ED1" w:rsidRDefault="004976E9" w:rsidP="00E31E69">
            <w:pPr>
              <w:pStyle w:val="Paragraph"/>
              <w:spacing w:before="0" w:after="0" w:line="252" w:lineRule="auto"/>
              <w:rPr>
                <w:sz w:val="15"/>
                <w:szCs w:val="15"/>
              </w:rPr>
            </w:pPr>
            <w:r w:rsidRPr="00273ED1">
              <w:rPr>
                <w:sz w:val="15"/>
                <w:szCs w:val="15"/>
              </w:rPr>
              <w:t>In Lituania si applicano alcune restrizioni in caso di finanziamenti infra-gruppo, ossia gli interessi relativi a tali finanziamenti devono essere equivalenti al prezzo praticato in condizioni di reciproca indipendenza delle parti e l'importo del finanziamento non può essere superiore al capitale della società con un rapporto maggiore di 4:1. Nel caso in cui il finanziamento superi il rapporto indicato, gli interessi applicati alla parte del finanziamento eccedente il rapporto applicabile non potrà essere contabilizzata come una deduzione consentite.</w:t>
            </w:r>
          </w:p>
          <w:p w14:paraId="33EE5C38" w14:textId="3D03E172" w:rsidR="004976E9" w:rsidRPr="00273ED1" w:rsidRDefault="004976E9" w:rsidP="00E31E69">
            <w:pPr>
              <w:pStyle w:val="Paragraph"/>
              <w:spacing w:before="0" w:after="0" w:line="252" w:lineRule="auto"/>
              <w:rPr>
                <w:sz w:val="15"/>
                <w:szCs w:val="15"/>
              </w:rPr>
            </w:pPr>
            <w:r w:rsidRPr="00273ED1">
              <w:rPr>
                <w:sz w:val="15"/>
                <w:szCs w:val="15"/>
              </w:rPr>
              <w:t>Il diritto tedesco consente i finanziamenti effettuati a monte da parte di una società a responsabilità limitata tedesca ai propri azionisti se il finanziamento a monte non viola le regole di conservazione del capitale. Ai sensi di tali regole finalizzate alla conservazione del capitale, i finanziamenti a monte non possono essere forniti nella misura in cui i relativi fondi siano necessari per mantenere il capitale sociale registrato della società, salvo che sia stato sottoscritto un ‘contratto di dominio’ ovvero accordi aventi ad oggetto il trasferimento di utili e perdite ai sensi dell'Articolo 291 della Legge tedesca sulle società per azioni (</w:t>
            </w:r>
            <w:r w:rsidRPr="00273ED1">
              <w:rPr>
                <w:i/>
                <w:sz w:val="15"/>
                <w:szCs w:val="15"/>
              </w:rPr>
              <w:t>Aktiengesetz</w:t>
            </w:r>
            <w:r w:rsidRPr="00273ED1">
              <w:rPr>
                <w:sz w:val="15"/>
                <w:szCs w:val="15"/>
              </w:rPr>
              <w:t xml:space="preserve">) ovvero la società abbia diritto di richiedere la restituzione dell'intero finanziamento e tale diritto sia garantito nel rispetto dei termini di reciproca indipendenza delle parti. L'azionista della società a responsabilità limitata tedesca è altresì soggetto a responsabilità nel caso in cui induca la società ad intraprendere azioni che potrebbero portare all'insolvibilità della società. </w:t>
            </w:r>
          </w:p>
          <w:p w14:paraId="5A549487" w14:textId="77777777" w:rsidR="004976E9" w:rsidRPr="00273ED1" w:rsidRDefault="004976E9" w:rsidP="00E31E69">
            <w:pPr>
              <w:pStyle w:val="Paragraph"/>
              <w:spacing w:before="0" w:after="0" w:line="252" w:lineRule="auto"/>
              <w:rPr>
                <w:sz w:val="15"/>
                <w:szCs w:val="15"/>
              </w:rPr>
            </w:pPr>
            <w:r w:rsidRPr="00273ED1">
              <w:rPr>
                <w:b/>
                <w:sz w:val="15"/>
                <w:szCs w:val="15"/>
                <w:shd w:val="clear" w:color="auto" w:fill="FFFFFF"/>
              </w:rPr>
              <w:t>Rischi relativi al settore in cui opera il Gruppo</w:t>
            </w:r>
          </w:p>
          <w:p w14:paraId="79D2E41E" w14:textId="77777777" w:rsidR="004976E9" w:rsidRPr="00273ED1" w:rsidRDefault="004976E9" w:rsidP="004976E9">
            <w:pPr>
              <w:pStyle w:val="Paragraph"/>
              <w:numPr>
                <w:ilvl w:val="0"/>
                <w:numId w:val="11"/>
              </w:numPr>
              <w:spacing w:before="0" w:after="0" w:line="252" w:lineRule="auto"/>
              <w:ind w:left="455" w:hanging="425"/>
              <w:rPr>
                <w:sz w:val="15"/>
                <w:szCs w:val="15"/>
              </w:rPr>
            </w:pPr>
            <w:r w:rsidRPr="00273ED1">
              <w:rPr>
                <w:bCs/>
                <w:iCs/>
                <w:sz w:val="15"/>
                <w:szCs w:val="15"/>
              </w:rPr>
              <w:t xml:space="preserve">Gli sviluppi nell'ambiente macroeconomico influenzano le attività del Gruppo. Lo sviluppo immobiliare tende a seguire il generale sviluppo dell'ambiente macroeconomico. I tassi d'interesse, la disoccupazione, l'inflazione, i consumi, le spese in conto capitale e altri indicatori macroeconomici hanno un impatto significativo sullo sviluppo immobiliare. Le congiunture negative aumentano la pressione sui prezzi degli immobili, sui canoni d'affitto e sui rendimenti, Le congiunture ambientali negative possono potare a riconsiderare determinati piani di sviluppo del Gruppo, oltre a comportare una pressione al ribasso sui prezzi e gli affitti delle proprietà del Gruppo stesso o altre modifiche relative alle proprietà di quest'ultimo, che potrebbero ledere in modo determinante l'attività, i risultati delle operazioni o le condizioni finanziarie e la redditività del Gruppo.  </w:t>
            </w:r>
          </w:p>
          <w:p w14:paraId="2A865460" w14:textId="77777777" w:rsidR="004976E9" w:rsidRPr="00273ED1" w:rsidRDefault="004976E9" w:rsidP="004976E9">
            <w:pPr>
              <w:pStyle w:val="Paragraph"/>
              <w:numPr>
                <w:ilvl w:val="0"/>
                <w:numId w:val="11"/>
              </w:numPr>
              <w:spacing w:before="0" w:after="0" w:line="252" w:lineRule="auto"/>
              <w:ind w:left="455" w:hanging="425"/>
              <w:rPr>
                <w:sz w:val="15"/>
                <w:szCs w:val="15"/>
              </w:rPr>
            </w:pPr>
            <w:r w:rsidRPr="00273ED1">
              <w:rPr>
                <w:bCs/>
                <w:iCs/>
                <w:sz w:val="15"/>
                <w:szCs w:val="15"/>
              </w:rPr>
              <w:t>La ciclicità del settore immobiliare influenza le attività del Gruppo</w:t>
            </w:r>
          </w:p>
          <w:p w14:paraId="7E5FBBEA" w14:textId="23328E84" w:rsidR="004976E9" w:rsidRPr="00273ED1" w:rsidRDefault="004976E9" w:rsidP="004976E9">
            <w:pPr>
              <w:pStyle w:val="Paragraph"/>
              <w:numPr>
                <w:ilvl w:val="0"/>
                <w:numId w:val="11"/>
              </w:numPr>
              <w:spacing w:before="0" w:after="0" w:line="252" w:lineRule="auto"/>
              <w:ind w:left="455" w:hanging="425"/>
              <w:rPr>
                <w:sz w:val="15"/>
                <w:szCs w:val="15"/>
              </w:rPr>
            </w:pPr>
            <w:r w:rsidRPr="00273ED1">
              <w:rPr>
                <w:bCs/>
                <w:iCs/>
                <w:sz w:val="15"/>
                <w:szCs w:val="15"/>
              </w:rPr>
              <w:t xml:space="preserve">Illiquidità degli </w:t>
            </w:r>
            <w:r w:rsidR="005824DA" w:rsidRPr="00273ED1">
              <w:rPr>
                <w:bCs/>
                <w:iCs/>
                <w:sz w:val="15"/>
                <w:szCs w:val="15"/>
              </w:rPr>
              <w:t>(investimenti)</w:t>
            </w:r>
            <w:r w:rsidRPr="00273ED1">
              <w:rPr>
                <w:bCs/>
                <w:iCs/>
                <w:sz w:val="15"/>
                <w:szCs w:val="15"/>
              </w:rPr>
              <w:t xml:space="preserve"> immobiliari. La maggior parte degli investimenti effettuati dal Gruppo nel proprio portafoglio immobili è relativamente illiquida e la vendita di tali immobili potrebbe richiedere tempo. Nel caso in cui la liquidità del Gruppo sia compromessa, il Gruppo potrebbe non essere in grado di liquidare immediatamente i propri investimenti immobiliari e/o a termini e condizioni favorevoli. </w:t>
            </w:r>
          </w:p>
          <w:p w14:paraId="39B9066E" w14:textId="77777777" w:rsidR="004976E9" w:rsidRPr="00273ED1" w:rsidRDefault="004976E9" w:rsidP="004976E9">
            <w:pPr>
              <w:pStyle w:val="Paragraph"/>
              <w:numPr>
                <w:ilvl w:val="0"/>
                <w:numId w:val="11"/>
              </w:numPr>
              <w:spacing w:before="0" w:after="0" w:line="252" w:lineRule="auto"/>
              <w:ind w:left="455" w:hanging="425"/>
              <w:rPr>
                <w:sz w:val="15"/>
                <w:szCs w:val="15"/>
              </w:rPr>
            </w:pPr>
            <w:r w:rsidRPr="00273ED1">
              <w:rPr>
                <w:bCs/>
                <w:iCs/>
                <w:sz w:val="15"/>
                <w:szCs w:val="15"/>
              </w:rPr>
              <w:t xml:space="preserve">Concorrenza – il Gruppo opera in un ambiente competitivo con un gran numero di altre società attive nello sviluppo immobiliare negli stati baltici. Ulteriori concorrenti con un più vantaggioso accesso ai finanziamenti potrebbero entrare nel mercato immobiliare dei paesi baltici. Il possibile eccesso di offerta nei mercati immobiliari baltici potrebbe comportare una riduzione dei prezzi medi di vendita e dei canoni d'affitto e, conseguentemente, ledere l'attività e le condizioni finanziarie del Gruppo. </w:t>
            </w:r>
          </w:p>
          <w:p w14:paraId="0A387EB5" w14:textId="72164DDB" w:rsidR="004976E9" w:rsidRPr="00273ED1" w:rsidRDefault="004976E9" w:rsidP="004976E9">
            <w:pPr>
              <w:pStyle w:val="Paragraph"/>
              <w:numPr>
                <w:ilvl w:val="0"/>
                <w:numId w:val="11"/>
              </w:numPr>
              <w:spacing w:before="0" w:after="0" w:line="252" w:lineRule="auto"/>
              <w:ind w:left="455" w:hanging="425"/>
              <w:rPr>
                <w:sz w:val="15"/>
                <w:szCs w:val="15"/>
              </w:rPr>
            </w:pPr>
            <w:r w:rsidRPr="00273ED1">
              <w:rPr>
                <w:sz w:val="15"/>
                <w:szCs w:val="15"/>
              </w:rPr>
              <w:t>La redditività degli sviluppi futuri del Gruppo e delle nuove acquisizioni possono essere significativamente influenzate dall'aumento dei costi di ristrutturazione e di costruzione nel caso in cui i concorrenti perseguano i propri sviluppi.</w:t>
            </w:r>
            <w:r w:rsidR="00D07A74" w:rsidRPr="00273ED1">
              <w:rPr>
                <w:sz w:val="15"/>
                <w:szCs w:val="15"/>
              </w:rPr>
              <w:t xml:space="preserve"> Inoltre, qualora i concorrenti avviino dei progetti previsti ed annunciati, anche la concorrenza per </w:t>
            </w:r>
            <w:r w:rsidR="00C048A0" w:rsidRPr="00273ED1">
              <w:rPr>
                <w:sz w:val="15"/>
                <w:szCs w:val="15"/>
              </w:rPr>
              <w:t xml:space="preserve">i locatari </w:t>
            </w:r>
            <w:r w:rsidR="00D07A74" w:rsidRPr="00273ED1">
              <w:rPr>
                <w:sz w:val="15"/>
                <w:szCs w:val="15"/>
              </w:rPr>
              <w:t xml:space="preserve">e i costi relativi al </w:t>
            </w:r>
            <w:r w:rsidR="00101D08" w:rsidRPr="00273ED1">
              <w:rPr>
                <w:sz w:val="15"/>
                <w:szCs w:val="15"/>
              </w:rPr>
              <w:t>marketing aumenteranno</w:t>
            </w:r>
            <w:r w:rsidR="00D07A74" w:rsidRPr="00273ED1">
              <w:rPr>
                <w:sz w:val="15"/>
                <w:szCs w:val="15"/>
              </w:rPr>
              <w:t xml:space="preserve">.  </w:t>
            </w:r>
          </w:p>
          <w:p w14:paraId="3461A9F1" w14:textId="3B063BE8" w:rsidR="004976E9" w:rsidRPr="00273ED1" w:rsidRDefault="004976E9" w:rsidP="004976E9">
            <w:pPr>
              <w:pStyle w:val="Paragraph"/>
              <w:numPr>
                <w:ilvl w:val="0"/>
                <w:numId w:val="11"/>
              </w:numPr>
              <w:spacing w:before="0" w:after="0" w:line="252" w:lineRule="auto"/>
              <w:ind w:left="455" w:hanging="425"/>
              <w:rPr>
                <w:sz w:val="15"/>
                <w:szCs w:val="15"/>
              </w:rPr>
            </w:pPr>
            <w:r w:rsidRPr="00273ED1">
              <w:rPr>
                <w:bCs/>
                <w:iCs/>
                <w:sz w:val="15"/>
                <w:szCs w:val="15"/>
              </w:rPr>
              <w:t xml:space="preserve">Cambiamento nelle preferenze della clientela – i sotto-mercati immobiliari in cui opera il Gruppo (mercato abitativo residenziale, mercato immobili ad uso privato, mercato hotel) sono soggetti a cambiamenti nelle tendenze, nella domanda e nelle preferenze della clientela, le quali potranno essere soggette a ulteriori variazioni sulla base di fattori economici, oltre che di preferenze della clientela per lo stile dei progetti. Tali rischi e potenziali cambiamenti nelle preferenze della clientela sono continuamente valutati dal Gruppo nelle diverse fasi di un </w:t>
            </w:r>
            <w:r w:rsidR="006E2238" w:rsidRPr="00273ED1">
              <w:rPr>
                <w:bCs/>
                <w:iCs/>
                <w:sz w:val="15"/>
                <w:szCs w:val="15"/>
              </w:rPr>
              <w:t>progetto.</w:t>
            </w:r>
            <w:r w:rsidRPr="00273ED1">
              <w:rPr>
                <w:bCs/>
                <w:iCs/>
                <w:sz w:val="15"/>
                <w:szCs w:val="15"/>
              </w:rPr>
              <w:t xml:space="preserve"> </w:t>
            </w:r>
            <w:r w:rsidR="003724EE" w:rsidRPr="00273ED1">
              <w:rPr>
                <w:bCs/>
                <w:iCs/>
                <w:sz w:val="15"/>
                <w:szCs w:val="15"/>
              </w:rPr>
              <w:t xml:space="preserve">Nel caso in cui si dovessero </w:t>
            </w:r>
            <w:r w:rsidR="00101D08" w:rsidRPr="00273ED1">
              <w:rPr>
                <w:bCs/>
                <w:iCs/>
                <w:sz w:val="15"/>
                <w:szCs w:val="15"/>
              </w:rPr>
              <w:t>riscontrare modifiche</w:t>
            </w:r>
            <w:r w:rsidR="00FA2888" w:rsidRPr="00273ED1">
              <w:rPr>
                <w:bCs/>
                <w:iCs/>
                <w:sz w:val="15"/>
                <w:szCs w:val="15"/>
              </w:rPr>
              <w:t xml:space="preserve"> </w:t>
            </w:r>
            <w:r w:rsidR="003724EE" w:rsidRPr="00273ED1">
              <w:rPr>
                <w:bCs/>
                <w:iCs/>
                <w:sz w:val="15"/>
                <w:szCs w:val="15"/>
              </w:rPr>
              <w:t xml:space="preserve">nelle preferenze della clientela o altre minacce potenziali alla redditività del progetto, </w:t>
            </w:r>
            <w:r w:rsidR="00645C62" w:rsidRPr="00273ED1">
              <w:rPr>
                <w:bCs/>
                <w:iCs/>
                <w:sz w:val="15"/>
                <w:szCs w:val="15"/>
              </w:rPr>
              <w:t xml:space="preserve">per quanto possibile </w:t>
            </w:r>
            <w:r w:rsidR="003724EE" w:rsidRPr="00273ED1">
              <w:rPr>
                <w:bCs/>
                <w:iCs/>
                <w:sz w:val="15"/>
                <w:szCs w:val="15"/>
              </w:rPr>
              <w:t xml:space="preserve">saranno apportate delle modifiche alla bozza di progetto in ciascuna fase dello stesso, al fine di soddisfare le nuove aspettative di mercato. Tuttavia, ciò non garantisce che tali </w:t>
            </w:r>
            <w:r w:rsidR="004B7F19" w:rsidRPr="00273ED1">
              <w:rPr>
                <w:bCs/>
                <w:iCs/>
                <w:sz w:val="15"/>
                <w:szCs w:val="15"/>
              </w:rPr>
              <w:t>modifiche</w:t>
            </w:r>
            <w:r w:rsidR="003724EE" w:rsidRPr="00273ED1">
              <w:rPr>
                <w:bCs/>
                <w:iCs/>
                <w:sz w:val="15"/>
                <w:szCs w:val="15"/>
              </w:rPr>
              <w:t xml:space="preserve"> siano sempre riconosciute </w:t>
            </w:r>
            <w:r w:rsidR="00B5158C" w:rsidRPr="00273ED1">
              <w:rPr>
                <w:bCs/>
                <w:iCs/>
                <w:sz w:val="15"/>
                <w:szCs w:val="15"/>
              </w:rPr>
              <w:t xml:space="preserve">e saranno effettuati </w:t>
            </w:r>
            <w:r w:rsidR="003724EE" w:rsidRPr="00273ED1">
              <w:rPr>
                <w:bCs/>
                <w:iCs/>
                <w:sz w:val="15"/>
                <w:szCs w:val="15"/>
              </w:rPr>
              <w:t xml:space="preserve">adeguamenti a sviluppi esistenti o pianificati in un tempo utile ad adattarsi </w:t>
            </w:r>
            <w:r w:rsidR="00B5158C" w:rsidRPr="00273ED1">
              <w:rPr>
                <w:bCs/>
                <w:iCs/>
                <w:sz w:val="15"/>
                <w:szCs w:val="15"/>
              </w:rPr>
              <w:t xml:space="preserve">alle modifiche </w:t>
            </w:r>
            <w:r w:rsidR="003724EE" w:rsidRPr="00273ED1">
              <w:rPr>
                <w:bCs/>
                <w:iCs/>
                <w:sz w:val="15"/>
                <w:szCs w:val="15"/>
              </w:rPr>
              <w:t>nelle preferenz</w:t>
            </w:r>
            <w:r w:rsidR="00C82954" w:rsidRPr="00273ED1">
              <w:rPr>
                <w:bCs/>
                <w:iCs/>
                <w:sz w:val="15"/>
                <w:szCs w:val="15"/>
              </w:rPr>
              <w:t>e</w:t>
            </w:r>
            <w:r w:rsidR="003724EE" w:rsidRPr="00273ED1">
              <w:rPr>
                <w:bCs/>
                <w:iCs/>
                <w:sz w:val="15"/>
                <w:szCs w:val="15"/>
              </w:rPr>
              <w:t xml:space="preserve"> della clientela. </w:t>
            </w:r>
            <w:r w:rsidRPr="00273ED1">
              <w:rPr>
                <w:bCs/>
                <w:iCs/>
                <w:sz w:val="15"/>
                <w:szCs w:val="15"/>
              </w:rPr>
              <w:t xml:space="preserve">Nel caso in cui le preferenze della clientela smettessero di essere favorevoli per i progetti del Gruppo, ciò potrebbe ledere l'attività, il risultato delle operazioni e le condizioni finanziarie del Gruppo.  </w:t>
            </w:r>
          </w:p>
          <w:p w14:paraId="21C14145" w14:textId="77777777" w:rsidR="004976E9" w:rsidRPr="00273ED1" w:rsidRDefault="004976E9" w:rsidP="004976E9">
            <w:pPr>
              <w:pStyle w:val="Paragraph"/>
              <w:numPr>
                <w:ilvl w:val="0"/>
                <w:numId w:val="11"/>
              </w:numPr>
              <w:spacing w:before="0" w:after="0" w:line="252" w:lineRule="auto"/>
              <w:ind w:left="455" w:hanging="425"/>
              <w:rPr>
                <w:sz w:val="15"/>
                <w:szCs w:val="15"/>
              </w:rPr>
            </w:pPr>
            <w:r w:rsidRPr="00273ED1">
              <w:rPr>
                <w:bCs/>
                <w:iCs/>
                <w:sz w:val="15"/>
                <w:szCs w:val="15"/>
              </w:rPr>
              <w:lastRenderedPageBreak/>
              <w:t xml:space="preserve">Il Gruppo è esposto al rischio di credito dei propri clienti e fornitori – il rendimento e posizione finanziari del Gruppo dipendono, in una certa misura, dalla solvibilità dei propri clienti e fornitori. In caso di circostanze impreviste in ragione delle quali i clienti e/o fornitori del Gruppo non possano o non intendano effettuare i pagamenti, il Gruppo potrebbe far fronte a ritardi o mancati pagamenti. Ciascuno di questi fattori potrebbe ledere le operatività, prospettive e risultati finanziari del Gruppo.  </w:t>
            </w:r>
          </w:p>
          <w:p w14:paraId="0DF1A8D2" w14:textId="77777777" w:rsidR="004976E9" w:rsidRPr="00273ED1" w:rsidRDefault="004976E9" w:rsidP="00E31E69">
            <w:pPr>
              <w:pStyle w:val="Paragraph"/>
              <w:spacing w:before="0" w:after="0" w:line="252" w:lineRule="auto"/>
              <w:rPr>
                <w:sz w:val="15"/>
                <w:szCs w:val="15"/>
              </w:rPr>
            </w:pPr>
            <w:r w:rsidRPr="00273ED1">
              <w:rPr>
                <w:b/>
                <w:sz w:val="15"/>
                <w:szCs w:val="15"/>
              </w:rPr>
              <w:t>Rischi politici, economici e legali</w:t>
            </w:r>
          </w:p>
          <w:p w14:paraId="0AE62EF9" w14:textId="77777777" w:rsidR="004976E9" w:rsidRPr="00273ED1" w:rsidRDefault="004976E9" w:rsidP="004976E9">
            <w:pPr>
              <w:pStyle w:val="Paragraph"/>
              <w:numPr>
                <w:ilvl w:val="0"/>
                <w:numId w:val="10"/>
              </w:numPr>
              <w:spacing w:before="0" w:after="0" w:line="252" w:lineRule="auto"/>
              <w:ind w:left="314" w:hanging="284"/>
              <w:rPr>
                <w:sz w:val="15"/>
                <w:szCs w:val="15"/>
              </w:rPr>
            </w:pPr>
            <w:r w:rsidRPr="00273ED1">
              <w:rPr>
                <w:bCs/>
                <w:iCs/>
                <w:sz w:val="15"/>
                <w:szCs w:val="15"/>
              </w:rPr>
              <w:t>I rischi connessi allo svolgere attività negli stati baltici</w:t>
            </w:r>
          </w:p>
          <w:p w14:paraId="3BA4C027" w14:textId="77777777" w:rsidR="004976E9" w:rsidRPr="00273ED1" w:rsidRDefault="004976E9" w:rsidP="004976E9">
            <w:pPr>
              <w:pStyle w:val="Paragraph"/>
              <w:numPr>
                <w:ilvl w:val="0"/>
                <w:numId w:val="10"/>
              </w:numPr>
              <w:spacing w:before="0" w:after="0" w:line="252" w:lineRule="auto"/>
              <w:ind w:left="314" w:hanging="284"/>
              <w:rPr>
                <w:sz w:val="15"/>
                <w:szCs w:val="15"/>
              </w:rPr>
            </w:pPr>
            <w:r w:rsidRPr="00273ED1">
              <w:rPr>
                <w:sz w:val="15"/>
                <w:szCs w:val="15"/>
              </w:rPr>
              <w:t>I diritti degli azionisti di società di diritto estone potrebbero essere diversi dai diritti degli azionisti di società costituite in base alle leggi di altri ordinamenti</w:t>
            </w:r>
          </w:p>
          <w:p w14:paraId="3A6C6CC3" w14:textId="77777777" w:rsidR="004976E9" w:rsidRPr="00273ED1" w:rsidRDefault="004976E9" w:rsidP="004976E9">
            <w:pPr>
              <w:pStyle w:val="Paragraph"/>
              <w:numPr>
                <w:ilvl w:val="0"/>
                <w:numId w:val="10"/>
              </w:numPr>
              <w:spacing w:before="0" w:after="0" w:line="252" w:lineRule="auto"/>
              <w:ind w:left="314" w:hanging="284"/>
              <w:rPr>
                <w:sz w:val="15"/>
                <w:szCs w:val="15"/>
              </w:rPr>
            </w:pPr>
            <w:r w:rsidRPr="00273ED1">
              <w:rPr>
                <w:sz w:val="15"/>
                <w:szCs w:val="15"/>
              </w:rPr>
              <w:t xml:space="preserve">Le sentenze di autorità giudiziarie straniere nei confronti della Società e del Gruppo potrebbero essere più difficili da eseguire se paragonate al caso in cui la Società e la direzione della stessa operassero nei rispettivi ordinamenti esteri </w:t>
            </w:r>
          </w:p>
          <w:p w14:paraId="6C955173" w14:textId="77777777" w:rsidR="004976E9" w:rsidRPr="00273ED1" w:rsidRDefault="004976E9" w:rsidP="004976E9">
            <w:pPr>
              <w:pStyle w:val="Paragraph"/>
              <w:numPr>
                <w:ilvl w:val="0"/>
                <w:numId w:val="10"/>
              </w:numPr>
              <w:spacing w:before="0" w:after="0" w:line="252" w:lineRule="auto"/>
              <w:ind w:left="314" w:hanging="284"/>
              <w:rPr>
                <w:sz w:val="15"/>
                <w:szCs w:val="15"/>
              </w:rPr>
            </w:pPr>
            <w:r w:rsidRPr="00273ED1">
              <w:rPr>
                <w:bCs/>
                <w:iCs/>
                <w:sz w:val="15"/>
                <w:szCs w:val="15"/>
              </w:rPr>
              <w:t>I rischi relativi al regime fiscale – eventuali modifiche nel regime fiscale estone, lettone, lituano o tedesco potrebbero ledere i risultatiti delle operazioni e le condizioni finanziarie del Gruppo</w:t>
            </w:r>
            <w:r w:rsidRPr="00273ED1">
              <w:rPr>
                <w:sz w:val="15"/>
                <w:szCs w:val="15"/>
              </w:rPr>
              <w:t>.</w:t>
            </w:r>
          </w:p>
          <w:p w14:paraId="37629619" w14:textId="77777777" w:rsidR="004976E9" w:rsidRPr="00273ED1" w:rsidRDefault="004976E9" w:rsidP="004976E9">
            <w:pPr>
              <w:pStyle w:val="Paragraph"/>
              <w:numPr>
                <w:ilvl w:val="0"/>
                <w:numId w:val="10"/>
              </w:numPr>
              <w:spacing w:before="0" w:after="0" w:line="252" w:lineRule="auto"/>
              <w:ind w:left="314" w:hanging="284"/>
              <w:rPr>
                <w:sz w:val="15"/>
                <w:szCs w:val="15"/>
              </w:rPr>
            </w:pPr>
            <w:r w:rsidRPr="00273ED1">
              <w:rPr>
                <w:bCs/>
                <w:iCs/>
                <w:sz w:val="15"/>
                <w:szCs w:val="15"/>
              </w:rPr>
              <w:t xml:space="preserve">L'aumento nei costi di conformità alle leggi, alle normative e politiche governative </w:t>
            </w:r>
          </w:p>
          <w:p w14:paraId="5C251785" w14:textId="77777777" w:rsidR="004976E9" w:rsidRPr="00273ED1" w:rsidRDefault="004976E9" w:rsidP="004976E9">
            <w:pPr>
              <w:pStyle w:val="Paragraph"/>
              <w:numPr>
                <w:ilvl w:val="0"/>
                <w:numId w:val="10"/>
              </w:numPr>
              <w:spacing w:before="0" w:after="0" w:line="252" w:lineRule="auto"/>
              <w:ind w:left="314" w:hanging="284"/>
              <w:rPr>
                <w:sz w:val="15"/>
                <w:szCs w:val="15"/>
              </w:rPr>
            </w:pPr>
            <w:r w:rsidRPr="00273ED1">
              <w:rPr>
                <w:bCs/>
                <w:iCs/>
                <w:sz w:val="15"/>
                <w:szCs w:val="15"/>
              </w:rPr>
              <w:t>Il rischio eurozona</w:t>
            </w:r>
          </w:p>
          <w:p w14:paraId="16042C60" w14:textId="77777777" w:rsidR="004976E9" w:rsidRPr="00273ED1" w:rsidRDefault="004976E9" w:rsidP="004976E9">
            <w:pPr>
              <w:pStyle w:val="Paragraph"/>
              <w:numPr>
                <w:ilvl w:val="0"/>
                <w:numId w:val="10"/>
              </w:numPr>
              <w:spacing w:before="0" w:after="0" w:line="252" w:lineRule="auto"/>
              <w:ind w:left="314" w:hanging="284"/>
              <w:rPr>
                <w:color w:val="000000"/>
                <w:sz w:val="15"/>
                <w:szCs w:val="15"/>
              </w:rPr>
            </w:pPr>
            <w:r w:rsidRPr="00273ED1">
              <w:rPr>
                <w:bCs/>
                <w:iCs/>
                <w:sz w:val="15"/>
                <w:szCs w:val="15"/>
              </w:rPr>
              <w:t>Il rischio dei tassi d'interesse</w:t>
            </w:r>
          </w:p>
        </w:tc>
      </w:tr>
      <w:tr w:rsidR="004976E9" w:rsidRPr="00273ED1" w14:paraId="1F5406AE" w14:textId="77777777" w:rsidTr="00E31E69">
        <w:trPr>
          <w:trHeight w:val="3061"/>
        </w:trPr>
        <w:tc>
          <w:tcPr>
            <w:tcW w:w="706" w:type="dxa"/>
            <w:tcBorders>
              <w:top w:val="single" w:sz="4" w:space="0" w:color="808080"/>
              <w:left w:val="single" w:sz="4" w:space="0" w:color="BFBFBF"/>
              <w:bottom w:val="single" w:sz="4" w:space="0" w:color="808080"/>
              <w:right w:val="single" w:sz="4" w:space="0" w:color="808080"/>
            </w:tcBorders>
          </w:tcPr>
          <w:p w14:paraId="2BB58FD5" w14:textId="77777777" w:rsidR="004976E9" w:rsidRPr="00273ED1" w:rsidRDefault="004976E9" w:rsidP="00E31E69">
            <w:pPr>
              <w:suppressAutoHyphens w:val="0"/>
              <w:spacing w:line="252" w:lineRule="auto"/>
              <w:rPr>
                <w:rFonts w:ascii="Arial" w:hAnsi="Arial" w:cs="Arial"/>
                <w:sz w:val="15"/>
                <w:szCs w:val="15"/>
              </w:rPr>
            </w:pPr>
          </w:p>
        </w:tc>
        <w:tc>
          <w:tcPr>
            <w:tcW w:w="1553" w:type="dxa"/>
            <w:tcBorders>
              <w:top w:val="single" w:sz="4" w:space="0" w:color="808080"/>
              <w:left w:val="single" w:sz="4" w:space="0" w:color="808080"/>
              <w:bottom w:val="single" w:sz="4" w:space="0" w:color="808080"/>
              <w:right w:val="single" w:sz="4" w:space="0" w:color="808080"/>
            </w:tcBorders>
          </w:tcPr>
          <w:p w14:paraId="6F5BB452" w14:textId="77777777" w:rsidR="004976E9" w:rsidRPr="00273ED1" w:rsidRDefault="004976E9" w:rsidP="00E31E69">
            <w:pPr>
              <w:spacing w:line="252" w:lineRule="auto"/>
              <w:jc w:val="both"/>
              <w:rPr>
                <w:sz w:val="15"/>
                <w:szCs w:val="15"/>
              </w:rPr>
            </w:pPr>
          </w:p>
        </w:tc>
        <w:tc>
          <w:tcPr>
            <w:tcW w:w="7493" w:type="dxa"/>
            <w:vMerge/>
            <w:tcBorders>
              <w:left w:val="single" w:sz="4" w:space="0" w:color="808080"/>
              <w:bottom w:val="single" w:sz="4" w:space="0" w:color="808080"/>
              <w:right w:val="single" w:sz="4" w:space="0" w:color="BFBFBF"/>
            </w:tcBorders>
            <w:hideMark/>
          </w:tcPr>
          <w:p w14:paraId="2C2194BE" w14:textId="77777777" w:rsidR="004976E9" w:rsidRPr="00273ED1" w:rsidRDefault="004976E9" w:rsidP="004976E9">
            <w:pPr>
              <w:pStyle w:val="Paragraph"/>
              <w:numPr>
                <w:ilvl w:val="0"/>
                <w:numId w:val="10"/>
              </w:numPr>
              <w:spacing w:before="0" w:after="0" w:line="252" w:lineRule="auto"/>
              <w:ind w:left="314" w:hanging="284"/>
              <w:rPr>
                <w:sz w:val="15"/>
                <w:szCs w:val="15"/>
              </w:rPr>
            </w:pPr>
          </w:p>
        </w:tc>
      </w:tr>
      <w:tr w:rsidR="004976E9" w:rsidRPr="00273ED1" w14:paraId="60A2996C" w14:textId="77777777" w:rsidTr="00E31E69">
        <w:tc>
          <w:tcPr>
            <w:tcW w:w="706" w:type="dxa"/>
            <w:tcBorders>
              <w:top w:val="single" w:sz="4" w:space="0" w:color="808080"/>
              <w:left w:val="single" w:sz="4" w:space="0" w:color="BFBFBF"/>
              <w:bottom w:val="single" w:sz="4" w:space="0" w:color="808080"/>
              <w:right w:val="single" w:sz="4" w:space="0" w:color="808080"/>
            </w:tcBorders>
            <w:hideMark/>
          </w:tcPr>
          <w:p w14:paraId="759109E3" w14:textId="77777777" w:rsidR="004976E9" w:rsidRPr="00273ED1" w:rsidRDefault="004976E9" w:rsidP="00E31E69">
            <w:pPr>
              <w:spacing w:line="252" w:lineRule="auto"/>
              <w:jc w:val="both"/>
              <w:rPr>
                <w:sz w:val="15"/>
                <w:szCs w:val="15"/>
              </w:rPr>
            </w:pPr>
            <w:r w:rsidRPr="00273ED1">
              <w:rPr>
                <w:rFonts w:ascii="Arial" w:hAnsi="Arial" w:cs="Arial"/>
                <w:sz w:val="15"/>
                <w:szCs w:val="15"/>
              </w:rPr>
              <w:lastRenderedPageBreak/>
              <w:t>D.3</w:t>
            </w:r>
          </w:p>
        </w:tc>
        <w:tc>
          <w:tcPr>
            <w:tcW w:w="1553" w:type="dxa"/>
            <w:tcBorders>
              <w:top w:val="single" w:sz="4" w:space="0" w:color="808080"/>
              <w:left w:val="single" w:sz="4" w:space="0" w:color="808080"/>
              <w:bottom w:val="single" w:sz="4" w:space="0" w:color="808080"/>
              <w:right w:val="single" w:sz="4" w:space="0" w:color="808080"/>
            </w:tcBorders>
            <w:hideMark/>
          </w:tcPr>
          <w:p w14:paraId="58355102" w14:textId="77777777" w:rsidR="004976E9" w:rsidRPr="00273ED1" w:rsidRDefault="004976E9" w:rsidP="00E31E69">
            <w:pPr>
              <w:spacing w:line="252" w:lineRule="auto"/>
              <w:jc w:val="both"/>
              <w:rPr>
                <w:sz w:val="15"/>
                <w:szCs w:val="15"/>
              </w:rPr>
            </w:pPr>
            <w:r w:rsidRPr="00273ED1">
              <w:rPr>
                <w:rFonts w:ascii="Arial" w:hAnsi="Arial" w:cs="Arial"/>
                <w:sz w:val="15"/>
                <w:szCs w:val="15"/>
              </w:rPr>
              <w:t>Principali rischi che sono specifici per le Azioni</w:t>
            </w:r>
          </w:p>
        </w:tc>
        <w:tc>
          <w:tcPr>
            <w:tcW w:w="7493" w:type="dxa"/>
            <w:tcBorders>
              <w:top w:val="single" w:sz="4" w:space="0" w:color="808080"/>
              <w:left w:val="single" w:sz="4" w:space="0" w:color="808080"/>
              <w:bottom w:val="single" w:sz="4" w:space="0" w:color="808080"/>
              <w:right w:val="single" w:sz="4" w:space="0" w:color="BFBFBF"/>
            </w:tcBorders>
          </w:tcPr>
          <w:p w14:paraId="1071AA32" w14:textId="77777777" w:rsidR="004976E9" w:rsidRPr="00273ED1" w:rsidRDefault="004976E9" w:rsidP="00E31E69">
            <w:pPr>
              <w:spacing w:line="252" w:lineRule="auto"/>
              <w:jc w:val="both"/>
              <w:rPr>
                <w:sz w:val="15"/>
                <w:szCs w:val="15"/>
              </w:rPr>
            </w:pPr>
            <w:r w:rsidRPr="00273ED1">
              <w:rPr>
                <w:rFonts w:ascii="Arial" w:hAnsi="Arial"/>
                <w:b/>
                <w:bCs/>
                <w:i/>
                <w:iCs/>
                <w:sz w:val="15"/>
                <w:szCs w:val="15"/>
                <w:shd w:val="clear" w:color="auto" w:fill="FFFFFF"/>
              </w:rPr>
              <w:t>Liquidità</w:t>
            </w:r>
          </w:p>
          <w:p w14:paraId="739B0C4A" w14:textId="77777777" w:rsidR="004976E9" w:rsidRPr="00273ED1" w:rsidRDefault="004976E9" w:rsidP="00E31E69">
            <w:pPr>
              <w:spacing w:line="252" w:lineRule="auto"/>
              <w:jc w:val="both"/>
              <w:rPr>
                <w:sz w:val="15"/>
                <w:szCs w:val="15"/>
              </w:rPr>
            </w:pPr>
            <w:r w:rsidRPr="00273ED1">
              <w:rPr>
                <w:rFonts w:ascii="Arial" w:hAnsi="Arial"/>
                <w:bCs/>
                <w:iCs/>
                <w:sz w:val="15"/>
                <w:szCs w:val="15"/>
              </w:rPr>
              <w:t xml:space="preserve">Il Mercato Regolamentato è sostanzialmente meno liquido e più volatile di certi mercati più affermati quali quelli di altri paesi con mercati finanziari più sviluppati. La capitalizzazione di mercato relativamente piccola e la bassa liquidità del Mercato Regolamentato potrebbero compromettere la capacità degli investitori di vendere le Azioni sul Mercato Regolamentato, risultando in una maggiore volatilità del prezzo delle stesse. </w:t>
            </w:r>
          </w:p>
          <w:p w14:paraId="1E3361B4" w14:textId="77777777" w:rsidR="004976E9" w:rsidRPr="00273ED1" w:rsidRDefault="004976E9" w:rsidP="00E31E69">
            <w:pPr>
              <w:spacing w:line="252" w:lineRule="auto"/>
              <w:jc w:val="both"/>
              <w:rPr>
                <w:sz w:val="15"/>
                <w:szCs w:val="15"/>
              </w:rPr>
            </w:pPr>
            <w:r w:rsidRPr="00273ED1">
              <w:rPr>
                <w:rFonts w:ascii="Arial" w:hAnsi="Arial"/>
                <w:bCs/>
                <w:iCs/>
                <w:sz w:val="15"/>
                <w:szCs w:val="15"/>
              </w:rPr>
              <w:t xml:space="preserve">I prezzi sul Mercato Regolamentato potrebbero altresì essere influenzati da fattori esterni, quali il rendimento dei mercati globali in generale, di altri mercati emergenti, ovvero l'imposizione di modifiche nelle imposte sulla negoziazione o sulle plusvalenze. </w:t>
            </w:r>
          </w:p>
          <w:p w14:paraId="343802BE" w14:textId="77777777" w:rsidR="004976E9" w:rsidRPr="00273ED1" w:rsidRDefault="004976E9" w:rsidP="00E31E69">
            <w:pPr>
              <w:pStyle w:val="Paragraph"/>
              <w:spacing w:before="0" w:after="0" w:line="252" w:lineRule="auto"/>
              <w:rPr>
                <w:sz w:val="15"/>
                <w:szCs w:val="15"/>
              </w:rPr>
            </w:pPr>
            <w:r w:rsidRPr="00273ED1">
              <w:rPr>
                <w:b/>
                <w:bCs/>
                <w:i/>
                <w:iCs/>
                <w:sz w:val="15"/>
                <w:szCs w:val="15"/>
              </w:rPr>
              <w:t>Le Azioni potrebbero non essere un investimento adatto a tutti gli investitori</w:t>
            </w:r>
          </w:p>
          <w:p w14:paraId="63CE1062" w14:textId="77777777" w:rsidR="004976E9" w:rsidRPr="00273ED1" w:rsidRDefault="004976E9" w:rsidP="00E31E69">
            <w:pPr>
              <w:pStyle w:val="Paragraph"/>
              <w:spacing w:before="0" w:after="0" w:line="252" w:lineRule="auto"/>
              <w:rPr>
                <w:sz w:val="15"/>
                <w:szCs w:val="15"/>
              </w:rPr>
            </w:pPr>
            <w:r w:rsidRPr="00273ED1">
              <w:rPr>
                <w:sz w:val="15"/>
                <w:szCs w:val="15"/>
              </w:rPr>
              <w:t xml:space="preserve">Ciascun potenziale investitore nelle Azioni deve valutare l'idoneità di tale investimento alla luce delle proprie specifiche circostanze. In particolare, ciascun potenziale investitore deve: </w:t>
            </w:r>
          </w:p>
          <w:p w14:paraId="735765E0" w14:textId="251B9B2F" w:rsidR="004976E9" w:rsidRPr="00273ED1" w:rsidRDefault="004976E9" w:rsidP="004976E9">
            <w:pPr>
              <w:pStyle w:val="Paragraph"/>
              <w:numPr>
                <w:ilvl w:val="0"/>
                <w:numId w:val="4"/>
              </w:numPr>
              <w:spacing w:before="0" w:after="0" w:line="252" w:lineRule="auto"/>
              <w:ind w:left="709" w:hanging="709"/>
              <w:rPr>
                <w:sz w:val="15"/>
                <w:szCs w:val="15"/>
              </w:rPr>
            </w:pPr>
            <w:r w:rsidRPr="00273ED1">
              <w:rPr>
                <w:sz w:val="15"/>
                <w:szCs w:val="15"/>
              </w:rPr>
              <w:t>avere una sufficiente conoscenza ed esperienza per effettuare una significativa valutazione delle Azioni, dei meriti e dei rischi connessi all'investimento nelle Azioni e delle informazioni in quest</w:t>
            </w:r>
            <w:r w:rsidR="000D3581" w:rsidRPr="00273ED1">
              <w:rPr>
                <w:sz w:val="15"/>
                <w:szCs w:val="15"/>
              </w:rPr>
              <w:t>o</w:t>
            </w:r>
            <w:r w:rsidRPr="00273ED1">
              <w:rPr>
                <w:sz w:val="15"/>
                <w:szCs w:val="15"/>
              </w:rPr>
              <w:t xml:space="preserve"> Pr</w:t>
            </w:r>
            <w:r w:rsidR="003724EE" w:rsidRPr="00273ED1">
              <w:rPr>
                <w:sz w:val="15"/>
                <w:szCs w:val="15"/>
              </w:rPr>
              <w:t>ospetto</w:t>
            </w:r>
            <w:r w:rsidRPr="00273ED1">
              <w:rPr>
                <w:sz w:val="15"/>
                <w:szCs w:val="15"/>
              </w:rPr>
              <w:t xml:space="preserve">; </w:t>
            </w:r>
          </w:p>
          <w:p w14:paraId="7AEC4040" w14:textId="77777777" w:rsidR="004976E9" w:rsidRPr="00273ED1" w:rsidRDefault="004976E9" w:rsidP="004976E9">
            <w:pPr>
              <w:pStyle w:val="Paragraph"/>
              <w:numPr>
                <w:ilvl w:val="0"/>
                <w:numId w:val="4"/>
              </w:numPr>
              <w:spacing w:before="0" w:after="0" w:line="252" w:lineRule="auto"/>
              <w:ind w:left="709" w:hanging="709"/>
              <w:rPr>
                <w:sz w:val="15"/>
                <w:szCs w:val="15"/>
              </w:rPr>
            </w:pPr>
            <w:r w:rsidRPr="00273ED1">
              <w:rPr>
                <w:sz w:val="15"/>
                <w:szCs w:val="15"/>
              </w:rPr>
              <w:t xml:space="preserve">avere accesso a, e conoscenza di, adeguati strumenti per la valutazione, nel contesto della propria particolare situazione finanziaria, di un investimento nelle Azioni e l'impatto che le stesse avranno sul proprio complessivo portafoglio d'investimento; </w:t>
            </w:r>
          </w:p>
          <w:p w14:paraId="5469DD72" w14:textId="77777777" w:rsidR="004976E9" w:rsidRPr="00273ED1" w:rsidRDefault="004976E9" w:rsidP="004976E9">
            <w:pPr>
              <w:pStyle w:val="Paragraph"/>
              <w:numPr>
                <w:ilvl w:val="0"/>
                <w:numId w:val="4"/>
              </w:numPr>
              <w:spacing w:before="0" w:after="0" w:line="252" w:lineRule="auto"/>
              <w:ind w:left="709" w:hanging="709"/>
              <w:rPr>
                <w:sz w:val="15"/>
                <w:szCs w:val="15"/>
              </w:rPr>
            </w:pPr>
            <w:r w:rsidRPr="00273ED1">
              <w:rPr>
                <w:sz w:val="15"/>
                <w:szCs w:val="15"/>
              </w:rPr>
              <w:t>avere sufficienti risorse finanziare e liquidità per sopportare tutti i rischi di un investimento nelle Azioni;</w:t>
            </w:r>
          </w:p>
          <w:p w14:paraId="7C61448A" w14:textId="77777777" w:rsidR="004976E9" w:rsidRPr="00273ED1" w:rsidRDefault="004976E9" w:rsidP="004976E9">
            <w:pPr>
              <w:pStyle w:val="Paragraph"/>
              <w:numPr>
                <w:ilvl w:val="0"/>
                <w:numId w:val="4"/>
              </w:numPr>
              <w:spacing w:before="0" w:after="0" w:line="252" w:lineRule="auto"/>
              <w:ind w:left="709" w:hanging="709"/>
              <w:rPr>
                <w:sz w:val="15"/>
                <w:szCs w:val="15"/>
              </w:rPr>
            </w:pPr>
            <w:r w:rsidRPr="00273ED1">
              <w:rPr>
                <w:sz w:val="15"/>
                <w:szCs w:val="15"/>
              </w:rPr>
              <w:t xml:space="preserve">comprendere a fondo il </w:t>
            </w:r>
            <w:r w:rsidRPr="00273ED1">
              <w:rPr>
                <w:i/>
                <w:iCs/>
                <w:sz w:val="15"/>
                <w:szCs w:val="15"/>
              </w:rPr>
              <w:t>term sheet</w:t>
            </w:r>
            <w:r w:rsidRPr="00273ED1">
              <w:rPr>
                <w:sz w:val="15"/>
                <w:szCs w:val="15"/>
              </w:rPr>
              <w:t xml:space="preserve"> delle Azioni; e </w:t>
            </w:r>
          </w:p>
          <w:p w14:paraId="3A8F5214" w14:textId="77777777" w:rsidR="004976E9" w:rsidRPr="00273ED1" w:rsidRDefault="004976E9" w:rsidP="004976E9">
            <w:pPr>
              <w:pStyle w:val="Paragraph"/>
              <w:numPr>
                <w:ilvl w:val="0"/>
                <w:numId w:val="4"/>
              </w:numPr>
              <w:spacing w:before="0" w:after="0" w:line="252" w:lineRule="auto"/>
              <w:ind w:left="709" w:hanging="709"/>
              <w:rPr>
                <w:sz w:val="15"/>
                <w:szCs w:val="15"/>
              </w:rPr>
            </w:pPr>
            <w:r w:rsidRPr="00273ED1">
              <w:rPr>
                <w:sz w:val="15"/>
                <w:szCs w:val="15"/>
              </w:rPr>
              <w:t>essere in grado di valutare (autonomamente o con il supporto di un consulente finanziario) i possibili scenari economici, tassi di interessi e altri fattori che potrebbero avere un impatto sul proprio investimento e sulla propria capacità di sopportare i relativi rischi.</w:t>
            </w:r>
          </w:p>
          <w:p w14:paraId="274C8B21" w14:textId="77777777" w:rsidR="004976E9" w:rsidRPr="00273ED1" w:rsidRDefault="004976E9" w:rsidP="00E31E69">
            <w:pPr>
              <w:pStyle w:val="Paragraph"/>
              <w:spacing w:before="0" w:after="0" w:line="252" w:lineRule="auto"/>
              <w:rPr>
                <w:sz w:val="15"/>
                <w:szCs w:val="15"/>
              </w:rPr>
            </w:pPr>
            <w:r w:rsidRPr="00273ED1">
              <w:rPr>
                <w:b/>
                <w:bCs/>
                <w:i/>
                <w:iCs/>
                <w:sz w:val="15"/>
                <w:szCs w:val="15"/>
                <w:shd w:val="clear" w:color="auto" w:fill="FFFFFF"/>
              </w:rPr>
              <w:t>Il prezzo di mercato delle azioni può essere soggetto a volatilità</w:t>
            </w:r>
          </w:p>
          <w:p w14:paraId="3E823DDD" w14:textId="77777777" w:rsidR="004976E9" w:rsidRPr="00273ED1" w:rsidRDefault="004976E9" w:rsidP="00E31E69">
            <w:pPr>
              <w:pStyle w:val="Paragraph"/>
              <w:spacing w:before="0" w:after="0" w:line="252" w:lineRule="auto"/>
              <w:rPr>
                <w:sz w:val="15"/>
                <w:szCs w:val="15"/>
              </w:rPr>
            </w:pPr>
            <w:r w:rsidRPr="00273ED1">
              <w:rPr>
                <w:sz w:val="15"/>
                <w:szCs w:val="15"/>
                <w:shd w:val="clear" w:color="auto" w:fill="FFFFFF"/>
              </w:rPr>
              <w:t xml:space="preserve">Il </w:t>
            </w:r>
            <w:r w:rsidRPr="00273ED1">
              <w:rPr>
                <w:sz w:val="15"/>
                <w:szCs w:val="15"/>
              </w:rPr>
              <w:t xml:space="preserve">prezzo di mercato delle azioni della Società potrà essere soggetto a fluttuazioni significative in risposta alle effettive ovvero previste variazioni dei risultati operativi del Gruppo e di quelli dei concorrenti, agli sviluppi sfavorevoli delle attività, alle modifiche nell'ambiente regolamentare in cui il Gruppo opera, alle modifiche delle stime finanziarie da parte di analisti di strumenti finanziari e all'effettiva o prevista vendita di un elevato numero di azioni, e anche ad altri fattori, alcuni dei quali sono qui descritti. Inoltre, negli anni recenti i mercati finanziari globali hanno vissuto significative fluttuazioni di prezzo e di volumi le quali, se si verificassero ancora in futuro, potrebbero influenzare negativamente il prezzo di mercato delle azioni della Società a prescindere dai risultati operativi, dalla posizione finanziaria o dalle prospettive del Gruppo. Durante alcuni periodi potrebbe essere difficile o impossibile vendere le azioni (in termini assoluti ovvero a termini ragionevoli) in ragione, ad esempio, di gravi fluttuazioni di prezzo, chiusura del relativo mercato o restrizioni alla negoziazione imposte sul mercato. </w:t>
            </w:r>
          </w:p>
          <w:p w14:paraId="258C2F10" w14:textId="77777777" w:rsidR="004976E9" w:rsidRPr="00273ED1" w:rsidRDefault="004976E9" w:rsidP="00E31E69">
            <w:pPr>
              <w:spacing w:line="252" w:lineRule="auto"/>
              <w:jc w:val="both"/>
              <w:rPr>
                <w:sz w:val="15"/>
                <w:szCs w:val="15"/>
              </w:rPr>
            </w:pPr>
            <w:r w:rsidRPr="00273ED1">
              <w:rPr>
                <w:rFonts w:ascii="Arial" w:hAnsi="Arial"/>
                <w:b/>
                <w:bCs/>
                <w:i/>
                <w:iCs/>
                <w:sz w:val="15"/>
                <w:szCs w:val="15"/>
              </w:rPr>
              <w:t>L'Offerta potrebbe essere sospesa o cancellata</w:t>
            </w:r>
          </w:p>
          <w:p w14:paraId="0DF6423F" w14:textId="77777777" w:rsidR="004976E9" w:rsidRPr="00273ED1" w:rsidRDefault="004976E9" w:rsidP="00E31E69">
            <w:pPr>
              <w:spacing w:line="252" w:lineRule="auto"/>
              <w:jc w:val="both"/>
              <w:rPr>
                <w:sz w:val="15"/>
                <w:szCs w:val="15"/>
              </w:rPr>
            </w:pPr>
            <w:r w:rsidRPr="00273ED1">
              <w:rPr>
                <w:rFonts w:ascii="Arial" w:hAnsi="Arial"/>
                <w:bCs/>
                <w:iCs/>
                <w:sz w:val="15"/>
                <w:szCs w:val="15"/>
              </w:rPr>
              <w:t xml:space="preserve">Possono verificarsi diverse circostanze, sulle quali la Società non ha alcun controllo ovvero che può controllare solo limitatamente, potenzialmente lesive per l'Offerta. Conseguentemente, nel caso in cui tali circostanze abbiano un impatto lesivo dei risultati dell'offerta, la Società avrà il diritto di sospendere ovvero di cancellare l'Offerta. Si prega di leggere altresì la Sezione 25.2 (Periodo d'Offerta). </w:t>
            </w:r>
          </w:p>
          <w:p w14:paraId="3B581EAA" w14:textId="77777777" w:rsidR="004976E9" w:rsidRPr="00273ED1" w:rsidRDefault="004976E9" w:rsidP="00E31E69">
            <w:pPr>
              <w:pStyle w:val="Paragraph"/>
              <w:spacing w:before="0" w:after="0" w:line="252" w:lineRule="auto"/>
              <w:rPr>
                <w:sz w:val="15"/>
                <w:szCs w:val="15"/>
              </w:rPr>
            </w:pPr>
            <w:r w:rsidRPr="00273ED1">
              <w:rPr>
                <w:bCs/>
                <w:iCs/>
                <w:sz w:val="15"/>
                <w:szCs w:val="15"/>
              </w:rPr>
              <w:t>Alla luce di quanto precede, gli investitori corrono il rischio di non essere in grado di sottoscrivere le Azioni. Inoltre, in tal caso i pagamenti effettuati dagli investitori durante l'Offerta potranno essere restituiti senza il riconoscimento di alcuna compensazione o interesse.</w:t>
            </w:r>
          </w:p>
          <w:p w14:paraId="3E9D26F1" w14:textId="77777777" w:rsidR="004976E9" w:rsidRPr="00273ED1" w:rsidRDefault="004976E9" w:rsidP="00E31E69">
            <w:pPr>
              <w:pStyle w:val="Paragraph"/>
              <w:spacing w:before="0" w:after="0" w:line="252" w:lineRule="auto"/>
              <w:rPr>
                <w:sz w:val="15"/>
                <w:szCs w:val="15"/>
              </w:rPr>
            </w:pPr>
            <w:r w:rsidRPr="00273ED1">
              <w:rPr>
                <w:b/>
                <w:bCs/>
                <w:i/>
                <w:iCs/>
                <w:sz w:val="15"/>
                <w:szCs w:val="15"/>
              </w:rPr>
              <w:t>La negoziazione in Azioni sul Mercato Regolamentato potrebbe essere sospesa o chiusa definitivamente</w:t>
            </w:r>
          </w:p>
          <w:p w14:paraId="2DEBB475" w14:textId="045DB054" w:rsidR="004976E9" w:rsidRPr="00273ED1" w:rsidRDefault="004976E9" w:rsidP="00E31E69">
            <w:pPr>
              <w:pStyle w:val="Paragraph"/>
              <w:spacing w:before="0" w:after="0" w:line="252" w:lineRule="auto"/>
              <w:rPr>
                <w:sz w:val="15"/>
                <w:szCs w:val="15"/>
              </w:rPr>
            </w:pPr>
            <w:r w:rsidRPr="00273ED1">
              <w:rPr>
                <w:sz w:val="15"/>
                <w:szCs w:val="15"/>
              </w:rPr>
              <w:t xml:space="preserve">Nel caso in cui la Società non rispetti determinati requisiti o non adempia determinate obbligazioni previste dalla legge estone ovvero dalle regole adottate da </w:t>
            </w:r>
            <w:r w:rsidR="006E2238" w:rsidRPr="00273ED1">
              <w:rPr>
                <w:sz w:val="15"/>
                <w:szCs w:val="15"/>
              </w:rPr>
              <w:t>Nasdaq Tallinn e</w:t>
            </w:r>
            <w:r w:rsidRPr="00273ED1">
              <w:rPr>
                <w:sz w:val="15"/>
                <w:szCs w:val="15"/>
              </w:rPr>
              <w:t xml:space="preserve"> applicabili al Mercato Regolamentato (le “Regole </w:t>
            </w:r>
            <w:r w:rsidR="006E2238" w:rsidRPr="00273ED1">
              <w:rPr>
                <w:sz w:val="15"/>
                <w:szCs w:val="15"/>
              </w:rPr>
              <w:t>Nasdaq Tallinn</w:t>
            </w:r>
            <w:r w:rsidRPr="00273ED1">
              <w:rPr>
                <w:sz w:val="15"/>
                <w:szCs w:val="15"/>
              </w:rPr>
              <w:t xml:space="preserve">”), la negoziazione delle Azioni sul Mercato Regolamentato potrebbe essere sospesa o chiusa definitivamente. Inoltre, la Società potrà richiedere la sospensione o chiusura definitiva della negoziazione delle Azioni sul Mercato Regolamentato. Non è fornita alcuna garanzia che la negoziazione delle Azioni non sarà mai sospesa o chiusa definitivamente. Ciò potrebbe diminuire la liquidità delle Azioni e compromettere la capacità di vendere le Azioni a un prezzo soddisfacente per gli Investitori. Nonostante l'intenzione della Società sia di fare tutto quanto possibile per rispettare tutte le normative applicabili al fine di evitare la sospensione o chiusura definitiva della negoziazione delle Azioni sul Mercato Regolamentato, sospensioni o chiusure definitive future non possono essere completamente escluse. Inoltre, la Società potrà richiedere la sospensione o chiusura definitiva della negoziazione delle azioni sul Mercato Regolamentato. Un'eventuale sospensione o chiusura definitiva della negoziazione delle Azioni sul Mercato Regolamentato potrebbe avere un impatto negativo sul prezzo delle Azioni. </w:t>
            </w:r>
          </w:p>
          <w:p w14:paraId="4676BC3A" w14:textId="77777777" w:rsidR="004976E9" w:rsidRPr="00273ED1" w:rsidRDefault="004976E9" w:rsidP="00E31E69">
            <w:pPr>
              <w:pStyle w:val="Paragraph"/>
              <w:spacing w:before="0" w:after="0" w:line="252" w:lineRule="auto"/>
              <w:rPr>
                <w:sz w:val="15"/>
                <w:szCs w:val="15"/>
              </w:rPr>
            </w:pPr>
            <w:r w:rsidRPr="00273ED1">
              <w:rPr>
                <w:b/>
                <w:bCs/>
                <w:i/>
                <w:iCs/>
                <w:sz w:val="15"/>
                <w:szCs w:val="15"/>
                <w:shd w:val="clear" w:color="auto" w:fill="FFFFFF"/>
              </w:rPr>
              <w:t>La Società potrebbe non distribuire alcun dividendo</w:t>
            </w:r>
          </w:p>
          <w:p w14:paraId="541FE119" w14:textId="77777777" w:rsidR="004976E9" w:rsidRPr="00273ED1" w:rsidRDefault="004976E9" w:rsidP="00E31E69">
            <w:pPr>
              <w:pStyle w:val="Paragraph"/>
              <w:spacing w:before="0" w:after="0" w:line="252" w:lineRule="auto"/>
              <w:rPr>
                <w:sz w:val="15"/>
                <w:szCs w:val="15"/>
              </w:rPr>
            </w:pPr>
            <w:r w:rsidRPr="00273ED1">
              <w:rPr>
                <w:sz w:val="15"/>
                <w:szCs w:val="15"/>
              </w:rPr>
              <w:t xml:space="preserve">In futuro la Società potrebbe non essere in grado di distribuire dividendi. La dichiarazione e la distribuzione di eventuali futuri dividendi da parte della Società e l'importo degli stessi dipenderanno, </w:t>
            </w:r>
            <w:r w:rsidRPr="00273ED1">
              <w:rPr>
                <w:i/>
                <w:iCs/>
                <w:sz w:val="15"/>
                <w:szCs w:val="15"/>
              </w:rPr>
              <w:t>inter alia</w:t>
            </w:r>
            <w:r w:rsidRPr="00273ED1">
              <w:rPr>
                <w:sz w:val="15"/>
                <w:szCs w:val="15"/>
              </w:rPr>
              <w:t xml:space="preserve">, dalle condizioni finanziarie della Società, dai risultati operativi e dalla disponibilità di fondi che possono essere distribuiti come dividendi. Il pagamento e l'importo di eventuali dividendi saranno soggetti alla discrezione dell'Assemblea degli azionisti della Società e dipenderanno, insieme ad altri fattori rilevanti, dalle disponibilità di cassa, dalle necessità di cassa previste, dai risultati operativi, dalle condizioni finanziarie del Gruppo e da eventuali restrizioni imposte da contratti di finanziamento vincolanti per la Società. </w:t>
            </w:r>
          </w:p>
          <w:p w14:paraId="660B68BA" w14:textId="77777777" w:rsidR="004976E9" w:rsidRPr="00273ED1" w:rsidRDefault="004976E9" w:rsidP="00E31E69">
            <w:pPr>
              <w:pStyle w:val="Paragraph"/>
              <w:spacing w:before="0" w:after="0" w:line="252" w:lineRule="auto"/>
              <w:rPr>
                <w:sz w:val="15"/>
                <w:szCs w:val="15"/>
              </w:rPr>
            </w:pPr>
            <w:r w:rsidRPr="00273ED1">
              <w:rPr>
                <w:b/>
                <w:bCs/>
                <w:i/>
                <w:iCs/>
                <w:sz w:val="15"/>
                <w:szCs w:val="15"/>
              </w:rPr>
              <w:lastRenderedPageBreak/>
              <w:t>Gli azionisti potrebbero non essere in grado di esercitare i propri diritti di prelazione per la sottoscrizione di nuove Azioni e conseguentemente le loro partecipazioni potrebbero essere diluite</w:t>
            </w:r>
          </w:p>
          <w:p w14:paraId="5EBD8FF2" w14:textId="77777777" w:rsidR="004976E9" w:rsidRPr="00273ED1" w:rsidRDefault="004976E9" w:rsidP="00E31E69">
            <w:pPr>
              <w:pStyle w:val="Paragraph"/>
              <w:spacing w:before="0" w:after="0" w:line="252" w:lineRule="auto"/>
              <w:rPr>
                <w:sz w:val="15"/>
                <w:szCs w:val="15"/>
              </w:rPr>
            </w:pPr>
            <w:r w:rsidRPr="00273ED1">
              <w:rPr>
                <w:sz w:val="15"/>
                <w:szCs w:val="15"/>
              </w:rPr>
              <w:t xml:space="preserve">Ai sensi del Codice Commerciale estone, in generale gli azionisti di una società hanno il diritto di prelazione per la sottoscrizione di nuove azioni proporzionatamente alle proprie partecipazioni esistenti. Tuttavia, tali diritti di prelazione possono essere bloccati da una delibera dell'Assemblea degli azionisti con una maggioranza di 3/4 dei voti rappresentati a tale Assemblea degli azionisti. In seguito all'emissione di ulteriori azioni con esclusione del diritto di prelazione alla sottoscrizione per le nuove Azioni, la partecipazione e i diritti di voto nella Società e gli utili per Azione potrebbero essere diluiti. </w:t>
            </w:r>
          </w:p>
          <w:p w14:paraId="294811BB" w14:textId="77777777" w:rsidR="004976E9" w:rsidRPr="00273ED1" w:rsidRDefault="004976E9" w:rsidP="00E31E69">
            <w:pPr>
              <w:pStyle w:val="Paragraph"/>
              <w:spacing w:before="0" w:after="0" w:line="252" w:lineRule="auto"/>
              <w:rPr>
                <w:sz w:val="15"/>
                <w:szCs w:val="15"/>
              </w:rPr>
            </w:pPr>
            <w:r w:rsidRPr="00273ED1">
              <w:rPr>
                <w:sz w:val="15"/>
                <w:szCs w:val="15"/>
              </w:rPr>
              <w:t xml:space="preserve">Inoltre, nel caso in cui i diritti di prelazione suindicati non siano bloccati, gli azionisti di alcuni ordinamenti, ad esempio Stati Uniti, potrebbero non essere in grado di esercitare il diritto di prelazione per la sottoscrizione di nuove Azioni in mancanza di specifici adempimenti in tali ordinamenti, salva l'applicabilità di un'esenzione dagli stessi. Non è verosimile che la Società ponga in essere gli adempimenti suindicati e le esenzioni dagli stessi potrebbero non essere disponibili per alcuni investitori. </w:t>
            </w:r>
          </w:p>
          <w:p w14:paraId="4CDCEC1A" w14:textId="77777777" w:rsidR="004976E9" w:rsidRPr="00273ED1" w:rsidRDefault="004976E9" w:rsidP="00E31E69">
            <w:pPr>
              <w:pStyle w:val="Paragraph"/>
              <w:spacing w:before="0" w:after="0" w:line="252" w:lineRule="auto"/>
              <w:rPr>
                <w:sz w:val="15"/>
                <w:szCs w:val="15"/>
              </w:rPr>
            </w:pPr>
            <w:r w:rsidRPr="00273ED1">
              <w:rPr>
                <w:sz w:val="15"/>
                <w:szCs w:val="15"/>
              </w:rPr>
              <w:t xml:space="preserve">Nel caso in cui un azionista non sia in grado di esercitare il diritto di prelazione per la sottoscrizione di nuove Azioni, la partecipazione di tale Azionista potrebbe essere diluita. </w:t>
            </w:r>
          </w:p>
          <w:p w14:paraId="525A91FD" w14:textId="77777777" w:rsidR="004976E9" w:rsidRPr="00273ED1" w:rsidRDefault="004976E9" w:rsidP="00E31E69">
            <w:pPr>
              <w:pStyle w:val="Paragraph"/>
              <w:spacing w:before="0" w:after="0" w:line="252" w:lineRule="auto"/>
              <w:rPr>
                <w:sz w:val="15"/>
                <w:szCs w:val="15"/>
              </w:rPr>
            </w:pPr>
            <w:r w:rsidRPr="00273ED1">
              <w:rPr>
                <w:b/>
                <w:bCs/>
                <w:i/>
                <w:iCs/>
                <w:sz w:val="15"/>
                <w:szCs w:val="15"/>
                <w:shd w:val="clear" w:color="auto" w:fill="FFFFFF"/>
              </w:rPr>
              <w:t>Detenzione delle Azioni in un conto fiduciario</w:t>
            </w:r>
          </w:p>
          <w:p w14:paraId="779F6A01" w14:textId="21B0B6EC" w:rsidR="004976E9" w:rsidRPr="00273ED1" w:rsidRDefault="004976E9" w:rsidP="00E31E69">
            <w:pPr>
              <w:pStyle w:val="Paragraph"/>
              <w:spacing w:before="0" w:after="0" w:line="252" w:lineRule="auto"/>
              <w:rPr>
                <w:sz w:val="15"/>
                <w:szCs w:val="15"/>
              </w:rPr>
            </w:pPr>
            <w:r w:rsidRPr="00273ED1">
              <w:rPr>
                <w:sz w:val="15"/>
                <w:szCs w:val="15"/>
              </w:rPr>
              <w:t xml:space="preserve">Le Azioni possono essere detenute tramite un conto fiduciario. Ai sensi del diritto estone, eventuali Azioni detenute su un conto </w:t>
            </w:r>
            <w:r w:rsidR="00101D08" w:rsidRPr="00273ED1">
              <w:rPr>
                <w:sz w:val="15"/>
                <w:szCs w:val="15"/>
              </w:rPr>
              <w:t>fiduciario dovranno</w:t>
            </w:r>
            <w:r w:rsidRPr="00273ED1">
              <w:rPr>
                <w:sz w:val="15"/>
                <w:szCs w:val="15"/>
              </w:rPr>
              <w:t xml:space="preserve"> essere considerate Azioni legalmente possedute dal proprietario del conto fiduciario. Ciò potrebbe comportare, per gli investitori che detengono le Azioni su un conto fiduciario, il mancato riconoscimento di certi diritti e privilegi se paragonati agli investitori che detengono le Azioni su propri conti titoli. Ciò si verifica particolarmente nel caso in cui si effettuino modifiche al capitale della Società ovvero alle Azioni (ad esempio nell'effettuare un raggruppamento di Azioni ovvero fornendo diritti di prelazione agli azionisti in occasione dell'emissione di nuove Azioni), dato che la Società tratterà tutte le Azioni detenute su un conto fiduciario come se fossero di proprietà di un investitore singolo. Nonostante quanto precede, i diritti di voto e i diritti a percepire dividendi e altri diritti patrimoniali collegati alle Azioni detenute in conti fiduciari e in ordinari conti titoli sono i medesimi.  </w:t>
            </w:r>
          </w:p>
          <w:p w14:paraId="39B29310" w14:textId="77777777" w:rsidR="004976E9" w:rsidRPr="00273ED1" w:rsidRDefault="004976E9" w:rsidP="00E31E69">
            <w:pPr>
              <w:pStyle w:val="Paragraph"/>
              <w:spacing w:before="0" w:after="0" w:line="252" w:lineRule="auto"/>
              <w:rPr>
                <w:sz w:val="15"/>
                <w:szCs w:val="15"/>
              </w:rPr>
            </w:pPr>
            <w:r w:rsidRPr="00273ED1">
              <w:rPr>
                <w:b/>
                <w:bCs/>
                <w:i/>
                <w:iCs/>
                <w:sz w:val="15"/>
                <w:szCs w:val="15"/>
                <w:shd w:val="clear" w:color="auto" w:fill="FFFFFF"/>
              </w:rPr>
              <w:t>Limitata copertura da parte degli analisti</w:t>
            </w:r>
          </w:p>
          <w:p w14:paraId="12C09978" w14:textId="77777777" w:rsidR="004976E9" w:rsidRPr="00273ED1" w:rsidRDefault="004976E9" w:rsidP="00E31E69">
            <w:pPr>
              <w:pStyle w:val="Paragraph"/>
              <w:spacing w:before="0" w:after="0" w:line="252" w:lineRule="auto"/>
              <w:rPr>
                <w:sz w:val="15"/>
                <w:szCs w:val="15"/>
              </w:rPr>
            </w:pPr>
            <w:r w:rsidRPr="00273ED1">
              <w:rPr>
                <w:sz w:val="15"/>
                <w:szCs w:val="15"/>
                <w:shd w:val="clear" w:color="auto" w:fill="FFFFFF"/>
              </w:rPr>
              <w:t xml:space="preserve">Il prezzo delle Azioni può essere parzialmente influenzato dalla relativa copertura da parte degli analisti. Nel caso in cui uno o più analisti abbassino il </w:t>
            </w:r>
            <w:r w:rsidRPr="00273ED1">
              <w:rPr>
                <w:i/>
                <w:iCs/>
                <w:sz w:val="15"/>
                <w:szCs w:val="15"/>
                <w:shd w:val="clear" w:color="auto" w:fill="FFFFFF"/>
              </w:rPr>
              <w:t>rating</w:t>
            </w:r>
            <w:r w:rsidRPr="00273ED1">
              <w:rPr>
                <w:sz w:val="15"/>
                <w:szCs w:val="15"/>
                <w:shd w:val="clear" w:color="auto" w:fill="FFFFFF"/>
              </w:rPr>
              <w:t xml:space="preserve"> delle Azioni, ciò potrà diminuire il prezzo e la liquidità delle Azioni. Nel caso in cui uno o più analisti smettano di coprire le Azioni, ciò potrebbe comportare una minore attenzione alla Società da parte degli investitori, il che potrebbe ancora una volta diminuire il prezzo e la liquidità delle Azioni. Non è possibile prevedere in alcun modo l'entità della futura copertura della Società da parte degli analisti. </w:t>
            </w:r>
          </w:p>
          <w:p w14:paraId="01CC3D1B" w14:textId="77777777" w:rsidR="004976E9" w:rsidRPr="00273ED1" w:rsidRDefault="004976E9" w:rsidP="00E31E69">
            <w:pPr>
              <w:pStyle w:val="Paragraph"/>
              <w:spacing w:before="0" w:after="0" w:line="252" w:lineRule="auto"/>
              <w:rPr>
                <w:sz w:val="15"/>
                <w:szCs w:val="15"/>
              </w:rPr>
            </w:pPr>
            <w:r w:rsidRPr="00273ED1">
              <w:rPr>
                <w:b/>
                <w:bCs/>
                <w:i/>
                <w:iCs/>
                <w:sz w:val="15"/>
                <w:szCs w:val="15"/>
              </w:rPr>
              <w:t>La trasferibilità delle Azioni potrebbe essere limitata dalla legge</w:t>
            </w:r>
          </w:p>
          <w:p w14:paraId="1350E43E" w14:textId="77777777" w:rsidR="004976E9" w:rsidRPr="00273ED1" w:rsidRDefault="004976E9" w:rsidP="00E31E69">
            <w:pPr>
              <w:pStyle w:val="Paragraph"/>
              <w:spacing w:before="0" w:after="0" w:line="252" w:lineRule="auto"/>
              <w:rPr>
                <w:sz w:val="15"/>
                <w:szCs w:val="15"/>
              </w:rPr>
            </w:pPr>
            <w:r w:rsidRPr="00273ED1">
              <w:rPr>
                <w:sz w:val="15"/>
                <w:szCs w:val="15"/>
              </w:rPr>
              <w:t xml:space="preserve">Le Azioni non sono state registrate negli Stati Uniti ai sensi del </w:t>
            </w:r>
            <w:r w:rsidRPr="00273ED1">
              <w:rPr>
                <w:i/>
                <w:iCs/>
                <w:sz w:val="15"/>
                <w:szCs w:val="15"/>
              </w:rPr>
              <w:t xml:space="preserve">Securities Act, </w:t>
            </w:r>
            <w:r w:rsidRPr="00273ED1">
              <w:rPr>
                <w:sz w:val="15"/>
                <w:szCs w:val="15"/>
              </w:rPr>
              <w:t xml:space="preserve">ai sensi di eventuali altre leggi applicabili sui titoli mobiliari, ovvero ai sensi delle leggi di altri ordinamenti. Il trasferimento delle Azioni potrebbe essere soggetto a restrizioni previste in tali leggi. La Società non intende richiedere l'ammissione alla negoziazione delle Azioni in eventuali mercati regolamentati diversi dal Mercato Regolamentato e non intende neppure costituire un mercato pubblico in alcun ordinamento. Le Azioni rientrano tra i “titoli vincolati” come definiti nella Regola 144(a)(3) ai sensi del </w:t>
            </w:r>
            <w:r w:rsidRPr="00273ED1">
              <w:rPr>
                <w:i/>
                <w:iCs/>
                <w:sz w:val="15"/>
                <w:szCs w:val="15"/>
              </w:rPr>
              <w:t>Securities Act</w:t>
            </w:r>
            <w:r w:rsidRPr="00273ED1">
              <w:rPr>
                <w:sz w:val="15"/>
                <w:szCs w:val="15"/>
              </w:rPr>
              <w:t xml:space="preserve"> e non sono liberamente negoziabili negli Stati Uniti. La libera trasferibilità delle Azioni potrebbero altresì essere soggetta a requisiti previsti dalle leggi di altri ordinamenti. </w:t>
            </w:r>
          </w:p>
          <w:p w14:paraId="2150D12E" w14:textId="77777777" w:rsidR="004976E9" w:rsidRPr="00273ED1" w:rsidRDefault="004976E9" w:rsidP="00E31E69">
            <w:pPr>
              <w:pStyle w:val="Paragraph"/>
              <w:spacing w:before="0" w:after="0" w:line="252" w:lineRule="auto"/>
              <w:rPr>
                <w:sz w:val="15"/>
                <w:szCs w:val="15"/>
              </w:rPr>
            </w:pPr>
            <w:r w:rsidRPr="00273ED1">
              <w:rPr>
                <w:b/>
                <w:bCs/>
                <w:i/>
                <w:iCs/>
                <w:sz w:val="15"/>
                <w:szCs w:val="15"/>
              </w:rPr>
              <w:t>Le turbolenze nei mercati emergenti potrebbero compromettere il valore delle Azioni</w:t>
            </w:r>
          </w:p>
          <w:p w14:paraId="34759419" w14:textId="77777777" w:rsidR="004976E9" w:rsidRPr="00273ED1" w:rsidRDefault="004976E9" w:rsidP="00E31E69">
            <w:pPr>
              <w:pStyle w:val="Paragraph"/>
              <w:spacing w:before="0" w:after="0" w:line="252" w:lineRule="auto"/>
              <w:rPr>
                <w:sz w:val="15"/>
                <w:szCs w:val="15"/>
              </w:rPr>
            </w:pPr>
            <w:r w:rsidRPr="00273ED1">
              <w:rPr>
                <w:sz w:val="15"/>
                <w:szCs w:val="15"/>
              </w:rPr>
              <w:t>Nel recente passato, le turbolenze finanziarie o di altro tipo nei mercati emergenti hanno negativamente influenzato i prezzi di mercato dei mercati mobiliari globali per le società operanti nelle economie in via di sviluppo. Anche nel caso in cui l'economia estone rimanga relativamente stabile, non si può assicurare che nuove ondate di volatilità derivanti da future turbolenze finanziarie, ovvero da altri fattori, come quelli politici, che possano emergere in altri mercati emergenti o altrove, non avranno un impatto negativo sul valore delle Azioni.</w:t>
            </w:r>
          </w:p>
          <w:p w14:paraId="1DBF5A60" w14:textId="77777777" w:rsidR="004976E9" w:rsidRPr="00273ED1" w:rsidRDefault="004976E9" w:rsidP="00E31E69">
            <w:pPr>
              <w:pStyle w:val="Paragraph"/>
              <w:spacing w:before="0" w:after="0" w:line="252" w:lineRule="auto"/>
              <w:rPr>
                <w:sz w:val="15"/>
                <w:szCs w:val="15"/>
              </w:rPr>
            </w:pPr>
            <w:r w:rsidRPr="00273ED1">
              <w:rPr>
                <w:b/>
                <w:bCs/>
                <w:i/>
                <w:iCs/>
                <w:sz w:val="15"/>
                <w:szCs w:val="15"/>
              </w:rPr>
              <w:t xml:space="preserve">Il trattamento fiscale degli investitori di una società estone può variare a seconda della rispettiva residenza fiscale </w:t>
            </w:r>
          </w:p>
          <w:p w14:paraId="50FADFCD" w14:textId="77777777" w:rsidR="004976E9" w:rsidRPr="00273ED1" w:rsidRDefault="004976E9" w:rsidP="00E31E69">
            <w:pPr>
              <w:pStyle w:val="Paragraph"/>
              <w:spacing w:before="0" w:after="0" w:line="252" w:lineRule="auto"/>
              <w:rPr>
                <w:sz w:val="15"/>
                <w:szCs w:val="15"/>
              </w:rPr>
            </w:pPr>
            <w:r w:rsidRPr="00273ED1">
              <w:rPr>
                <w:sz w:val="15"/>
                <w:szCs w:val="15"/>
              </w:rPr>
              <w:t xml:space="preserve">La Società è costituita ed opera ai sensi del diritto estone e conseguentemente il regime fiscale estone trova applicazione alla distribuzione di utili e di altri pagamenti effettuati dalla Società ai propri azionisti. La tassazione del reddito derivante da tali distribuzioni e di altri redditi, derivanti dalla cessione delle azioni, potrà variare a seconda della residenza fiscale dei singoli investitori oltre che dalla disponibilità di trattati contro le doppie imposizioni vigenti con l'Estonia. Le disposizioni applicabili a specifici investitori potrebbero essere sfavorevoli ovvero potrebbero essere emendate in senso sfavorevole. </w:t>
            </w:r>
          </w:p>
          <w:p w14:paraId="4368ADE3" w14:textId="77777777" w:rsidR="004976E9" w:rsidRPr="00273ED1" w:rsidRDefault="004976E9" w:rsidP="00E31E69">
            <w:pPr>
              <w:pStyle w:val="Paragraph"/>
              <w:spacing w:before="0" w:after="0" w:line="252" w:lineRule="auto"/>
              <w:rPr>
                <w:sz w:val="15"/>
                <w:szCs w:val="15"/>
              </w:rPr>
            </w:pPr>
            <w:r w:rsidRPr="00273ED1">
              <w:rPr>
                <w:sz w:val="15"/>
                <w:szCs w:val="15"/>
              </w:rPr>
              <w:t xml:space="preserve">L'eventuale qualificazione della Società quale società d'investimento estera passiva (la “PFIC”) ai fini fiscali federali statunitensi dovrà essere determinata con frequenza annuale e, conseguentemente, potrebbe essere soggetta a modifiche. La Società non effettuerà su base annuale l'analisi atta a determinare la propria qualificazione quale PFIC. Conseguentemente, si ricorda agli investitori statunitensi che saranno loro a dover effettuare tale analisi su base annuale. Nel caso in cui la Società fosse qualificata come PFIC in un qualsiasi anno, significative conseguenze fiscali svantaggiose potrebbero derivarne per ciascun titolare statunitense di Azioni (in altre parole ciascun beneficiario delle Azioni che è (i) cittadino o residente degli Stati Uniti ai fini fiscali federali statunitensi, (ii) una società, ovvero altro ente considerato una società, costituita ovvero organizzata ai sensi delle leggi degli Stati Uniti o di uno qualsiasi Stato facente parte degli stessi, (iii) un asse ereditario il cui reddito è soggetto alle imposte federali statunitensi a prescindere dalla relativa fonte ovvero (iv) un </w:t>
            </w:r>
            <w:r w:rsidRPr="00273ED1">
              <w:rPr>
                <w:i/>
                <w:sz w:val="15"/>
                <w:szCs w:val="15"/>
              </w:rPr>
              <w:t>trust</w:t>
            </w:r>
            <w:r w:rsidRPr="00273ED1">
              <w:rPr>
                <w:sz w:val="15"/>
                <w:szCs w:val="15"/>
              </w:rPr>
              <w:t xml:space="preserve"> nel caso in cui una corte situata negli Stati Uniti sia in grado di esercitare supervisione principale sull'amministrazione del trust e uno o più persone statunitense abbiano l'autorità di controllare tutte le decisioni sostanziali del trust)). </w:t>
            </w:r>
          </w:p>
          <w:p w14:paraId="21E3C551" w14:textId="77777777" w:rsidR="004976E9" w:rsidRPr="00273ED1" w:rsidRDefault="004976E9" w:rsidP="00E31E69">
            <w:pPr>
              <w:pStyle w:val="Paragraph"/>
              <w:spacing w:before="0" w:after="0" w:line="252" w:lineRule="auto"/>
              <w:rPr>
                <w:sz w:val="15"/>
                <w:szCs w:val="15"/>
              </w:rPr>
            </w:pPr>
            <w:r w:rsidRPr="00273ED1">
              <w:rPr>
                <w:sz w:val="15"/>
                <w:szCs w:val="15"/>
              </w:rPr>
              <w:t xml:space="preserve">Ciascun investitore potrebbe essere soggetto a tassazione al di fuori dell'Estonia e conseguentemente dovrebbe consultare il proprio consulente fiscale. Non si può assicurare che le eventuali attività, che il Gruppo potrebbe svolgere in qualsiasi momento futuro, non comportino ulteriori imposte a carico dell'investitore. </w:t>
            </w:r>
          </w:p>
          <w:p w14:paraId="3A1584D3" w14:textId="77777777" w:rsidR="004976E9" w:rsidRPr="00273ED1" w:rsidRDefault="004976E9" w:rsidP="00E31E69">
            <w:pPr>
              <w:pStyle w:val="Paragraph"/>
              <w:spacing w:before="0" w:after="0" w:line="252" w:lineRule="auto"/>
              <w:rPr>
                <w:sz w:val="15"/>
                <w:szCs w:val="15"/>
              </w:rPr>
            </w:pPr>
            <w:r w:rsidRPr="00273ED1">
              <w:rPr>
                <w:sz w:val="15"/>
                <w:szCs w:val="15"/>
              </w:rPr>
              <w:t xml:space="preserve">Le persone giuridiche estoni non pagano l'imposta sul reddito da plusvalenze ricevute dalla vendita o scambio di Azioni fino alla distribuzione. La regola generale, è che l'imposta sul reddito non è applicata sui guadagni realizzati anche dai non residenti (siano essi persone giuridiche o persone fisiche). Tuttavia, le imposte sul reddito estoni sono applicate sulle plusvalenze realizzate dalla vendita o scambio di Azioni di una “società immobiliare” se la partecipazione del non residente eccede il 10%. A tali fini una “società immobiliare” è una società, fondo d'investimento disciplinato in via contrattuale ovvero altro complesso di beni la cui proprietà, al momento del trasferimento o durante un periodo di 2 anni prima del trasferimento, più del 50% era direttamente o indirettamente costituto da immobili o strutture mobili situate in Estonia. Conseguentemente, nel caso in cui la Società sia considerata una “società immobiliare”, ciò comporterebbe l'applicabilità del requisito di pagare le </w:t>
            </w:r>
            <w:r w:rsidRPr="00273ED1">
              <w:rPr>
                <w:sz w:val="15"/>
                <w:szCs w:val="15"/>
              </w:rPr>
              <w:lastRenderedPageBreak/>
              <w:t xml:space="preserve">imposte estoni sul reddito sulle plusvalenze realizzate dalla vendita o scambio di Azioni da parte di un non residente, la cui partecipazione ecceda il 10% del capitale sociale della Società prima di tale vendita o scambio. </w:t>
            </w:r>
          </w:p>
          <w:p w14:paraId="669568AB" w14:textId="77777777" w:rsidR="004976E9" w:rsidRPr="00273ED1" w:rsidRDefault="004976E9" w:rsidP="00E31E69">
            <w:pPr>
              <w:pStyle w:val="Paragraph"/>
              <w:spacing w:before="0" w:after="0" w:line="252" w:lineRule="auto"/>
              <w:rPr>
                <w:sz w:val="15"/>
                <w:szCs w:val="15"/>
              </w:rPr>
            </w:pPr>
            <w:r w:rsidRPr="00273ED1">
              <w:rPr>
                <w:b/>
                <w:bCs/>
                <w:i/>
                <w:iCs/>
                <w:sz w:val="15"/>
                <w:szCs w:val="15"/>
              </w:rPr>
              <w:t>Limitazioni all'eseguibilità delle sentenze a carico della Società</w:t>
            </w:r>
          </w:p>
          <w:p w14:paraId="0CDD560B" w14:textId="77777777" w:rsidR="004976E9" w:rsidRPr="00273ED1" w:rsidRDefault="004976E9" w:rsidP="00E31E69">
            <w:pPr>
              <w:pStyle w:val="Paragraph"/>
              <w:spacing w:before="0" w:after="0" w:line="252" w:lineRule="auto"/>
              <w:rPr>
                <w:sz w:val="15"/>
                <w:szCs w:val="15"/>
              </w:rPr>
            </w:pPr>
            <w:r w:rsidRPr="00273ED1">
              <w:rPr>
                <w:sz w:val="15"/>
                <w:szCs w:val="15"/>
              </w:rPr>
              <w:t>Potrebbe essere difficile dare esecuzione a sentenze estere a carico della Società.</w:t>
            </w:r>
          </w:p>
          <w:p w14:paraId="223AA962" w14:textId="7DD0BF99" w:rsidR="004976E9" w:rsidRPr="00273ED1" w:rsidRDefault="004976E9" w:rsidP="00E31E69">
            <w:pPr>
              <w:pStyle w:val="Paragraph"/>
              <w:spacing w:before="0" w:after="0" w:line="252" w:lineRule="auto"/>
              <w:rPr>
                <w:sz w:val="15"/>
                <w:szCs w:val="15"/>
              </w:rPr>
            </w:pPr>
            <w:r w:rsidRPr="00273ED1">
              <w:rPr>
                <w:sz w:val="15"/>
                <w:szCs w:val="15"/>
              </w:rPr>
              <w:t xml:space="preserve">La Società è costituta in Estonia. Il riconoscimento e l'esecuzione di sentenze e di altri documenti esecutivi degli stati membri dell'Unione </w:t>
            </w:r>
            <w:r w:rsidR="00101D08" w:rsidRPr="00273ED1">
              <w:rPr>
                <w:sz w:val="15"/>
                <w:szCs w:val="15"/>
              </w:rPr>
              <w:t>Europea è</w:t>
            </w:r>
            <w:r w:rsidRPr="00273ED1">
              <w:rPr>
                <w:sz w:val="15"/>
                <w:szCs w:val="15"/>
              </w:rPr>
              <w:t xml:space="preserve"> soggetto a restrizioni e limitazioni previste nel Regolamento </w:t>
            </w:r>
            <w:r w:rsidR="0015620D" w:rsidRPr="00273ED1">
              <w:rPr>
                <w:sz w:val="15"/>
                <w:szCs w:val="15"/>
              </w:rPr>
              <w:t>UE 1215/2012</w:t>
            </w:r>
            <w:r w:rsidRPr="00273ED1">
              <w:rPr>
                <w:sz w:val="15"/>
                <w:szCs w:val="15"/>
              </w:rPr>
              <w:t xml:space="preserve"> ovvero Regolamento (CE) N. 805/2004 del Parlamento europeo e del Consiglio.</w:t>
            </w:r>
          </w:p>
          <w:p w14:paraId="3F80CFB8" w14:textId="77777777" w:rsidR="004976E9" w:rsidRPr="00273ED1" w:rsidRDefault="004976E9" w:rsidP="00E31E69">
            <w:pPr>
              <w:pStyle w:val="Paragraph"/>
              <w:spacing w:before="0" w:after="0" w:line="252" w:lineRule="auto"/>
              <w:rPr>
                <w:sz w:val="15"/>
                <w:szCs w:val="15"/>
              </w:rPr>
            </w:pPr>
            <w:r w:rsidRPr="00273ED1">
              <w:rPr>
                <w:sz w:val="15"/>
                <w:szCs w:val="15"/>
              </w:rPr>
              <w:t xml:space="preserve">Il riconoscimento e l'esecuzione delle sentenze e di altri documenti esecutivi di qualsiasi altro paese estero è soggetto alle restrizioni e limitazioni previste nel Codice di procedura civile estone. Una sentenza di tali paesi esteri non è riconosciuta dalla legge Estone se, </w:t>
            </w:r>
            <w:r w:rsidRPr="00273ED1">
              <w:rPr>
                <w:i/>
                <w:iCs/>
                <w:sz w:val="15"/>
                <w:szCs w:val="15"/>
              </w:rPr>
              <w:t>inter alia</w:t>
            </w:r>
            <w:r w:rsidRPr="00273ED1">
              <w:rPr>
                <w:sz w:val="15"/>
                <w:szCs w:val="15"/>
              </w:rPr>
              <w:t xml:space="preserve">, tale sentenza (a) sia evidentemente contraria ai principi essenziali di diritto estone (ordine pubblico), (b) la sentenza è in conflitto con una precedente sentenza adottata in Estonia sulla stessa questione ed emessa tra le stesse parti ovvero nel caso in cui una azioni tra le stesse parti sia stata depositata presso un tribunale estone; (c) sia in conflitto con una decisione di un tribunale estero sulla stessa questione tra le stesse parti che è stata precedentemente riconosciuta in Estonia; (d) sia in conflitto con una decisione emessa in un paese estero sulla stessa materia tra le stesse parti che non è stata riconosciuta in Estonia, nel caso in cui la precedente decisione giudiziale dello stato estero sia soggetta a riconoscimento o esecuzione in Estonia. Tale sentenza non sarà riconosciuta in Estonia anche nel caso in cui il convenuto non sia stato ragionevolmente in grado di difendere i propri diritti ovvero il tribunale che ha emesso la sentenza non abbia deciso nel rispetto delle disposizioni del diritto estone in materia di giurisdizione internazionale. </w:t>
            </w:r>
          </w:p>
          <w:p w14:paraId="4BADABBF" w14:textId="77777777" w:rsidR="004976E9" w:rsidRPr="00273ED1" w:rsidRDefault="004976E9" w:rsidP="00E31E69">
            <w:pPr>
              <w:spacing w:line="252" w:lineRule="auto"/>
              <w:jc w:val="both"/>
              <w:rPr>
                <w:rFonts w:ascii="Arial" w:hAnsi="Arial" w:cs="Arial"/>
                <w:b/>
                <w:color w:val="000000"/>
                <w:sz w:val="15"/>
                <w:szCs w:val="15"/>
                <w:shd w:val="clear" w:color="auto" w:fill="FFFFFF"/>
              </w:rPr>
            </w:pPr>
          </w:p>
        </w:tc>
      </w:tr>
      <w:tr w:rsidR="004976E9" w:rsidRPr="00273ED1" w14:paraId="24DA87FB" w14:textId="77777777" w:rsidTr="00E31E69">
        <w:tc>
          <w:tcPr>
            <w:tcW w:w="9752" w:type="dxa"/>
            <w:gridSpan w:val="3"/>
            <w:tcBorders>
              <w:top w:val="single" w:sz="4" w:space="0" w:color="808080"/>
              <w:left w:val="single" w:sz="4" w:space="0" w:color="BFBFBF"/>
              <w:bottom w:val="single" w:sz="4" w:space="0" w:color="808080"/>
              <w:right w:val="single" w:sz="4" w:space="0" w:color="BFBFBF"/>
            </w:tcBorders>
            <w:shd w:val="clear" w:color="auto" w:fill="C8501E"/>
          </w:tcPr>
          <w:p w14:paraId="58E4B8AC" w14:textId="77777777" w:rsidR="004976E9" w:rsidRPr="00273ED1" w:rsidRDefault="004976E9" w:rsidP="00E31E69">
            <w:pPr>
              <w:spacing w:line="252" w:lineRule="auto"/>
              <w:jc w:val="both"/>
              <w:rPr>
                <w:rFonts w:ascii="Arial" w:hAnsi="Arial" w:cs="Arial"/>
                <w:color w:val="FFFFFF" w:themeColor="background1"/>
                <w:sz w:val="15"/>
                <w:szCs w:val="15"/>
              </w:rPr>
            </w:pPr>
          </w:p>
          <w:p w14:paraId="598D82AA" w14:textId="77777777" w:rsidR="004976E9" w:rsidRPr="00273ED1" w:rsidRDefault="004976E9" w:rsidP="00E31E69">
            <w:pPr>
              <w:spacing w:line="252" w:lineRule="auto"/>
              <w:jc w:val="center"/>
              <w:rPr>
                <w:sz w:val="15"/>
                <w:szCs w:val="15"/>
              </w:rPr>
            </w:pPr>
            <w:r w:rsidRPr="00273ED1">
              <w:rPr>
                <w:rFonts w:ascii="Arial" w:hAnsi="Arial" w:cs="Arial"/>
                <w:b/>
                <w:bCs/>
                <w:color w:val="FFFFFF" w:themeColor="background1"/>
                <w:sz w:val="15"/>
                <w:szCs w:val="15"/>
              </w:rPr>
              <w:t>Sezione E – Offerta</w:t>
            </w:r>
          </w:p>
        </w:tc>
      </w:tr>
      <w:tr w:rsidR="004976E9" w:rsidRPr="00273ED1" w14:paraId="0C411EC1" w14:textId="77777777" w:rsidTr="00E31E69">
        <w:tc>
          <w:tcPr>
            <w:tcW w:w="706" w:type="dxa"/>
            <w:tcBorders>
              <w:top w:val="single" w:sz="4" w:space="0" w:color="808080"/>
              <w:left w:val="single" w:sz="4" w:space="0" w:color="BFBFBF"/>
              <w:bottom w:val="single" w:sz="4" w:space="0" w:color="808080"/>
              <w:right w:val="single" w:sz="4" w:space="0" w:color="808080"/>
            </w:tcBorders>
            <w:hideMark/>
          </w:tcPr>
          <w:p w14:paraId="6E9F61F3" w14:textId="77777777" w:rsidR="004976E9" w:rsidRPr="00273ED1" w:rsidRDefault="004976E9" w:rsidP="00E31E69">
            <w:pPr>
              <w:spacing w:line="252" w:lineRule="auto"/>
              <w:jc w:val="both"/>
              <w:rPr>
                <w:sz w:val="15"/>
                <w:szCs w:val="15"/>
              </w:rPr>
            </w:pPr>
            <w:r w:rsidRPr="00273ED1">
              <w:rPr>
                <w:rFonts w:ascii="Arial" w:hAnsi="Arial" w:cs="Arial"/>
                <w:i/>
                <w:iCs/>
                <w:sz w:val="15"/>
                <w:szCs w:val="15"/>
              </w:rPr>
              <w:t>Ele-mento</w:t>
            </w:r>
          </w:p>
        </w:tc>
        <w:tc>
          <w:tcPr>
            <w:tcW w:w="1553" w:type="dxa"/>
            <w:tcBorders>
              <w:top w:val="single" w:sz="4" w:space="0" w:color="808080"/>
              <w:left w:val="single" w:sz="4" w:space="0" w:color="808080"/>
              <w:bottom w:val="single" w:sz="4" w:space="0" w:color="808080"/>
              <w:right w:val="single" w:sz="4" w:space="0" w:color="808080"/>
            </w:tcBorders>
            <w:hideMark/>
          </w:tcPr>
          <w:p w14:paraId="737DA933" w14:textId="77777777" w:rsidR="004976E9" w:rsidRPr="00273ED1" w:rsidRDefault="004976E9" w:rsidP="00E31E69">
            <w:pPr>
              <w:spacing w:line="252" w:lineRule="auto"/>
              <w:jc w:val="both"/>
              <w:rPr>
                <w:sz w:val="15"/>
                <w:szCs w:val="15"/>
              </w:rPr>
            </w:pPr>
            <w:r w:rsidRPr="00273ED1">
              <w:rPr>
                <w:rFonts w:ascii="Arial" w:hAnsi="Arial" w:cs="Arial"/>
                <w:i/>
                <w:iCs/>
                <w:sz w:val="15"/>
                <w:szCs w:val="15"/>
              </w:rPr>
              <w:t>Titolo</w:t>
            </w:r>
          </w:p>
        </w:tc>
        <w:tc>
          <w:tcPr>
            <w:tcW w:w="7493" w:type="dxa"/>
            <w:tcBorders>
              <w:top w:val="single" w:sz="4" w:space="0" w:color="808080"/>
              <w:left w:val="single" w:sz="4" w:space="0" w:color="808080"/>
              <w:bottom w:val="single" w:sz="4" w:space="0" w:color="808080"/>
              <w:right w:val="single" w:sz="4" w:space="0" w:color="BFBFBF"/>
            </w:tcBorders>
            <w:hideMark/>
          </w:tcPr>
          <w:p w14:paraId="36D10888" w14:textId="77777777" w:rsidR="004976E9" w:rsidRPr="00273ED1" w:rsidRDefault="004976E9" w:rsidP="00E31E69">
            <w:pPr>
              <w:spacing w:line="252" w:lineRule="auto"/>
              <w:jc w:val="both"/>
              <w:rPr>
                <w:sz w:val="15"/>
                <w:szCs w:val="15"/>
              </w:rPr>
            </w:pPr>
            <w:r w:rsidRPr="00273ED1">
              <w:rPr>
                <w:rFonts w:ascii="Arial" w:hAnsi="Arial" w:cs="Arial"/>
                <w:i/>
                <w:iCs/>
                <w:sz w:val="15"/>
                <w:szCs w:val="15"/>
              </w:rPr>
              <w:t>Informazione</w:t>
            </w:r>
          </w:p>
        </w:tc>
      </w:tr>
      <w:tr w:rsidR="004976E9" w:rsidRPr="00273ED1" w14:paraId="385DF3FE" w14:textId="77777777" w:rsidTr="00E31E69">
        <w:tc>
          <w:tcPr>
            <w:tcW w:w="706" w:type="dxa"/>
            <w:tcBorders>
              <w:top w:val="single" w:sz="4" w:space="0" w:color="808080"/>
              <w:left w:val="single" w:sz="4" w:space="0" w:color="BFBFBF"/>
              <w:bottom w:val="single" w:sz="4" w:space="0" w:color="808080"/>
              <w:right w:val="single" w:sz="4" w:space="0" w:color="808080"/>
            </w:tcBorders>
            <w:hideMark/>
          </w:tcPr>
          <w:p w14:paraId="39458152" w14:textId="77777777" w:rsidR="004976E9" w:rsidRPr="00273ED1" w:rsidRDefault="004976E9" w:rsidP="00E31E69">
            <w:pPr>
              <w:spacing w:line="252" w:lineRule="auto"/>
              <w:jc w:val="both"/>
              <w:rPr>
                <w:rFonts w:ascii="Arial" w:hAnsi="Arial" w:cs="Arial"/>
                <w:sz w:val="15"/>
                <w:szCs w:val="15"/>
              </w:rPr>
            </w:pPr>
            <w:r w:rsidRPr="00273ED1">
              <w:rPr>
                <w:rFonts w:ascii="Arial" w:hAnsi="Arial" w:cs="Arial"/>
                <w:sz w:val="15"/>
                <w:szCs w:val="15"/>
              </w:rPr>
              <w:t>E.1</w:t>
            </w:r>
          </w:p>
        </w:tc>
        <w:tc>
          <w:tcPr>
            <w:tcW w:w="1553" w:type="dxa"/>
            <w:tcBorders>
              <w:top w:val="single" w:sz="4" w:space="0" w:color="808080"/>
              <w:left w:val="single" w:sz="4" w:space="0" w:color="808080"/>
              <w:bottom w:val="single" w:sz="4" w:space="0" w:color="808080"/>
              <w:right w:val="single" w:sz="4" w:space="0" w:color="808080"/>
            </w:tcBorders>
            <w:hideMark/>
          </w:tcPr>
          <w:p w14:paraId="3A7EEAE6" w14:textId="77777777" w:rsidR="004976E9" w:rsidRPr="00273ED1" w:rsidRDefault="004976E9" w:rsidP="00E31E69">
            <w:pPr>
              <w:spacing w:line="252" w:lineRule="auto"/>
              <w:jc w:val="both"/>
              <w:rPr>
                <w:sz w:val="15"/>
                <w:szCs w:val="15"/>
              </w:rPr>
            </w:pPr>
            <w:r w:rsidRPr="00273ED1">
              <w:rPr>
                <w:rFonts w:ascii="Arial" w:hAnsi="Arial" w:cs="Arial"/>
                <w:sz w:val="15"/>
                <w:szCs w:val="15"/>
              </w:rPr>
              <w:t>Proventi netti totali. Stima delle spese totali legate all'ammissione (compresa la stima delle spese a carico degli azionisti)</w:t>
            </w:r>
          </w:p>
        </w:tc>
        <w:tc>
          <w:tcPr>
            <w:tcW w:w="7493" w:type="dxa"/>
            <w:tcBorders>
              <w:top w:val="single" w:sz="4" w:space="0" w:color="808080"/>
              <w:left w:val="single" w:sz="4" w:space="0" w:color="808080"/>
              <w:bottom w:val="single" w:sz="4" w:space="0" w:color="808080"/>
              <w:right w:val="single" w:sz="4" w:space="0" w:color="BFBFBF"/>
            </w:tcBorders>
            <w:hideMark/>
          </w:tcPr>
          <w:p w14:paraId="320657AA" w14:textId="594BD73B" w:rsidR="004976E9" w:rsidRPr="00273ED1" w:rsidRDefault="004976E9" w:rsidP="00AB4DB4">
            <w:pPr>
              <w:spacing w:line="252" w:lineRule="auto"/>
              <w:jc w:val="both"/>
              <w:rPr>
                <w:sz w:val="15"/>
                <w:szCs w:val="15"/>
              </w:rPr>
            </w:pPr>
            <w:r w:rsidRPr="00273ED1">
              <w:rPr>
                <w:rFonts w:ascii="Arial" w:hAnsi="Arial" w:cs="Arial"/>
                <w:sz w:val="15"/>
                <w:szCs w:val="15"/>
              </w:rPr>
              <w:t xml:space="preserve">La Società prevede di ricavare EURO </w:t>
            </w:r>
            <w:r w:rsidR="007E2C3E" w:rsidRPr="00273ED1">
              <w:rPr>
                <w:rFonts w:ascii="Arial" w:hAnsi="Arial" w:cs="Arial"/>
                <w:sz w:val="15"/>
                <w:szCs w:val="15"/>
              </w:rPr>
              <w:t xml:space="preserve">da </w:t>
            </w:r>
            <w:r w:rsidR="00641BE9" w:rsidRPr="00273ED1">
              <w:rPr>
                <w:rFonts w:ascii="Arial" w:hAnsi="Arial" w:cs="Arial"/>
                <w:sz w:val="15"/>
                <w:szCs w:val="15"/>
              </w:rPr>
              <w:t>10</w:t>
            </w:r>
            <w:r w:rsidR="00697CE7">
              <w:rPr>
                <w:rFonts w:ascii="Arial" w:hAnsi="Arial" w:cs="Arial"/>
                <w:sz w:val="15"/>
                <w:szCs w:val="15"/>
              </w:rPr>
              <w:t>,</w:t>
            </w:r>
            <w:r w:rsidR="00641BE9" w:rsidRPr="00273ED1">
              <w:rPr>
                <w:rFonts w:ascii="Arial" w:hAnsi="Arial" w:cs="Arial"/>
                <w:sz w:val="15"/>
                <w:szCs w:val="15"/>
              </w:rPr>
              <w:t>8 a 13</w:t>
            </w:r>
            <w:r w:rsidR="00697CE7">
              <w:rPr>
                <w:rFonts w:ascii="Arial" w:hAnsi="Arial" w:cs="Arial"/>
                <w:sz w:val="15"/>
                <w:szCs w:val="15"/>
              </w:rPr>
              <w:t>,</w:t>
            </w:r>
            <w:r w:rsidR="00641BE9" w:rsidRPr="00273ED1">
              <w:rPr>
                <w:rFonts w:ascii="Arial" w:hAnsi="Arial" w:cs="Arial"/>
                <w:sz w:val="15"/>
                <w:szCs w:val="15"/>
              </w:rPr>
              <w:t>8</w:t>
            </w:r>
            <w:r w:rsidR="0092354B" w:rsidRPr="00273ED1">
              <w:rPr>
                <w:rFonts w:ascii="Arial" w:hAnsi="Arial" w:cs="Arial"/>
                <w:sz w:val="15"/>
                <w:szCs w:val="15"/>
              </w:rPr>
              <w:t xml:space="preserve"> milion</w:t>
            </w:r>
            <w:r w:rsidR="00AB4DB4" w:rsidRPr="00273ED1">
              <w:rPr>
                <w:rFonts w:ascii="Arial" w:hAnsi="Arial" w:cs="Arial"/>
                <w:sz w:val="15"/>
                <w:szCs w:val="15"/>
              </w:rPr>
              <w:t>i</w:t>
            </w:r>
            <w:r w:rsidRPr="00273ED1">
              <w:rPr>
                <w:rFonts w:ascii="Arial" w:hAnsi="Arial" w:cs="Arial"/>
                <w:sz w:val="15"/>
                <w:szCs w:val="15"/>
              </w:rPr>
              <w:t xml:space="preserve"> dall'Offerta nel caso in cui tutte le Azioni sia</w:t>
            </w:r>
            <w:r w:rsidR="0015620D" w:rsidRPr="00273ED1">
              <w:rPr>
                <w:rFonts w:ascii="Arial" w:hAnsi="Arial" w:cs="Arial"/>
                <w:sz w:val="15"/>
                <w:szCs w:val="15"/>
              </w:rPr>
              <w:t>no</w:t>
            </w:r>
            <w:r w:rsidRPr="00273ED1">
              <w:rPr>
                <w:rFonts w:ascii="Arial" w:hAnsi="Arial" w:cs="Arial"/>
                <w:sz w:val="15"/>
                <w:szCs w:val="15"/>
              </w:rPr>
              <w:t xml:space="preserve"> </w:t>
            </w:r>
            <w:r w:rsidR="00101D08" w:rsidRPr="00273ED1">
              <w:rPr>
                <w:rFonts w:ascii="Arial" w:hAnsi="Arial" w:cs="Arial"/>
                <w:sz w:val="15"/>
                <w:szCs w:val="15"/>
              </w:rPr>
              <w:t>sottoscritte (</w:t>
            </w:r>
            <w:r w:rsidR="0015620D" w:rsidRPr="00273ED1">
              <w:rPr>
                <w:rFonts w:ascii="Arial" w:hAnsi="Arial" w:cs="Arial"/>
                <w:sz w:val="15"/>
                <w:szCs w:val="15"/>
              </w:rPr>
              <w:t xml:space="preserve">e il Prezzo di Offerta </w:t>
            </w:r>
            <w:r w:rsidR="00C25503" w:rsidRPr="00273ED1">
              <w:rPr>
                <w:rFonts w:ascii="Arial" w:hAnsi="Arial" w:cs="Arial"/>
                <w:sz w:val="15"/>
                <w:szCs w:val="15"/>
              </w:rPr>
              <w:t>sarà</w:t>
            </w:r>
            <w:r w:rsidR="00E4711F" w:rsidRPr="00273ED1">
              <w:rPr>
                <w:rFonts w:ascii="Arial" w:hAnsi="Arial" w:cs="Arial"/>
                <w:sz w:val="15"/>
                <w:szCs w:val="15"/>
              </w:rPr>
              <w:t xml:space="preserve"> </w:t>
            </w:r>
            <w:r w:rsidR="0015620D" w:rsidRPr="00273ED1">
              <w:rPr>
                <w:rFonts w:ascii="Arial" w:hAnsi="Arial" w:cs="Arial"/>
                <w:sz w:val="15"/>
                <w:szCs w:val="15"/>
              </w:rPr>
              <w:t>nella fascia del Prezzo di Offerta, i.e.</w:t>
            </w:r>
            <w:r w:rsidRPr="00273ED1">
              <w:rPr>
                <w:rFonts w:ascii="Arial" w:hAnsi="Arial" w:cs="Arial"/>
                <w:sz w:val="15"/>
                <w:szCs w:val="15"/>
              </w:rPr>
              <w:t xml:space="preserve">  EURO </w:t>
            </w:r>
            <w:r w:rsidR="00FA5FD2" w:rsidRPr="00273ED1">
              <w:rPr>
                <w:rFonts w:ascii="Arial" w:hAnsi="Arial" w:cs="Arial"/>
                <w:sz w:val="15"/>
                <w:szCs w:val="15"/>
              </w:rPr>
              <w:t xml:space="preserve">da </w:t>
            </w:r>
            <w:r w:rsidR="00641BE9" w:rsidRPr="00273ED1">
              <w:rPr>
                <w:rFonts w:ascii="Arial" w:hAnsi="Arial" w:cs="Arial"/>
                <w:sz w:val="15"/>
                <w:szCs w:val="15"/>
              </w:rPr>
              <w:t>1</w:t>
            </w:r>
            <w:r w:rsidR="009A2540">
              <w:rPr>
                <w:rFonts w:ascii="Arial" w:hAnsi="Arial" w:cs="Arial"/>
                <w:sz w:val="15"/>
                <w:szCs w:val="15"/>
              </w:rPr>
              <w:t>,</w:t>
            </w:r>
            <w:r w:rsidR="00641BE9" w:rsidRPr="00273ED1">
              <w:rPr>
                <w:rFonts w:ascii="Arial" w:hAnsi="Arial" w:cs="Arial"/>
                <w:sz w:val="15"/>
                <w:szCs w:val="15"/>
              </w:rPr>
              <w:t>80 a 2</w:t>
            </w:r>
            <w:r w:rsidR="009A2540">
              <w:rPr>
                <w:rFonts w:ascii="Arial" w:hAnsi="Arial" w:cs="Arial"/>
                <w:sz w:val="15"/>
                <w:szCs w:val="15"/>
              </w:rPr>
              <w:t>,</w:t>
            </w:r>
            <w:r w:rsidR="00641BE9" w:rsidRPr="00273ED1">
              <w:rPr>
                <w:rFonts w:ascii="Arial" w:hAnsi="Arial" w:cs="Arial"/>
                <w:sz w:val="15"/>
                <w:szCs w:val="15"/>
              </w:rPr>
              <w:t>30</w:t>
            </w:r>
            <w:r w:rsidRPr="00273ED1">
              <w:rPr>
                <w:rFonts w:ascii="Arial" w:hAnsi="Arial" w:cs="Arial"/>
                <w:sz w:val="15"/>
                <w:szCs w:val="15"/>
              </w:rPr>
              <w:t xml:space="preserve"> per Azione). La stima delle spese totali legate all'Offerta e all'Ammissione ammonta</w:t>
            </w:r>
            <w:r w:rsidR="00AB4DB4" w:rsidRPr="00273ED1">
              <w:rPr>
                <w:rFonts w:ascii="Arial" w:hAnsi="Arial" w:cs="Arial"/>
                <w:sz w:val="15"/>
                <w:szCs w:val="15"/>
              </w:rPr>
              <w:t xml:space="preserve"> </w:t>
            </w:r>
            <w:r w:rsidR="0055645F" w:rsidRPr="00273ED1">
              <w:rPr>
                <w:rFonts w:ascii="Arial" w:hAnsi="Arial" w:cs="Arial"/>
                <w:sz w:val="15"/>
                <w:szCs w:val="15"/>
              </w:rPr>
              <w:t>approssimativamente</w:t>
            </w:r>
            <w:r w:rsidRPr="00273ED1">
              <w:rPr>
                <w:rFonts w:ascii="Arial" w:hAnsi="Arial" w:cs="Arial"/>
                <w:sz w:val="15"/>
                <w:szCs w:val="15"/>
              </w:rPr>
              <w:t xml:space="preserve"> a EURO </w:t>
            </w:r>
            <w:r w:rsidR="00641BE9" w:rsidRPr="00273ED1">
              <w:rPr>
                <w:rFonts w:ascii="Arial" w:hAnsi="Arial" w:cs="Arial"/>
                <w:sz w:val="15"/>
                <w:szCs w:val="15"/>
              </w:rPr>
              <w:t>da 480 a 600</w:t>
            </w:r>
            <w:r w:rsidR="00AB4DB4" w:rsidRPr="00273ED1">
              <w:rPr>
                <w:rFonts w:ascii="Arial" w:hAnsi="Arial" w:cs="Arial"/>
                <w:sz w:val="15"/>
                <w:szCs w:val="15"/>
              </w:rPr>
              <w:t xml:space="preserve"> mila</w:t>
            </w:r>
            <w:r w:rsidRPr="00273ED1">
              <w:rPr>
                <w:rFonts w:ascii="Arial" w:hAnsi="Arial" w:cs="Arial"/>
                <w:sz w:val="15"/>
                <w:szCs w:val="15"/>
              </w:rPr>
              <w:t xml:space="preserve">. Conseguentemente, la previsione dei proventi netti legati all'emissione di Azioni è </w:t>
            </w:r>
            <w:r w:rsidR="00AB4DB4" w:rsidRPr="00273ED1">
              <w:rPr>
                <w:rFonts w:ascii="Arial" w:hAnsi="Arial" w:cs="Arial"/>
                <w:sz w:val="15"/>
                <w:szCs w:val="15"/>
              </w:rPr>
              <w:t xml:space="preserve">approssimativamente </w:t>
            </w:r>
            <w:r w:rsidRPr="00273ED1">
              <w:rPr>
                <w:rFonts w:ascii="Arial" w:hAnsi="Arial" w:cs="Arial"/>
                <w:sz w:val="15"/>
                <w:szCs w:val="15"/>
              </w:rPr>
              <w:t>pari a</w:t>
            </w:r>
            <w:r w:rsidR="00AB4DB4" w:rsidRPr="00273ED1">
              <w:rPr>
                <w:rFonts w:ascii="Arial" w:hAnsi="Arial" w:cs="Arial"/>
                <w:sz w:val="15"/>
                <w:szCs w:val="15"/>
              </w:rPr>
              <w:t xml:space="preserve"> </w:t>
            </w:r>
            <w:r w:rsidRPr="00273ED1">
              <w:rPr>
                <w:rFonts w:ascii="Arial" w:hAnsi="Arial" w:cs="Arial"/>
                <w:sz w:val="15"/>
                <w:szCs w:val="15"/>
              </w:rPr>
              <w:t xml:space="preserve">EURO </w:t>
            </w:r>
            <w:r w:rsidR="00641BE9" w:rsidRPr="00273ED1">
              <w:rPr>
                <w:rFonts w:ascii="Arial" w:hAnsi="Arial" w:cs="Arial"/>
                <w:sz w:val="15"/>
                <w:szCs w:val="15"/>
              </w:rPr>
              <w:t>da 10</w:t>
            </w:r>
            <w:r w:rsidR="00697CE7">
              <w:rPr>
                <w:rFonts w:ascii="Arial" w:hAnsi="Arial" w:cs="Arial"/>
                <w:sz w:val="15"/>
                <w:szCs w:val="15"/>
              </w:rPr>
              <w:t>,</w:t>
            </w:r>
            <w:r w:rsidR="00641BE9" w:rsidRPr="00273ED1">
              <w:rPr>
                <w:rFonts w:ascii="Arial" w:hAnsi="Arial" w:cs="Arial"/>
                <w:sz w:val="15"/>
                <w:szCs w:val="15"/>
              </w:rPr>
              <w:t>3 a 13</w:t>
            </w:r>
            <w:r w:rsidR="00697CE7">
              <w:rPr>
                <w:rFonts w:ascii="Arial" w:hAnsi="Arial" w:cs="Arial"/>
                <w:sz w:val="15"/>
                <w:szCs w:val="15"/>
              </w:rPr>
              <w:t>,</w:t>
            </w:r>
            <w:r w:rsidR="00641BE9" w:rsidRPr="00273ED1">
              <w:rPr>
                <w:rFonts w:ascii="Arial" w:hAnsi="Arial" w:cs="Arial"/>
                <w:sz w:val="15"/>
                <w:szCs w:val="15"/>
              </w:rPr>
              <w:t>2</w:t>
            </w:r>
            <w:r w:rsidR="00AB4DB4" w:rsidRPr="00273ED1">
              <w:rPr>
                <w:rFonts w:ascii="Arial" w:hAnsi="Arial" w:cs="Arial"/>
                <w:sz w:val="15"/>
                <w:szCs w:val="15"/>
              </w:rPr>
              <w:t xml:space="preserve"> milioni</w:t>
            </w:r>
            <w:r w:rsidRPr="00273ED1">
              <w:rPr>
                <w:rFonts w:ascii="Arial" w:hAnsi="Arial" w:cs="Arial"/>
                <w:sz w:val="15"/>
                <w:szCs w:val="15"/>
              </w:rPr>
              <w:t>.</w:t>
            </w:r>
          </w:p>
        </w:tc>
      </w:tr>
      <w:tr w:rsidR="004976E9" w:rsidRPr="00273ED1" w14:paraId="694B05E9" w14:textId="77777777" w:rsidTr="00E31E69">
        <w:tc>
          <w:tcPr>
            <w:tcW w:w="706" w:type="dxa"/>
            <w:tcBorders>
              <w:top w:val="single" w:sz="4" w:space="0" w:color="808080"/>
              <w:left w:val="single" w:sz="4" w:space="0" w:color="BFBFBF"/>
              <w:bottom w:val="single" w:sz="4" w:space="0" w:color="808080"/>
              <w:right w:val="single" w:sz="4" w:space="0" w:color="808080"/>
            </w:tcBorders>
            <w:hideMark/>
          </w:tcPr>
          <w:p w14:paraId="07662BF2" w14:textId="77777777" w:rsidR="004976E9" w:rsidRPr="00273ED1" w:rsidRDefault="004976E9" w:rsidP="00E31E69">
            <w:pPr>
              <w:spacing w:line="252" w:lineRule="auto"/>
              <w:jc w:val="both"/>
              <w:rPr>
                <w:rFonts w:ascii="Arial" w:hAnsi="Arial" w:cs="Arial"/>
                <w:sz w:val="15"/>
                <w:szCs w:val="15"/>
              </w:rPr>
            </w:pPr>
            <w:r w:rsidRPr="00273ED1">
              <w:rPr>
                <w:rFonts w:ascii="Arial" w:hAnsi="Arial" w:cs="Arial"/>
                <w:sz w:val="15"/>
                <w:szCs w:val="15"/>
              </w:rPr>
              <w:t>E.2a</w:t>
            </w:r>
          </w:p>
        </w:tc>
        <w:tc>
          <w:tcPr>
            <w:tcW w:w="1553" w:type="dxa"/>
            <w:tcBorders>
              <w:top w:val="single" w:sz="4" w:space="0" w:color="808080"/>
              <w:left w:val="single" w:sz="4" w:space="0" w:color="808080"/>
              <w:bottom w:val="single" w:sz="4" w:space="0" w:color="808080"/>
              <w:right w:val="single" w:sz="4" w:space="0" w:color="808080"/>
            </w:tcBorders>
            <w:hideMark/>
          </w:tcPr>
          <w:p w14:paraId="75B0A021" w14:textId="77777777" w:rsidR="004976E9" w:rsidRPr="00273ED1" w:rsidRDefault="004976E9" w:rsidP="00E31E69">
            <w:pPr>
              <w:spacing w:line="252" w:lineRule="auto"/>
              <w:jc w:val="both"/>
              <w:rPr>
                <w:sz w:val="15"/>
                <w:szCs w:val="15"/>
              </w:rPr>
            </w:pPr>
            <w:r w:rsidRPr="00273ED1">
              <w:rPr>
                <w:rFonts w:ascii="Arial" w:hAnsi="Arial" w:cs="Arial"/>
                <w:sz w:val="15"/>
                <w:szCs w:val="15"/>
              </w:rPr>
              <w:t>Ragioni dell'Offerta / Impiego dei proventi / Stima dell'importo netto dei proventi</w:t>
            </w:r>
          </w:p>
        </w:tc>
        <w:tc>
          <w:tcPr>
            <w:tcW w:w="7493" w:type="dxa"/>
            <w:tcBorders>
              <w:top w:val="single" w:sz="4" w:space="0" w:color="808080"/>
              <w:left w:val="single" w:sz="4" w:space="0" w:color="808080"/>
              <w:bottom w:val="single" w:sz="4" w:space="0" w:color="808080"/>
              <w:right w:val="single" w:sz="4" w:space="0" w:color="BFBFBF"/>
            </w:tcBorders>
            <w:hideMark/>
          </w:tcPr>
          <w:p w14:paraId="13FBFB31" w14:textId="469B6240" w:rsidR="004976E9" w:rsidRPr="00273ED1" w:rsidRDefault="004976E9" w:rsidP="00E31E69">
            <w:pPr>
              <w:spacing w:line="252" w:lineRule="auto"/>
              <w:jc w:val="both"/>
              <w:rPr>
                <w:rFonts w:ascii="Arial" w:hAnsi="Arial" w:cs="Arial"/>
                <w:sz w:val="15"/>
                <w:szCs w:val="15"/>
              </w:rPr>
            </w:pPr>
            <w:r w:rsidRPr="00273ED1">
              <w:rPr>
                <w:rFonts w:ascii="Arial" w:hAnsi="Arial" w:cs="Arial"/>
                <w:sz w:val="15"/>
                <w:szCs w:val="15"/>
              </w:rPr>
              <w:t xml:space="preserve">Il Prospetto è stato preparato solamente al fine di effettuare l'Offerta e ai fini dell'Ammissione. </w:t>
            </w:r>
          </w:p>
          <w:p w14:paraId="2A7907EE" w14:textId="77777777" w:rsidR="00641BE9" w:rsidRPr="00273ED1" w:rsidRDefault="001A6C85" w:rsidP="00641BE9">
            <w:pPr>
              <w:spacing w:line="252" w:lineRule="auto"/>
              <w:jc w:val="both"/>
              <w:rPr>
                <w:rFonts w:ascii="Arial" w:hAnsi="Arial" w:cs="Arial"/>
                <w:sz w:val="15"/>
                <w:szCs w:val="15"/>
              </w:rPr>
            </w:pPr>
            <w:r w:rsidRPr="00273ED1">
              <w:rPr>
                <w:rFonts w:ascii="Arial" w:hAnsi="Arial" w:cs="Arial"/>
                <w:sz w:val="15"/>
                <w:szCs w:val="15"/>
              </w:rPr>
              <w:t>(</w:t>
            </w:r>
            <w:r w:rsidR="004976E9" w:rsidRPr="00273ED1">
              <w:rPr>
                <w:rFonts w:ascii="Arial" w:hAnsi="Arial" w:cs="Arial"/>
                <w:sz w:val="15"/>
                <w:szCs w:val="15"/>
              </w:rPr>
              <w:t>La</w:t>
            </w:r>
            <w:r w:rsidRPr="00273ED1">
              <w:rPr>
                <w:rFonts w:ascii="Arial" w:hAnsi="Arial" w:cs="Arial"/>
                <w:sz w:val="15"/>
                <w:szCs w:val="15"/>
              </w:rPr>
              <w:t>)</w:t>
            </w:r>
            <w:r w:rsidR="004976E9" w:rsidRPr="00273ED1">
              <w:rPr>
                <w:rFonts w:ascii="Arial" w:hAnsi="Arial" w:cs="Arial"/>
                <w:sz w:val="15"/>
                <w:szCs w:val="15"/>
              </w:rPr>
              <w:t xml:space="preserve"> Società prevede di impiegare i proventi netti ricavati dall'Offerta per </w:t>
            </w:r>
            <w:r w:rsidRPr="00273ED1">
              <w:rPr>
                <w:rFonts w:ascii="Arial" w:hAnsi="Arial" w:cs="Arial"/>
                <w:sz w:val="15"/>
                <w:szCs w:val="15"/>
              </w:rPr>
              <w:t xml:space="preserve">1) </w:t>
            </w:r>
            <w:r w:rsidR="004976E9" w:rsidRPr="00273ED1">
              <w:rPr>
                <w:rFonts w:ascii="Arial" w:hAnsi="Arial" w:cs="Arial"/>
                <w:sz w:val="15"/>
                <w:szCs w:val="15"/>
              </w:rPr>
              <w:t xml:space="preserve">il finanziamento delle attività </w:t>
            </w:r>
            <w:r w:rsidRPr="00273ED1">
              <w:rPr>
                <w:rFonts w:ascii="Arial" w:hAnsi="Arial" w:cs="Arial"/>
                <w:sz w:val="15"/>
                <w:szCs w:val="15"/>
              </w:rPr>
              <w:t xml:space="preserve">esistenti </w:t>
            </w:r>
            <w:r w:rsidR="004976E9" w:rsidRPr="00273ED1">
              <w:rPr>
                <w:rFonts w:ascii="Arial" w:hAnsi="Arial" w:cs="Arial"/>
                <w:sz w:val="15"/>
                <w:szCs w:val="15"/>
              </w:rPr>
              <w:t xml:space="preserve">di </w:t>
            </w:r>
            <w:r w:rsidR="00FA035E" w:rsidRPr="00273ED1">
              <w:rPr>
                <w:rFonts w:ascii="Arial" w:hAnsi="Arial" w:cs="Arial"/>
                <w:sz w:val="15"/>
                <w:szCs w:val="15"/>
              </w:rPr>
              <w:t>sviluppo immobiliare del Gruppo</w:t>
            </w:r>
            <w:r w:rsidRPr="00273ED1">
              <w:rPr>
                <w:rFonts w:ascii="Arial" w:hAnsi="Arial" w:cs="Arial"/>
                <w:sz w:val="15"/>
                <w:szCs w:val="15"/>
              </w:rPr>
              <w:t xml:space="preserve"> (si veda la sezione 6.2) e (2) </w:t>
            </w:r>
            <w:r w:rsidR="000B25B7" w:rsidRPr="00273ED1">
              <w:rPr>
                <w:rFonts w:ascii="Arial" w:hAnsi="Arial" w:cs="Arial"/>
                <w:sz w:val="15"/>
                <w:szCs w:val="15"/>
              </w:rPr>
              <w:t xml:space="preserve">; </w:t>
            </w:r>
            <w:r w:rsidR="00E62255" w:rsidRPr="00273ED1">
              <w:rPr>
                <w:rFonts w:ascii="Arial" w:hAnsi="Arial" w:cs="Arial"/>
                <w:sz w:val="15"/>
                <w:szCs w:val="15"/>
              </w:rPr>
              <w:t xml:space="preserve">per </w:t>
            </w:r>
            <w:r w:rsidR="00502E46" w:rsidRPr="00273ED1">
              <w:rPr>
                <w:rFonts w:ascii="Arial" w:hAnsi="Arial" w:cs="Arial"/>
                <w:sz w:val="15"/>
                <w:szCs w:val="15"/>
              </w:rPr>
              <w:t>finalità</w:t>
            </w:r>
            <w:r w:rsidRPr="00273ED1">
              <w:rPr>
                <w:rFonts w:ascii="Arial" w:hAnsi="Arial" w:cs="Arial"/>
                <w:sz w:val="15"/>
                <w:szCs w:val="15"/>
              </w:rPr>
              <w:t xml:space="preserve"> </w:t>
            </w:r>
            <w:r w:rsidR="000B25B7" w:rsidRPr="00273ED1">
              <w:rPr>
                <w:rFonts w:ascii="Arial" w:hAnsi="Arial" w:cs="Arial"/>
                <w:sz w:val="15"/>
                <w:szCs w:val="15"/>
              </w:rPr>
              <w:t>societari</w:t>
            </w:r>
            <w:r w:rsidR="00502E46" w:rsidRPr="00273ED1">
              <w:rPr>
                <w:rFonts w:ascii="Arial" w:hAnsi="Arial" w:cs="Arial"/>
                <w:sz w:val="15"/>
                <w:szCs w:val="15"/>
              </w:rPr>
              <w:t>e generali</w:t>
            </w:r>
            <w:r w:rsidRPr="00273ED1">
              <w:rPr>
                <w:rFonts w:ascii="Arial" w:hAnsi="Arial" w:cs="Arial"/>
                <w:sz w:val="15"/>
                <w:szCs w:val="15"/>
              </w:rPr>
              <w:t xml:space="preserve"> (</w:t>
            </w:r>
            <w:r w:rsidR="009010FB" w:rsidRPr="00273ED1">
              <w:rPr>
                <w:rFonts w:ascii="Arial" w:hAnsi="Arial" w:cs="Arial"/>
                <w:sz w:val="15"/>
                <w:szCs w:val="15"/>
              </w:rPr>
              <w:t>vale a dire per il potenziamento del capitale circolante della Società</w:t>
            </w:r>
            <w:r w:rsidR="00BC5831" w:rsidRPr="00273ED1">
              <w:rPr>
                <w:rFonts w:ascii="Arial" w:hAnsi="Arial" w:cs="Arial"/>
                <w:color w:val="auto"/>
                <w:sz w:val="15"/>
                <w:szCs w:val="15"/>
              </w:rPr>
              <w:t>).</w:t>
            </w:r>
            <w:r w:rsidR="00641BE9" w:rsidRPr="00273ED1">
              <w:rPr>
                <w:rFonts w:ascii="Arial" w:hAnsi="Arial" w:cs="Arial"/>
                <w:sz w:val="15"/>
                <w:szCs w:val="15"/>
              </w:rPr>
              <w:t xml:space="preserve"> </w:t>
            </w:r>
          </w:p>
          <w:p w14:paraId="40EFDFA8" w14:textId="32C77FA7" w:rsidR="00641BE9" w:rsidRPr="00273ED1" w:rsidRDefault="00641BE9" w:rsidP="00641BE9">
            <w:pPr>
              <w:spacing w:line="252" w:lineRule="auto"/>
              <w:jc w:val="both"/>
              <w:rPr>
                <w:rFonts w:ascii="Arial" w:hAnsi="Arial" w:cs="Arial"/>
                <w:sz w:val="15"/>
                <w:szCs w:val="15"/>
              </w:rPr>
            </w:pPr>
            <w:r w:rsidRPr="00273ED1">
              <w:rPr>
                <w:rFonts w:ascii="Arial" w:hAnsi="Arial" w:cs="Arial"/>
                <w:sz w:val="15"/>
                <w:szCs w:val="15"/>
              </w:rPr>
              <w:t>La Società non ha manifestato alcuna volontà ferma in merito alla distribuzione dei proventi tra le attività di sviluppo immobiliare</w:t>
            </w:r>
          </w:p>
          <w:p w14:paraId="4D64145C" w14:textId="77777777" w:rsidR="00641BE9" w:rsidRPr="00273ED1" w:rsidRDefault="00641BE9" w:rsidP="00641BE9">
            <w:pPr>
              <w:spacing w:line="252" w:lineRule="auto"/>
              <w:jc w:val="both"/>
              <w:rPr>
                <w:rFonts w:ascii="Arial" w:hAnsi="Arial" w:cs="Arial"/>
                <w:sz w:val="15"/>
                <w:szCs w:val="15"/>
              </w:rPr>
            </w:pPr>
            <w:r w:rsidRPr="00273ED1">
              <w:rPr>
                <w:rFonts w:ascii="Arial" w:hAnsi="Arial" w:cs="Arial"/>
                <w:sz w:val="15"/>
                <w:szCs w:val="15"/>
              </w:rPr>
              <w:t xml:space="preserve">e le finalità societarie generali. </w:t>
            </w:r>
          </w:p>
          <w:p w14:paraId="136DEF95" w14:textId="77777777" w:rsidR="00641BE9" w:rsidRPr="00273ED1" w:rsidRDefault="00641BE9" w:rsidP="00641BE9">
            <w:pPr>
              <w:spacing w:line="252" w:lineRule="auto"/>
              <w:jc w:val="both"/>
              <w:rPr>
                <w:rFonts w:ascii="Arial" w:hAnsi="Arial" w:cs="Arial"/>
                <w:sz w:val="15"/>
                <w:szCs w:val="15"/>
              </w:rPr>
            </w:pPr>
            <w:r w:rsidRPr="00273ED1">
              <w:rPr>
                <w:rFonts w:ascii="Arial" w:hAnsi="Arial" w:cs="Arial"/>
                <w:sz w:val="15"/>
                <w:szCs w:val="15"/>
              </w:rPr>
              <w:t xml:space="preserve">Alla data del prospetto, la Società intende utilizzare i proventi come segue: </w:t>
            </w:r>
          </w:p>
          <w:p w14:paraId="7B8CD8A7" w14:textId="77777777" w:rsidR="00641BE9" w:rsidRPr="00273ED1" w:rsidRDefault="00641BE9" w:rsidP="00641BE9">
            <w:pPr>
              <w:jc w:val="both"/>
              <w:rPr>
                <w:rFonts w:ascii="Arial" w:hAnsi="Arial" w:cs="Arial"/>
                <w:sz w:val="15"/>
                <w:szCs w:val="15"/>
              </w:rPr>
            </w:pPr>
            <w:r w:rsidRPr="00273ED1">
              <w:rPr>
                <w:rFonts w:ascii="Arial" w:hAnsi="Arial" w:cs="Arial"/>
                <w:sz w:val="15"/>
                <w:szCs w:val="15"/>
              </w:rPr>
              <w:t>•</w:t>
            </w:r>
            <w:r w:rsidRPr="00273ED1">
              <w:rPr>
                <w:rFonts w:ascii="Arial" w:hAnsi="Arial" w:cs="Arial"/>
                <w:sz w:val="15"/>
                <w:szCs w:val="15"/>
              </w:rPr>
              <w:tab/>
              <w:t>50 – 100% per finanziare le attività di sviluppo immobiliare del Gruppo esistenti;</w:t>
            </w:r>
          </w:p>
          <w:p w14:paraId="65608157" w14:textId="77777777" w:rsidR="00641BE9" w:rsidRPr="00273ED1" w:rsidRDefault="00641BE9" w:rsidP="00641BE9">
            <w:pPr>
              <w:jc w:val="both"/>
              <w:rPr>
                <w:rFonts w:ascii="Arial" w:hAnsi="Arial" w:cs="Arial"/>
                <w:sz w:val="15"/>
                <w:szCs w:val="15"/>
              </w:rPr>
            </w:pPr>
            <w:r w:rsidRPr="00273ED1">
              <w:rPr>
                <w:rFonts w:ascii="Arial" w:hAnsi="Arial" w:cs="Arial"/>
                <w:sz w:val="15"/>
                <w:szCs w:val="15"/>
              </w:rPr>
              <w:t>•</w:t>
            </w:r>
            <w:r w:rsidRPr="00273ED1">
              <w:rPr>
                <w:rFonts w:ascii="Arial" w:hAnsi="Arial" w:cs="Arial"/>
                <w:sz w:val="15"/>
                <w:szCs w:val="15"/>
              </w:rPr>
              <w:tab/>
              <w:t xml:space="preserve">0 – 50% per obiettivi aziendali generali. </w:t>
            </w:r>
          </w:p>
          <w:p w14:paraId="424EDE6A" w14:textId="77777777" w:rsidR="00641BE9" w:rsidRPr="00273ED1" w:rsidRDefault="00641BE9" w:rsidP="00641BE9">
            <w:pPr>
              <w:jc w:val="both"/>
              <w:rPr>
                <w:rFonts w:ascii="Arial" w:hAnsi="Arial" w:cs="Arial"/>
                <w:sz w:val="15"/>
                <w:szCs w:val="15"/>
              </w:rPr>
            </w:pPr>
            <w:r w:rsidRPr="00273ED1">
              <w:rPr>
                <w:rFonts w:ascii="Arial" w:hAnsi="Arial" w:cs="Arial"/>
                <w:sz w:val="15"/>
                <w:szCs w:val="15"/>
              </w:rPr>
              <w:t>La distribuzione tra progetti di sviluppo esistenti (vale a dire, centro commerciale T1, Ülemiste 5, Tondi Quarter, Kalaranna District, Tallinas Quarter, Kliversala District, Zvaigznes Quarter, Šaltinių Namai) non è stata deliberata dalla Società. La distribuzione verrà effettuata dalla Società sula base dell’avanzamento di ciascun progetto (ad esempio l’ottenimento dei permessi necessari, l’avanzamento nell’edificazione e la capacità di finanziare ogni progetto da altra fonte) e delle condizioni del mercato immobiliare, inclusi (a) la capacità del Gruppo di ricevere un flusso di cassa positivo da ciascun progetto di sviluppo che si possa applicare allo sviluppo di altri progetti, (b) la capacità del Gruppo di finanziare ogni progetto da altra fonte (e.g. finanziamento del debito), (c) eventuali modifiche nelle condizioni di mercato che condizionino qualunque progetto di sviluppo etc.</w:t>
            </w:r>
          </w:p>
          <w:p w14:paraId="44E03B2D" w14:textId="310C027F" w:rsidR="004976E9" w:rsidRPr="00273ED1" w:rsidRDefault="00641BE9" w:rsidP="009010FB">
            <w:pPr>
              <w:spacing w:line="252" w:lineRule="auto"/>
              <w:jc w:val="both"/>
              <w:rPr>
                <w:rFonts w:ascii="Arial" w:hAnsi="Arial" w:cs="Arial"/>
                <w:sz w:val="15"/>
                <w:szCs w:val="15"/>
              </w:rPr>
            </w:pPr>
            <w:r w:rsidRPr="00273ED1">
              <w:rPr>
                <w:rFonts w:ascii="Arial" w:hAnsi="Arial" w:cs="Arial"/>
                <w:sz w:val="15"/>
                <w:szCs w:val="15"/>
              </w:rPr>
              <w:t>Si prevede che i proventi netti complessivi derivanti dall’emissione delle Azioni ammontino approssimativamente a EURO da 10</w:t>
            </w:r>
            <w:r w:rsidR="007518F5">
              <w:rPr>
                <w:rFonts w:ascii="Arial" w:hAnsi="Arial" w:cs="Arial"/>
                <w:sz w:val="15"/>
                <w:szCs w:val="15"/>
              </w:rPr>
              <w:t>,</w:t>
            </w:r>
            <w:r w:rsidRPr="00273ED1">
              <w:rPr>
                <w:rFonts w:ascii="Arial" w:hAnsi="Arial" w:cs="Arial"/>
                <w:sz w:val="15"/>
                <w:szCs w:val="15"/>
              </w:rPr>
              <w:t>3 a 13</w:t>
            </w:r>
            <w:r w:rsidR="007518F5">
              <w:rPr>
                <w:rFonts w:ascii="Arial" w:hAnsi="Arial" w:cs="Arial"/>
                <w:sz w:val="15"/>
                <w:szCs w:val="15"/>
              </w:rPr>
              <w:t>,</w:t>
            </w:r>
            <w:r w:rsidRPr="00273ED1">
              <w:rPr>
                <w:rFonts w:ascii="Arial" w:hAnsi="Arial" w:cs="Arial"/>
                <w:sz w:val="15"/>
                <w:szCs w:val="15"/>
              </w:rPr>
              <w:t>2 milioni.</w:t>
            </w:r>
          </w:p>
        </w:tc>
      </w:tr>
      <w:tr w:rsidR="004976E9" w:rsidRPr="00273ED1" w14:paraId="66FB6052" w14:textId="77777777" w:rsidTr="00E31E69">
        <w:trPr>
          <w:trHeight w:val="2098"/>
        </w:trPr>
        <w:tc>
          <w:tcPr>
            <w:tcW w:w="706" w:type="dxa"/>
            <w:tcBorders>
              <w:top w:val="single" w:sz="4" w:space="0" w:color="808080"/>
              <w:left w:val="single" w:sz="4" w:space="0" w:color="BFBFBF"/>
              <w:bottom w:val="single" w:sz="4" w:space="0" w:color="808080"/>
              <w:right w:val="single" w:sz="4" w:space="0" w:color="808080"/>
            </w:tcBorders>
            <w:hideMark/>
          </w:tcPr>
          <w:p w14:paraId="7E2EB04E" w14:textId="77777777" w:rsidR="004976E9" w:rsidRPr="00273ED1" w:rsidRDefault="004976E9" w:rsidP="00E31E69">
            <w:pPr>
              <w:spacing w:line="252" w:lineRule="auto"/>
              <w:jc w:val="both"/>
              <w:rPr>
                <w:rFonts w:ascii="Arial" w:hAnsi="Arial" w:cs="Arial"/>
                <w:sz w:val="15"/>
                <w:szCs w:val="15"/>
              </w:rPr>
            </w:pPr>
            <w:r w:rsidRPr="00273ED1">
              <w:rPr>
                <w:rFonts w:ascii="Arial" w:hAnsi="Arial" w:cs="Arial"/>
                <w:sz w:val="15"/>
                <w:szCs w:val="15"/>
              </w:rPr>
              <w:t>E.3</w:t>
            </w:r>
          </w:p>
        </w:tc>
        <w:tc>
          <w:tcPr>
            <w:tcW w:w="1553" w:type="dxa"/>
            <w:tcBorders>
              <w:top w:val="single" w:sz="4" w:space="0" w:color="808080"/>
              <w:left w:val="single" w:sz="4" w:space="0" w:color="808080"/>
              <w:bottom w:val="single" w:sz="4" w:space="0" w:color="808080"/>
              <w:right w:val="single" w:sz="4" w:space="0" w:color="808080"/>
            </w:tcBorders>
            <w:hideMark/>
          </w:tcPr>
          <w:p w14:paraId="602E996B" w14:textId="77777777" w:rsidR="004976E9" w:rsidRPr="00273ED1" w:rsidRDefault="004976E9" w:rsidP="00E31E69">
            <w:pPr>
              <w:spacing w:line="252" w:lineRule="auto"/>
              <w:jc w:val="both"/>
              <w:rPr>
                <w:sz w:val="15"/>
                <w:szCs w:val="15"/>
              </w:rPr>
            </w:pPr>
            <w:r w:rsidRPr="00273ED1">
              <w:rPr>
                <w:rFonts w:ascii="Arial" w:hAnsi="Arial" w:cs="Arial"/>
                <w:sz w:val="15"/>
                <w:szCs w:val="15"/>
              </w:rPr>
              <w:t>Termini e condizioni dell'Offerta</w:t>
            </w:r>
          </w:p>
        </w:tc>
        <w:tc>
          <w:tcPr>
            <w:tcW w:w="7493" w:type="dxa"/>
            <w:tcBorders>
              <w:top w:val="single" w:sz="4" w:space="0" w:color="808080"/>
              <w:left w:val="single" w:sz="4" w:space="0" w:color="808080"/>
              <w:bottom w:val="single" w:sz="4" w:space="0" w:color="808080"/>
              <w:right w:val="single" w:sz="4" w:space="0" w:color="BFBFBF"/>
            </w:tcBorders>
          </w:tcPr>
          <w:p w14:paraId="32BE71C5" w14:textId="34C87F81" w:rsidR="004976E9" w:rsidRPr="00273ED1" w:rsidRDefault="00101D08" w:rsidP="00E31E69">
            <w:pPr>
              <w:spacing w:line="252" w:lineRule="auto"/>
              <w:jc w:val="both"/>
              <w:rPr>
                <w:rFonts w:ascii="Arial" w:hAnsi="Arial" w:cs="Arial"/>
                <w:sz w:val="15"/>
                <w:szCs w:val="15"/>
              </w:rPr>
            </w:pPr>
            <w:r w:rsidRPr="00273ED1">
              <w:rPr>
                <w:rFonts w:ascii="Arial" w:hAnsi="Arial" w:cs="Arial"/>
                <w:sz w:val="15"/>
                <w:szCs w:val="15"/>
              </w:rPr>
              <w:t>La</w:t>
            </w:r>
            <w:r w:rsidR="00E62255" w:rsidRPr="00273ED1">
              <w:rPr>
                <w:rFonts w:ascii="Arial" w:hAnsi="Arial" w:cs="Arial"/>
                <w:sz w:val="15"/>
                <w:szCs w:val="15"/>
              </w:rPr>
              <w:t xml:space="preserve"> Società offre un massimo di </w:t>
            </w:r>
            <w:r w:rsidR="00641BE9" w:rsidRPr="00273ED1">
              <w:rPr>
                <w:rFonts w:ascii="Arial" w:hAnsi="Arial" w:cs="Arial"/>
                <w:sz w:val="15"/>
                <w:szCs w:val="15"/>
              </w:rPr>
              <w:t>6</w:t>
            </w:r>
            <w:r w:rsidR="00903E6C" w:rsidRPr="00273ED1">
              <w:rPr>
                <w:rFonts w:ascii="Arial" w:hAnsi="Arial" w:cs="Arial"/>
                <w:sz w:val="15"/>
                <w:szCs w:val="15"/>
              </w:rPr>
              <w:t>.</w:t>
            </w:r>
            <w:r w:rsidR="00E62255" w:rsidRPr="00273ED1">
              <w:rPr>
                <w:rFonts w:ascii="Arial" w:hAnsi="Arial" w:cs="Arial"/>
                <w:sz w:val="15"/>
                <w:szCs w:val="15"/>
              </w:rPr>
              <w:t>000</w:t>
            </w:r>
            <w:r w:rsidR="00903E6C" w:rsidRPr="00273ED1">
              <w:rPr>
                <w:rFonts w:ascii="Arial" w:hAnsi="Arial" w:cs="Arial"/>
                <w:sz w:val="15"/>
                <w:szCs w:val="15"/>
              </w:rPr>
              <w:t>.</w:t>
            </w:r>
            <w:r w:rsidR="00E62255" w:rsidRPr="00273ED1">
              <w:rPr>
                <w:rFonts w:ascii="Arial" w:hAnsi="Arial" w:cs="Arial"/>
                <w:sz w:val="15"/>
                <w:szCs w:val="15"/>
              </w:rPr>
              <w:t>000</w:t>
            </w:r>
            <w:r w:rsidR="004976E9" w:rsidRPr="00273ED1">
              <w:rPr>
                <w:rFonts w:ascii="Arial" w:hAnsi="Arial" w:cs="Arial"/>
                <w:sz w:val="15"/>
                <w:szCs w:val="15"/>
              </w:rPr>
              <w:t xml:space="preserve"> azioni di nuova emissione c</w:t>
            </w:r>
            <w:r w:rsidR="00E62255" w:rsidRPr="00273ED1">
              <w:rPr>
                <w:rFonts w:ascii="Arial" w:hAnsi="Arial" w:cs="Arial"/>
                <w:sz w:val="15"/>
                <w:szCs w:val="15"/>
              </w:rPr>
              <w:t xml:space="preserve">on valore nominale pari a EURO </w:t>
            </w:r>
            <w:r w:rsidR="004976E9" w:rsidRPr="00273ED1">
              <w:rPr>
                <w:rFonts w:ascii="Arial" w:hAnsi="Arial" w:cs="Arial"/>
                <w:sz w:val="15"/>
                <w:szCs w:val="15"/>
              </w:rPr>
              <w:t>0</w:t>
            </w:r>
            <w:r w:rsidR="009A2540">
              <w:rPr>
                <w:rFonts w:ascii="Arial" w:hAnsi="Arial" w:cs="Arial"/>
                <w:sz w:val="15"/>
                <w:szCs w:val="15"/>
              </w:rPr>
              <w:t>,</w:t>
            </w:r>
            <w:r w:rsidR="004976E9" w:rsidRPr="00273ED1">
              <w:rPr>
                <w:rFonts w:ascii="Arial" w:hAnsi="Arial" w:cs="Arial"/>
                <w:sz w:val="15"/>
                <w:szCs w:val="15"/>
              </w:rPr>
              <w:t>2</w:t>
            </w:r>
            <w:r w:rsidR="00FD5974" w:rsidRPr="00273ED1">
              <w:rPr>
                <w:rFonts w:ascii="Arial" w:hAnsi="Arial" w:cs="Arial"/>
                <w:sz w:val="15"/>
                <w:szCs w:val="15"/>
              </w:rPr>
              <w:t xml:space="preserve"> </w:t>
            </w:r>
            <w:r w:rsidR="004976E9" w:rsidRPr="00273ED1">
              <w:rPr>
                <w:rFonts w:ascii="Arial" w:hAnsi="Arial" w:cs="Arial"/>
                <w:sz w:val="15"/>
                <w:szCs w:val="15"/>
              </w:rPr>
              <w:t>ciascuna (le “</w:t>
            </w:r>
            <w:r w:rsidR="004976E9" w:rsidRPr="00273ED1">
              <w:rPr>
                <w:rFonts w:ascii="Arial" w:hAnsi="Arial" w:cs="Arial"/>
                <w:b/>
                <w:bCs/>
                <w:sz w:val="15"/>
                <w:szCs w:val="15"/>
              </w:rPr>
              <w:t>Azioni</w:t>
            </w:r>
            <w:r w:rsidR="004976E9" w:rsidRPr="00273ED1">
              <w:rPr>
                <w:rFonts w:ascii="Arial" w:hAnsi="Arial" w:cs="Arial"/>
                <w:sz w:val="15"/>
                <w:szCs w:val="15"/>
              </w:rPr>
              <w:t>”). Le Azioni saranno della stessa categoria delle azioni esistenti della Società. L'Offerta è effettuata</w:t>
            </w:r>
            <w:r w:rsidR="00E62255" w:rsidRPr="00273ED1">
              <w:rPr>
                <w:rFonts w:ascii="Arial" w:hAnsi="Arial" w:cs="Arial"/>
                <w:sz w:val="15"/>
                <w:szCs w:val="15"/>
              </w:rPr>
              <w:t xml:space="preserve"> (a)</w:t>
            </w:r>
            <w:r w:rsidR="004976E9" w:rsidRPr="00273ED1">
              <w:rPr>
                <w:rFonts w:ascii="Arial" w:hAnsi="Arial" w:cs="Arial"/>
                <w:sz w:val="15"/>
                <w:szCs w:val="15"/>
              </w:rPr>
              <w:t xml:space="preserve"> agli azionisti della Società, che deteng</w:t>
            </w:r>
            <w:r w:rsidR="00BD5370" w:rsidRPr="00273ED1">
              <w:rPr>
                <w:rFonts w:ascii="Arial" w:hAnsi="Arial" w:cs="Arial"/>
                <w:sz w:val="15"/>
                <w:szCs w:val="15"/>
              </w:rPr>
              <w:t xml:space="preserve">ono le azioni della Società </w:t>
            </w:r>
            <w:r w:rsidR="00FD5974" w:rsidRPr="00273ED1">
              <w:rPr>
                <w:rFonts w:ascii="Arial" w:hAnsi="Arial" w:cs="Arial"/>
                <w:sz w:val="15"/>
                <w:szCs w:val="15"/>
              </w:rPr>
              <w:t>al 4 ottobre</w:t>
            </w:r>
            <w:r w:rsidR="004976E9" w:rsidRPr="00273ED1">
              <w:rPr>
                <w:rFonts w:ascii="Arial" w:hAnsi="Arial" w:cs="Arial"/>
                <w:sz w:val="15"/>
                <w:szCs w:val="15"/>
              </w:rPr>
              <w:t xml:space="preserve"> 2017</w:t>
            </w:r>
            <w:r w:rsidR="00C263EA" w:rsidRPr="00273ED1">
              <w:rPr>
                <w:rFonts w:ascii="Arial" w:hAnsi="Arial" w:cs="Arial"/>
                <w:sz w:val="15"/>
                <w:szCs w:val="15"/>
              </w:rPr>
              <w:t xml:space="preserve"> </w:t>
            </w:r>
            <w:r w:rsidR="00FD5974" w:rsidRPr="00273ED1">
              <w:rPr>
                <w:rFonts w:ascii="Arial" w:hAnsi="Arial" w:cs="Arial"/>
                <w:sz w:val="15"/>
                <w:szCs w:val="15"/>
              </w:rPr>
              <w:t xml:space="preserve">al termine dell’orario </w:t>
            </w:r>
            <w:r w:rsidR="000B10D4" w:rsidRPr="00273ED1">
              <w:rPr>
                <w:rFonts w:ascii="Arial" w:hAnsi="Arial" w:cs="Arial"/>
                <w:sz w:val="15"/>
                <w:szCs w:val="15"/>
              </w:rPr>
              <w:t>d’ufficio</w:t>
            </w:r>
            <w:r w:rsidR="00FD5974" w:rsidRPr="00273ED1">
              <w:rPr>
                <w:rFonts w:ascii="Arial" w:hAnsi="Arial" w:cs="Arial"/>
                <w:sz w:val="15"/>
                <w:szCs w:val="15"/>
              </w:rPr>
              <w:t xml:space="preserve"> del Registro di Strumenti Finanziari (o </w:t>
            </w:r>
            <w:r w:rsidR="00BD5370" w:rsidRPr="00273ED1">
              <w:rPr>
                <w:rFonts w:ascii="Arial" w:hAnsi="Arial" w:cs="Arial"/>
                <w:sz w:val="15"/>
                <w:szCs w:val="15"/>
              </w:rPr>
              <w:t xml:space="preserve">alle 23:59 (ora </w:t>
            </w:r>
            <w:r w:rsidR="009A2D48" w:rsidRPr="00273ED1">
              <w:rPr>
                <w:rFonts w:ascii="Arial" w:hAnsi="Arial" w:cs="Arial"/>
                <w:sz w:val="15"/>
                <w:szCs w:val="15"/>
              </w:rPr>
              <w:t xml:space="preserve">locale </w:t>
            </w:r>
            <w:r w:rsidR="00BD5370" w:rsidRPr="00273ED1">
              <w:rPr>
                <w:rFonts w:ascii="Arial" w:hAnsi="Arial" w:cs="Arial"/>
                <w:sz w:val="15"/>
                <w:szCs w:val="15"/>
              </w:rPr>
              <w:t xml:space="preserve">di Tallinn) </w:t>
            </w:r>
            <w:r w:rsidR="00FD5974" w:rsidRPr="00273ED1">
              <w:rPr>
                <w:rFonts w:ascii="Arial" w:hAnsi="Arial" w:cs="Arial"/>
                <w:sz w:val="15"/>
                <w:szCs w:val="15"/>
              </w:rPr>
              <w:t>qualora</w:t>
            </w:r>
            <w:r w:rsidR="00F87283" w:rsidRPr="00273ED1">
              <w:rPr>
                <w:rFonts w:ascii="Arial" w:hAnsi="Arial" w:cs="Arial"/>
                <w:sz w:val="15"/>
                <w:szCs w:val="15"/>
              </w:rPr>
              <w:t>, entro tale data,</w:t>
            </w:r>
            <w:r w:rsidR="00FD5974" w:rsidRPr="00273ED1">
              <w:rPr>
                <w:rFonts w:ascii="Arial" w:hAnsi="Arial" w:cs="Arial"/>
                <w:sz w:val="15"/>
                <w:szCs w:val="15"/>
              </w:rPr>
              <w:t xml:space="preserve"> il Registro di Strumenti Finanziari </w:t>
            </w:r>
            <w:r w:rsidR="00842562" w:rsidRPr="00273ED1">
              <w:rPr>
                <w:rFonts w:ascii="Arial" w:hAnsi="Arial" w:cs="Arial"/>
                <w:sz w:val="15"/>
                <w:szCs w:val="15"/>
              </w:rPr>
              <w:t>non partecipi ancora al progetto TARGET2-Securities</w:t>
            </w:r>
            <w:r w:rsidR="00F87283" w:rsidRPr="00273ED1">
              <w:rPr>
                <w:rFonts w:ascii="Arial" w:hAnsi="Arial" w:cs="Arial"/>
                <w:sz w:val="15"/>
                <w:szCs w:val="15"/>
              </w:rPr>
              <w:t xml:space="preserve">) </w:t>
            </w:r>
            <w:r w:rsidR="00BD5370" w:rsidRPr="00273ED1">
              <w:rPr>
                <w:rFonts w:ascii="Arial" w:hAnsi="Arial" w:cs="Arial"/>
                <w:sz w:val="15"/>
                <w:szCs w:val="15"/>
              </w:rPr>
              <w:t>in base alla data iscritta nel Registro degli Strumenti Finanziari</w:t>
            </w:r>
            <w:r w:rsidR="004976E9" w:rsidRPr="00273ED1">
              <w:rPr>
                <w:rFonts w:ascii="Arial" w:hAnsi="Arial" w:cs="Arial"/>
                <w:sz w:val="15"/>
                <w:szCs w:val="15"/>
              </w:rPr>
              <w:t xml:space="preserve"> (gli “</w:t>
            </w:r>
            <w:r w:rsidR="004976E9" w:rsidRPr="00273ED1">
              <w:rPr>
                <w:rFonts w:ascii="Arial" w:hAnsi="Arial" w:cs="Arial"/>
                <w:b/>
                <w:bCs/>
                <w:sz w:val="15"/>
                <w:szCs w:val="15"/>
              </w:rPr>
              <w:t>Azionisti Esistenti</w:t>
            </w:r>
            <w:r w:rsidR="004976E9" w:rsidRPr="00273ED1">
              <w:rPr>
                <w:rFonts w:ascii="Arial" w:hAnsi="Arial" w:cs="Arial"/>
                <w:sz w:val="15"/>
                <w:szCs w:val="15"/>
              </w:rPr>
              <w:t>”)</w:t>
            </w:r>
            <w:r w:rsidR="00E1526C" w:rsidRPr="00273ED1">
              <w:rPr>
                <w:rFonts w:ascii="Arial" w:hAnsi="Arial" w:cs="Arial"/>
                <w:sz w:val="15"/>
                <w:szCs w:val="15"/>
              </w:rPr>
              <w:t xml:space="preserve">, (b) </w:t>
            </w:r>
            <w:r w:rsidR="00F87283" w:rsidRPr="00273ED1">
              <w:rPr>
                <w:rFonts w:ascii="Arial" w:hAnsi="Arial" w:cs="Arial"/>
                <w:sz w:val="15"/>
                <w:szCs w:val="15"/>
              </w:rPr>
              <w:t xml:space="preserve">alle </w:t>
            </w:r>
            <w:r w:rsidR="00E1526C" w:rsidRPr="00273ED1">
              <w:rPr>
                <w:rFonts w:ascii="Arial" w:hAnsi="Arial" w:cs="Arial"/>
                <w:sz w:val="15"/>
                <w:szCs w:val="15"/>
              </w:rPr>
              <w:t>persone fisiche e giuridiche selezionate</w:t>
            </w:r>
            <w:r w:rsidR="004976E9" w:rsidRPr="00273ED1">
              <w:rPr>
                <w:rFonts w:ascii="Arial" w:hAnsi="Arial" w:cs="Arial"/>
                <w:sz w:val="15"/>
                <w:szCs w:val="15"/>
              </w:rPr>
              <w:t xml:space="preserve"> dal </w:t>
            </w:r>
            <w:r w:rsidR="00450037" w:rsidRPr="00273ED1">
              <w:rPr>
                <w:rFonts w:ascii="Arial" w:hAnsi="Arial" w:cs="Arial"/>
                <w:sz w:val="15"/>
                <w:szCs w:val="15"/>
              </w:rPr>
              <w:t>C</w:t>
            </w:r>
            <w:r w:rsidR="004976E9" w:rsidRPr="00273ED1">
              <w:rPr>
                <w:rFonts w:ascii="Arial" w:hAnsi="Arial" w:cs="Arial"/>
                <w:sz w:val="15"/>
                <w:szCs w:val="15"/>
              </w:rPr>
              <w:t xml:space="preserve">onsiglio di </w:t>
            </w:r>
            <w:r w:rsidR="00450037" w:rsidRPr="00273ED1">
              <w:rPr>
                <w:rFonts w:ascii="Arial" w:hAnsi="Arial" w:cs="Arial"/>
                <w:sz w:val="15"/>
                <w:szCs w:val="15"/>
              </w:rPr>
              <w:t>S</w:t>
            </w:r>
            <w:r w:rsidR="004976E9" w:rsidRPr="00273ED1">
              <w:rPr>
                <w:rFonts w:ascii="Arial" w:hAnsi="Arial" w:cs="Arial"/>
                <w:sz w:val="15"/>
                <w:szCs w:val="15"/>
              </w:rPr>
              <w:t>orveglianza della Società</w:t>
            </w:r>
            <w:r w:rsidR="00442DE7" w:rsidRPr="00273ED1">
              <w:rPr>
                <w:rFonts w:ascii="Arial" w:hAnsi="Arial" w:cs="Arial"/>
                <w:sz w:val="15"/>
                <w:szCs w:val="15"/>
              </w:rPr>
              <w:t xml:space="preserve"> alle quali sono offerte le Azioni per un corrispettivo totale di almeno EUR 100.</w:t>
            </w:r>
            <w:r w:rsidR="00E1526C" w:rsidRPr="00273ED1">
              <w:rPr>
                <w:rFonts w:ascii="Arial" w:hAnsi="Arial" w:cs="Arial"/>
                <w:sz w:val="15"/>
                <w:szCs w:val="15"/>
              </w:rPr>
              <w:t xml:space="preserve">000 </w:t>
            </w:r>
            <w:r w:rsidR="006618D6" w:rsidRPr="00273ED1">
              <w:rPr>
                <w:rFonts w:ascii="Arial" w:hAnsi="Arial" w:cs="Arial"/>
                <w:sz w:val="15"/>
                <w:szCs w:val="15"/>
              </w:rPr>
              <w:t>a persona (</w:t>
            </w:r>
            <w:r w:rsidR="00E1526C" w:rsidRPr="00273ED1">
              <w:rPr>
                <w:rFonts w:ascii="Arial" w:hAnsi="Arial" w:cs="Arial"/>
                <w:sz w:val="15"/>
                <w:szCs w:val="15"/>
              </w:rPr>
              <w:t xml:space="preserve">ad eccezione dei soggetti il cui coinvolgimento nell’Offerta richiede </w:t>
            </w:r>
            <w:r w:rsidR="007B29A7" w:rsidRPr="00273ED1">
              <w:rPr>
                <w:rFonts w:ascii="Arial" w:hAnsi="Arial" w:cs="Arial"/>
                <w:sz w:val="15"/>
                <w:szCs w:val="15"/>
              </w:rPr>
              <w:t>eventuali ulteriori</w:t>
            </w:r>
            <w:r w:rsidR="00E1526C" w:rsidRPr="00273ED1">
              <w:rPr>
                <w:rFonts w:ascii="Arial" w:hAnsi="Arial" w:cs="Arial"/>
                <w:sz w:val="15"/>
                <w:szCs w:val="15"/>
              </w:rPr>
              <w:t xml:space="preserve"> registrazion</w:t>
            </w:r>
            <w:r w:rsidR="007B29A7" w:rsidRPr="00273ED1">
              <w:rPr>
                <w:rFonts w:ascii="Arial" w:hAnsi="Arial" w:cs="Arial"/>
                <w:sz w:val="15"/>
                <w:szCs w:val="15"/>
              </w:rPr>
              <w:t>i</w:t>
            </w:r>
            <w:r w:rsidR="00E1526C" w:rsidRPr="00273ED1">
              <w:rPr>
                <w:rFonts w:ascii="Arial" w:hAnsi="Arial" w:cs="Arial"/>
                <w:sz w:val="15"/>
                <w:szCs w:val="15"/>
              </w:rPr>
              <w:t xml:space="preserve">, </w:t>
            </w:r>
            <w:r w:rsidR="007B29A7" w:rsidRPr="00273ED1">
              <w:rPr>
                <w:rFonts w:ascii="Arial" w:hAnsi="Arial" w:cs="Arial"/>
                <w:sz w:val="15"/>
                <w:szCs w:val="15"/>
              </w:rPr>
              <w:t xml:space="preserve">prospetti </w:t>
            </w:r>
            <w:r w:rsidR="00E1526C" w:rsidRPr="00273ED1">
              <w:rPr>
                <w:rFonts w:ascii="Arial" w:hAnsi="Arial" w:cs="Arial"/>
                <w:sz w:val="15"/>
                <w:szCs w:val="15"/>
              </w:rPr>
              <w:t xml:space="preserve">e ogni altra misura in aggiunta a quelle necessarie secondo il diritto estone e adottate dalla società) </w:t>
            </w:r>
            <w:r w:rsidR="004976E9" w:rsidRPr="00273ED1">
              <w:rPr>
                <w:rFonts w:ascii="Arial" w:hAnsi="Arial" w:cs="Arial"/>
                <w:sz w:val="15"/>
                <w:szCs w:val="15"/>
              </w:rPr>
              <w:t xml:space="preserve">(gli </w:t>
            </w:r>
            <w:r w:rsidR="004976E9" w:rsidRPr="00273ED1">
              <w:rPr>
                <w:rFonts w:ascii="Arial" w:hAnsi="Arial" w:cs="Arial"/>
                <w:b/>
                <w:sz w:val="15"/>
                <w:szCs w:val="15"/>
              </w:rPr>
              <w:t>“Investitori Istituzionali</w:t>
            </w:r>
            <w:r w:rsidR="00E1526C" w:rsidRPr="00273ED1">
              <w:rPr>
                <w:rFonts w:ascii="Arial" w:hAnsi="Arial" w:cs="Arial"/>
                <w:b/>
                <w:sz w:val="15"/>
                <w:szCs w:val="15"/>
              </w:rPr>
              <w:t>”</w:t>
            </w:r>
            <w:r w:rsidR="00E1526C" w:rsidRPr="00273ED1">
              <w:rPr>
                <w:rFonts w:ascii="Arial" w:hAnsi="Arial" w:cs="Arial"/>
                <w:sz w:val="15"/>
                <w:szCs w:val="15"/>
              </w:rPr>
              <w:t>)</w:t>
            </w:r>
            <w:r w:rsidR="00F87283" w:rsidRPr="00273ED1">
              <w:rPr>
                <w:rFonts w:ascii="Arial" w:hAnsi="Arial" w:cs="Arial"/>
                <w:sz w:val="15"/>
                <w:szCs w:val="15"/>
              </w:rPr>
              <w:t>,</w:t>
            </w:r>
            <w:r w:rsidR="00E1526C" w:rsidRPr="00273ED1">
              <w:rPr>
                <w:rFonts w:ascii="Arial" w:hAnsi="Arial" w:cs="Arial"/>
                <w:sz w:val="15"/>
                <w:szCs w:val="15"/>
              </w:rPr>
              <w:t xml:space="preserve"> (c)</w:t>
            </w:r>
            <w:r w:rsidR="00F87283" w:rsidRPr="00273ED1">
              <w:rPr>
                <w:rFonts w:ascii="Arial" w:hAnsi="Arial" w:cs="Arial"/>
                <w:sz w:val="15"/>
                <w:szCs w:val="15"/>
              </w:rPr>
              <w:t xml:space="preserve"> ai membri dell’Organo Amministrativo e del Consiglio di Sorveglianza della Società (l’”</w:t>
            </w:r>
            <w:r w:rsidR="00F87283" w:rsidRPr="00273ED1">
              <w:rPr>
                <w:rFonts w:ascii="Arial" w:hAnsi="Arial" w:cs="Arial"/>
                <w:b/>
                <w:sz w:val="15"/>
                <w:szCs w:val="15"/>
              </w:rPr>
              <w:t>Amministrazione</w:t>
            </w:r>
            <w:r w:rsidR="00F87283" w:rsidRPr="00273ED1">
              <w:rPr>
                <w:rFonts w:ascii="Arial" w:hAnsi="Arial" w:cs="Arial"/>
                <w:sz w:val="15"/>
                <w:szCs w:val="15"/>
              </w:rPr>
              <w:t xml:space="preserve">”) e (d) </w:t>
            </w:r>
            <w:r w:rsidR="0052793D" w:rsidRPr="00273ED1">
              <w:rPr>
                <w:rFonts w:ascii="Arial" w:hAnsi="Arial" w:cs="Arial"/>
                <w:sz w:val="15"/>
                <w:szCs w:val="15"/>
              </w:rPr>
              <w:t xml:space="preserve">persone fisiche e giuridiche </w:t>
            </w:r>
            <w:r w:rsidR="007B29A7" w:rsidRPr="00273ED1">
              <w:rPr>
                <w:rFonts w:ascii="Arial" w:hAnsi="Arial" w:cs="Arial"/>
                <w:sz w:val="15"/>
                <w:szCs w:val="15"/>
              </w:rPr>
              <w:t xml:space="preserve">estoni </w:t>
            </w:r>
            <w:r w:rsidR="0052793D" w:rsidRPr="00273ED1">
              <w:rPr>
                <w:rFonts w:ascii="Arial" w:hAnsi="Arial" w:cs="Arial"/>
                <w:sz w:val="15"/>
                <w:szCs w:val="15"/>
              </w:rPr>
              <w:t>diverse dagli Investitori Istituzionali</w:t>
            </w:r>
            <w:r w:rsidR="00450037" w:rsidRPr="00273ED1">
              <w:rPr>
                <w:rFonts w:ascii="Arial" w:hAnsi="Arial" w:cs="Arial"/>
                <w:sz w:val="15"/>
                <w:szCs w:val="15"/>
              </w:rPr>
              <w:t xml:space="preserve"> e dagli Azionisti Esistenti</w:t>
            </w:r>
            <w:r w:rsidR="0052793D" w:rsidRPr="00273ED1">
              <w:rPr>
                <w:rFonts w:ascii="Arial" w:hAnsi="Arial" w:cs="Arial"/>
                <w:sz w:val="15"/>
                <w:szCs w:val="15"/>
              </w:rPr>
              <w:t xml:space="preserve"> (gli </w:t>
            </w:r>
            <w:r w:rsidR="00A368C1" w:rsidRPr="00273ED1">
              <w:rPr>
                <w:rFonts w:ascii="Arial" w:hAnsi="Arial" w:cs="Arial"/>
                <w:b/>
                <w:sz w:val="15"/>
                <w:szCs w:val="15"/>
              </w:rPr>
              <w:t>“</w:t>
            </w:r>
            <w:r w:rsidR="0052793D" w:rsidRPr="00273ED1">
              <w:rPr>
                <w:rFonts w:ascii="Arial" w:hAnsi="Arial" w:cs="Arial"/>
                <w:b/>
                <w:sz w:val="15"/>
                <w:szCs w:val="15"/>
              </w:rPr>
              <w:t>Investitori al dettaglio estoni”</w:t>
            </w:r>
            <w:r w:rsidR="0052793D" w:rsidRPr="00273ED1">
              <w:rPr>
                <w:rFonts w:ascii="Arial" w:hAnsi="Arial" w:cs="Arial"/>
                <w:sz w:val="15"/>
                <w:szCs w:val="15"/>
              </w:rPr>
              <w:t>) (gli Azionisti Esistenti, gli Investitori Istituzionali</w:t>
            </w:r>
            <w:r w:rsidR="00901B54" w:rsidRPr="00273ED1">
              <w:rPr>
                <w:rFonts w:ascii="Arial" w:hAnsi="Arial" w:cs="Arial"/>
                <w:sz w:val="15"/>
                <w:szCs w:val="15"/>
              </w:rPr>
              <w:t>, l’Amministrazione</w:t>
            </w:r>
            <w:r w:rsidR="0052793D" w:rsidRPr="00273ED1">
              <w:rPr>
                <w:rFonts w:ascii="Arial" w:hAnsi="Arial" w:cs="Arial"/>
                <w:sz w:val="15"/>
                <w:szCs w:val="15"/>
              </w:rPr>
              <w:t xml:space="preserve"> e gli “Investitori al dettaglio estoni sono gli “</w:t>
            </w:r>
            <w:r w:rsidR="0052793D" w:rsidRPr="00273ED1">
              <w:rPr>
                <w:rFonts w:ascii="Arial" w:hAnsi="Arial" w:cs="Arial"/>
                <w:b/>
                <w:sz w:val="15"/>
                <w:szCs w:val="15"/>
              </w:rPr>
              <w:t>Investitori</w:t>
            </w:r>
            <w:r w:rsidR="0052793D" w:rsidRPr="00273ED1">
              <w:rPr>
                <w:rFonts w:ascii="Arial" w:hAnsi="Arial" w:cs="Arial"/>
                <w:sz w:val="15"/>
                <w:szCs w:val="15"/>
              </w:rPr>
              <w:t xml:space="preserve">”). </w:t>
            </w:r>
          </w:p>
          <w:p w14:paraId="4F1F6A3B" w14:textId="71CFAB5E" w:rsidR="004976E9" w:rsidRPr="00273ED1" w:rsidRDefault="004976E9" w:rsidP="00E31E69">
            <w:pPr>
              <w:spacing w:line="252" w:lineRule="auto"/>
              <w:jc w:val="both"/>
              <w:rPr>
                <w:sz w:val="15"/>
                <w:szCs w:val="15"/>
              </w:rPr>
            </w:pPr>
            <w:r w:rsidRPr="00273ED1">
              <w:rPr>
                <w:rFonts w:ascii="Arial" w:hAnsi="Arial" w:cs="Arial"/>
                <w:sz w:val="15"/>
                <w:szCs w:val="15"/>
              </w:rPr>
              <w:t xml:space="preserve">Il periodo di sottoscrizione delle Azioni inizierà </w:t>
            </w:r>
            <w:r w:rsidR="0092354B" w:rsidRPr="00273ED1">
              <w:rPr>
                <w:rFonts w:ascii="Arial" w:hAnsi="Arial" w:cs="Arial"/>
                <w:sz w:val="15"/>
                <w:szCs w:val="15"/>
              </w:rPr>
              <w:t xml:space="preserve">il </w:t>
            </w:r>
            <w:r w:rsidR="00901B54" w:rsidRPr="00273ED1">
              <w:rPr>
                <w:rFonts w:ascii="Arial" w:hAnsi="Arial" w:cs="Arial"/>
                <w:sz w:val="15"/>
                <w:szCs w:val="15"/>
              </w:rPr>
              <w:t xml:space="preserve">20 </w:t>
            </w:r>
            <w:r w:rsidR="00EA1A34" w:rsidRPr="00273ED1">
              <w:rPr>
                <w:rFonts w:ascii="Arial" w:hAnsi="Arial" w:cs="Arial"/>
                <w:sz w:val="15"/>
                <w:szCs w:val="15"/>
              </w:rPr>
              <w:t>s</w:t>
            </w:r>
            <w:r w:rsidR="0052793D" w:rsidRPr="00273ED1">
              <w:rPr>
                <w:rFonts w:ascii="Arial" w:hAnsi="Arial" w:cs="Arial"/>
                <w:sz w:val="15"/>
                <w:szCs w:val="15"/>
              </w:rPr>
              <w:t>ettembre</w:t>
            </w:r>
            <w:r w:rsidRPr="00273ED1">
              <w:rPr>
                <w:rFonts w:ascii="Arial" w:hAnsi="Arial" w:cs="Arial"/>
                <w:sz w:val="15"/>
                <w:szCs w:val="15"/>
              </w:rPr>
              <w:t xml:space="preserve"> 2017</w:t>
            </w:r>
            <w:r w:rsidR="00B53A9B">
              <w:rPr>
                <w:rFonts w:ascii="Arial" w:hAnsi="Arial" w:cs="Arial"/>
                <w:sz w:val="15"/>
                <w:szCs w:val="15"/>
              </w:rPr>
              <w:t xml:space="preserve"> (</w:t>
            </w:r>
            <w:r w:rsidR="00B53A9B" w:rsidRPr="00273ED1">
              <w:rPr>
                <w:rFonts w:ascii="Arial" w:hAnsi="Arial" w:cs="Arial"/>
                <w:sz w:val="15"/>
                <w:szCs w:val="15"/>
              </w:rPr>
              <w:t xml:space="preserve">alle </w:t>
            </w:r>
            <w:r w:rsidR="00B53A9B">
              <w:rPr>
                <w:rFonts w:ascii="Arial" w:hAnsi="Arial" w:cs="Arial"/>
                <w:sz w:val="15"/>
                <w:szCs w:val="15"/>
              </w:rPr>
              <w:t>10</w:t>
            </w:r>
            <w:r w:rsidR="002E41B0">
              <w:rPr>
                <w:rFonts w:ascii="Arial" w:hAnsi="Arial" w:cs="Arial"/>
                <w:sz w:val="15"/>
                <w:szCs w:val="15"/>
              </w:rPr>
              <w:t>:</w:t>
            </w:r>
            <w:r w:rsidR="00B53A9B">
              <w:rPr>
                <w:rFonts w:ascii="Arial" w:hAnsi="Arial" w:cs="Arial"/>
                <w:sz w:val="15"/>
                <w:szCs w:val="15"/>
              </w:rPr>
              <w:t>00</w:t>
            </w:r>
            <w:r w:rsidR="00B53A9B" w:rsidRPr="00273ED1">
              <w:rPr>
                <w:rFonts w:ascii="Arial" w:hAnsi="Arial" w:cs="Arial"/>
                <w:sz w:val="15"/>
                <w:szCs w:val="15"/>
              </w:rPr>
              <w:t xml:space="preserve"> (ora locale </w:t>
            </w:r>
            <w:r w:rsidR="002E41B0">
              <w:rPr>
                <w:rFonts w:ascii="Arial" w:hAnsi="Arial" w:cs="Arial"/>
                <w:sz w:val="15"/>
                <w:szCs w:val="15"/>
              </w:rPr>
              <w:t>di</w:t>
            </w:r>
            <w:r w:rsidR="00B53A9B" w:rsidRPr="00273ED1">
              <w:rPr>
                <w:rFonts w:ascii="Arial" w:hAnsi="Arial" w:cs="Arial"/>
                <w:sz w:val="15"/>
                <w:szCs w:val="15"/>
              </w:rPr>
              <w:t xml:space="preserve"> Tallinn)</w:t>
            </w:r>
            <w:r w:rsidR="00B53A9B">
              <w:rPr>
                <w:rFonts w:ascii="Arial" w:hAnsi="Arial" w:cs="Arial"/>
                <w:sz w:val="15"/>
                <w:szCs w:val="15"/>
              </w:rPr>
              <w:t>)</w:t>
            </w:r>
            <w:r w:rsidRPr="00273ED1">
              <w:rPr>
                <w:rFonts w:ascii="Arial" w:hAnsi="Arial" w:cs="Arial"/>
                <w:sz w:val="15"/>
                <w:szCs w:val="15"/>
              </w:rPr>
              <w:t xml:space="preserve"> e terminerà il </w:t>
            </w:r>
            <w:r w:rsidR="00901B54" w:rsidRPr="00273ED1">
              <w:rPr>
                <w:rFonts w:ascii="Arial" w:hAnsi="Arial" w:cs="Arial"/>
                <w:sz w:val="15"/>
                <w:szCs w:val="15"/>
              </w:rPr>
              <w:t>4 ottobre</w:t>
            </w:r>
            <w:r w:rsidRPr="00273ED1">
              <w:rPr>
                <w:rFonts w:ascii="Arial" w:hAnsi="Arial" w:cs="Arial"/>
                <w:sz w:val="15"/>
                <w:szCs w:val="15"/>
              </w:rPr>
              <w:t xml:space="preserve"> 2017</w:t>
            </w:r>
            <w:bookmarkStart w:id="134" w:name="_GoBack"/>
            <w:r w:rsidR="00B53A9B">
              <w:rPr>
                <w:rFonts w:ascii="Arial" w:hAnsi="Arial" w:cs="Arial"/>
                <w:sz w:val="15"/>
                <w:szCs w:val="15"/>
              </w:rPr>
              <w:t xml:space="preserve"> (</w:t>
            </w:r>
            <w:r w:rsidR="00B53A9B" w:rsidRPr="00273ED1">
              <w:rPr>
                <w:rFonts w:ascii="Arial" w:hAnsi="Arial" w:cs="Arial"/>
                <w:sz w:val="15"/>
                <w:szCs w:val="15"/>
              </w:rPr>
              <w:t xml:space="preserve">alle </w:t>
            </w:r>
            <w:r w:rsidR="00B53A9B">
              <w:rPr>
                <w:rFonts w:ascii="Arial" w:hAnsi="Arial" w:cs="Arial"/>
                <w:sz w:val="15"/>
                <w:szCs w:val="15"/>
              </w:rPr>
              <w:t>16</w:t>
            </w:r>
            <w:r w:rsidR="002E41B0">
              <w:rPr>
                <w:rFonts w:ascii="Arial" w:hAnsi="Arial" w:cs="Arial"/>
                <w:sz w:val="15"/>
                <w:szCs w:val="15"/>
              </w:rPr>
              <w:t>:</w:t>
            </w:r>
            <w:r w:rsidR="00B53A9B">
              <w:rPr>
                <w:rFonts w:ascii="Arial" w:hAnsi="Arial" w:cs="Arial"/>
                <w:sz w:val="15"/>
                <w:szCs w:val="15"/>
              </w:rPr>
              <w:t>00</w:t>
            </w:r>
            <w:r w:rsidR="00B53A9B" w:rsidRPr="00273ED1">
              <w:rPr>
                <w:rFonts w:ascii="Arial" w:hAnsi="Arial" w:cs="Arial"/>
                <w:sz w:val="15"/>
                <w:szCs w:val="15"/>
              </w:rPr>
              <w:t xml:space="preserve"> (ora locale </w:t>
            </w:r>
            <w:r w:rsidR="002E41B0">
              <w:rPr>
                <w:rFonts w:ascii="Arial" w:hAnsi="Arial" w:cs="Arial"/>
                <w:sz w:val="15"/>
                <w:szCs w:val="15"/>
              </w:rPr>
              <w:t>di</w:t>
            </w:r>
            <w:r w:rsidR="00B53A9B" w:rsidRPr="00273ED1">
              <w:rPr>
                <w:rFonts w:ascii="Arial" w:hAnsi="Arial" w:cs="Arial"/>
                <w:sz w:val="15"/>
                <w:szCs w:val="15"/>
              </w:rPr>
              <w:t xml:space="preserve"> Tallinn)</w:t>
            </w:r>
            <w:r w:rsidR="00B53A9B">
              <w:rPr>
                <w:rFonts w:ascii="Arial" w:hAnsi="Arial" w:cs="Arial"/>
                <w:sz w:val="15"/>
                <w:szCs w:val="15"/>
              </w:rPr>
              <w:t>)</w:t>
            </w:r>
            <w:bookmarkEnd w:id="134"/>
            <w:r w:rsidRPr="00273ED1">
              <w:rPr>
                <w:rFonts w:ascii="Arial" w:hAnsi="Arial" w:cs="Arial"/>
                <w:sz w:val="15"/>
                <w:szCs w:val="15"/>
              </w:rPr>
              <w:t xml:space="preserve"> (il “</w:t>
            </w:r>
            <w:r w:rsidRPr="00273ED1">
              <w:rPr>
                <w:rFonts w:ascii="Arial" w:hAnsi="Arial" w:cs="Arial"/>
                <w:b/>
                <w:bCs/>
                <w:sz w:val="15"/>
                <w:szCs w:val="15"/>
              </w:rPr>
              <w:t>Periodo d'Offerta</w:t>
            </w:r>
            <w:r w:rsidRPr="00273ED1">
              <w:rPr>
                <w:rFonts w:ascii="Arial" w:hAnsi="Arial" w:cs="Arial"/>
                <w:sz w:val="15"/>
                <w:szCs w:val="15"/>
              </w:rPr>
              <w:t xml:space="preserve">”). </w:t>
            </w:r>
            <w:r w:rsidR="00762F62" w:rsidRPr="00273ED1">
              <w:rPr>
                <w:rFonts w:ascii="Arial" w:hAnsi="Arial" w:cs="Arial"/>
                <w:sz w:val="15"/>
                <w:szCs w:val="15"/>
              </w:rPr>
              <w:t>L’Organo Amministrativo</w:t>
            </w:r>
            <w:r w:rsidRPr="00273ED1">
              <w:rPr>
                <w:rFonts w:ascii="Arial" w:hAnsi="Arial" w:cs="Arial"/>
                <w:sz w:val="15"/>
                <w:szCs w:val="15"/>
              </w:rPr>
              <w:t xml:space="preserve"> ha il diritto di prolungare il Periodo d'Offerta fino a un massimo di 15 giorni. </w:t>
            </w:r>
          </w:p>
          <w:p w14:paraId="033B4735" w14:textId="737F67B5" w:rsidR="004976E9" w:rsidRPr="00273ED1" w:rsidRDefault="004976E9" w:rsidP="00E31E69">
            <w:pPr>
              <w:spacing w:line="252" w:lineRule="auto"/>
              <w:jc w:val="both"/>
              <w:rPr>
                <w:sz w:val="15"/>
                <w:szCs w:val="15"/>
              </w:rPr>
            </w:pPr>
            <w:r w:rsidRPr="00273ED1">
              <w:rPr>
                <w:rFonts w:ascii="Arial" w:hAnsi="Arial" w:cs="Arial"/>
                <w:sz w:val="15"/>
                <w:szCs w:val="15"/>
              </w:rPr>
              <w:t xml:space="preserve">Il Prezzo d'Offerta dovuto per ogni Azione sarà determinato dal </w:t>
            </w:r>
            <w:r w:rsidR="00450037" w:rsidRPr="00273ED1">
              <w:rPr>
                <w:rFonts w:ascii="Arial" w:hAnsi="Arial" w:cs="Arial"/>
                <w:sz w:val="15"/>
                <w:szCs w:val="15"/>
              </w:rPr>
              <w:t>C</w:t>
            </w:r>
            <w:r w:rsidRPr="00273ED1">
              <w:rPr>
                <w:rFonts w:ascii="Arial" w:hAnsi="Arial" w:cs="Arial"/>
                <w:sz w:val="15"/>
                <w:szCs w:val="15"/>
              </w:rPr>
              <w:t xml:space="preserve">onsiglio di </w:t>
            </w:r>
            <w:r w:rsidR="00450037" w:rsidRPr="00273ED1">
              <w:rPr>
                <w:rFonts w:ascii="Arial" w:hAnsi="Arial" w:cs="Arial"/>
                <w:sz w:val="15"/>
                <w:szCs w:val="15"/>
              </w:rPr>
              <w:t>S</w:t>
            </w:r>
            <w:r w:rsidRPr="00273ED1">
              <w:rPr>
                <w:rFonts w:ascii="Arial" w:hAnsi="Arial" w:cs="Arial"/>
                <w:sz w:val="15"/>
                <w:szCs w:val="15"/>
              </w:rPr>
              <w:t xml:space="preserve">orveglianza e reso pubblico tramite il Mercato Regolamentato entro tre giorni lavorativi dal termine del Periodo d'Offerta. Il Prezzo d'Offerta rientrerà nella forbice da EURO </w:t>
            </w:r>
            <w:r w:rsidR="00641BE9" w:rsidRPr="00273ED1">
              <w:rPr>
                <w:rFonts w:ascii="Arial" w:hAnsi="Arial" w:cs="Arial"/>
                <w:sz w:val="15"/>
                <w:szCs w:val="15"/>
              </w:rPr>
              <w:t>1</w:t>
            </w:r>
            <w:r w:rsidR="009A2540">
              <w:rPr>
                <w:rFonts w:ascii="Arial" w:hAnsi="Arial" w:cs="Arial"/>
                <w:sz w:val="15"/>
                <w:szCs w:val="15"/>
              </w:rPr>
              <w:t>,</w:t>
            </w:r>
            <w:r w:rsidR="00641BE9" w:rsidRPr="00273ED1">
              <w:rPr>
                <w:rFonts w:ascii="Arial" w:hAnsi="Arial" w:cs="Arial"/>
                <w:sz w:val="15"/>
                <w:szCs w:val="15"/>
              </w:rPr>
              <w:t>80</w:t>
            </w:r>
            <w:r w:rsidRPr="00273ED1">
              <w:rPr>
                <w:rFonts w:ascii="Arial" w:hAnsi="Arial" w:cs="Arial"/>
                <w:sz w:val="15"/>
                <w:szCs w:val="15"/>
              </w:rPr>
              <w:t xml:space="preserve"> a </w:t>
            </w:r>
            <w:r w:rsidR="00641BE9" w:rsidRPr="00273ED1">
              <w:rPr>
                <w:rFonts w:ascii="Arial" w:hAnsi="Arial" w:cs="Arial"/>
                <w:sz w:val="15"/>
                <w:szCs w:val="15"/>
              </w:rPr>
              <w:t>2</w:t>
            </w:r>
            <w:r w:rsidR="009A2540">
              <w:rPr>
                <w:rFonts w:ascii="Arial" w:hAnsi="Arial" w:cs="Arial"/>
                <w:sz w:val="15"/>
                <w:szCs w:val="15"/>
              </w:rPr>
              <w:t>,</w:t>
            </w:r>
            <w:r w:rsidR="00641BE9" w:rsidRPr="00273ED1">
              <w:rPr>
                <w:rFonts w:ascii="Arial" w:hAnsi="Arial" w:cs="Arial"/>
                <w:sz w:val="15"/>
                <w:szCs w:val="15"/>
              </w:rPr>
              <w:t>30</w:t>
            </w:r>
            <w:r w:rsidRPr="00273ED1">
              <w:rPr>
                <w:rFonts w:ascii="Arial" w:hAnsi="Arial" w:cs="Arial"/>
                <w:sz w:val="15"/>
                <w:szCs w:val="15"/>
              </w:rPr>
              <w:t xml:space="preserve"> (la “</w:t>
            </w:r>
            <w:r w:rsidRPr="00273ED1">
              <w:rPr>
                <w:rFonts w:ascii="Arial" w:hAnsi="Arial" w:cs="Arial"/>
                <w:b/>
                <w:bCs/>
                <w:sz w:val="15"/>
                <w:szCs w:val="15"/>
              </w:rPr>
              <w:t>Forbice del Prezzo d'Offerta</w:t>
            </w:r>
            <w:r w:rsidRPr="00273ED1">
              <w:rPr>
                <w:rFonts w:ascii="Arial" w:hAnsi="Arial" w:cs="Arial"/>
                <w:sz w:val="15"/>
                <w:szCs w:val="15"/>
              </w:rPr>
              <w:t xml:space="preserve">”). </w:t>
            </w:r>
          </w:p>
          <w:p w14:paraId="142773B4" w14:textId="441F2B8F" w:rsidR="0052793D" w:rsidRPr="00273ED1" w:rsidRDefault="004976E9" w:rsidP="00E31E69">
            <w:pPr>
              <w:spacing w:line="252" w:lineRule="auto"/>
              <w:jc w:val="both"/>
              <w:rPr>
                <w:rFonts w:ascii="Arial" w:hAnsi="Arial" w:cs="Arial"/>
                <w:sz w:val="15"/>
                <w:szCs w:val="15"/>
              </w:rPr>
            </w:pPr>
            <w:r w:rsidRPr="00273ED1">
              <w:rPr>
                <w:rFonts w:ascii="Arial" w:hAnsi="Arial" w:cs="Arial"/>
                <w:sz w:val="15"/>
                <w:szCs w:val="15"/>
              </w:rPr>
              <w:t xml:space="preserve">Ciascun </w:t>
            </w:r>
            <w:r w:rsidR="0052793D" w:rsidRPr="00273ED1">
              <w:rPr>
                <w:rFonts w:ascii="Arial" w:hAnsi="Arial" w:cs="Arial"/>
                <w:sz w:val="15"/>
                <w:szCs w:val="15"/>
              </w:rPr>
              <w:t xml:space="preserve">Investitore </w:t>
            </w:r>
            <w:r w:rsidRPr="00273ED1">
              <w:rPr>
                <w:rFonts w:ascii="Arial" w:hAnsi="Arial" w:cs="Arial"/>
                <w:sz w:val="15"/>
                <w:szCs w:val="15"/>
              </w:rPr>
              <w:t xml:space="preserve">avrà il diritto di sottoscrivere un qualsiasi numero di Azioni (ossia da uno a </w:t>
            </w:r>
            <w:r w:rsidR="00901B54" w:rsidRPr="00273ED1">
              <w:rPr>
                <w:rFonts w:ascii="Arial" w:hAnsi="Arial" w:cs="Arial"/>
                <w:sz w:val="15"/>
                <w:szCs w:val="15"/>
              </w:rPr>
              <w:t>sei milioni</w:t>
            </w:r>
            <w:r w:rsidRPr="00273ED1">
              <w:rPr>
                <w:rFonts w:ascii="Arial" w:hAnsi="Arial" w:cs="Arial"/>
                <w:sz w:val="15"/>
                <w:szCs w:val="15"/>
              </w:rPr>
              <w:t xml:space="preserve"> </w:t>
            </w:r>
            <w:r w:rsidR="00901B54" w:rsidRPr="00273ED1">
              <w:rPr>
                <w:rFonts w:ascii="Arial" w:hAnsi="Arial" w:cs="Arial"/>
                <w:sz w:val="15"/>
                <w:szCs w:val="15"/>
              </w:rPr>
              <w:t xml:space="preserve">di </w:t>
            </w:r>
            <w:r w:rsidRPr="00273ED1">
              <w:rPr>
                <w:rFonts w:ascii="Arial" w:hAnsi="Arial" w:cs="Arial"/>
                <w:sz w:val="15"/>
                <w:szCs w:val="15"/>
              </w:rPr>
              <w:t xml:space="preserve">Azioni) inviando un Impegno di Sottoscrizione scritto. La Società accetta altresì Impegni di Sottoscrizione sottoscritti con firma digitale. </w:t>
            </w:r>
          </w:p>
          <w:p w14:paraId="488E83C1" w14:textId="67903CC5" w:rsidR="004976E9" w:rsidRPr="00273ED1" w:rsidRDefault="004976E9" w:rsidP="00E31E69">
            <w:pPr>
              <w:spacing w:line="252" w:lineRule="auto"/>
              <w:jc w:val="both"/>
              <w:rPr>
                <w:sz w:val="15"/>
                <w:szCs w:val="15"/>
              </w:rPr>
            </w:pPr>
            <w:r w:rsidRPr="00273ED1">
              <w:rPr>
                <w:rFonts w:ascii="Arial" w:hAnsi="Arial" w:cs="Arial"/>
                <w:sz w:val="15"/>
                <w:szCs w:val="15"/>
              </w:rPr>
              <w:t xml:space="preserve">Un Impegno di Sottoscrizione potrà essere comunicato inviandolo  </w:t>
            </w:r>
            <w:r w:rsidR="00901B54" w:rsidRPr="00273ED1">
              <w:rPr>
                <w:rFonts w:ascii="Arial" w:hAnsi="Arial" w:cs="Arial"/>
                <w:sz w:val="15"/>
                <w:szCs w:val="15"/>
              </w:rPr>
              <w:t xml:space="preserve">(a) </w:t>
            </w:r>
            <w:r w:rsidRPr="00273ED1">
              <w:rPr>
                <w:rFonts w:ascii="Arial" w:hAnsi="Arial" w:cs="Arial"/>
                <w:sz w:val="15"/>
                <w:szCs w:val="15"/>
              </w:rPr>
              <w:t xml:space="preserve">all'ufficio di </w:t>
            </w:r>
            <w:r w:rsidR="00450037" w:rsidRPr="00273ED1">
              <w:rPr>
                <w:rFonts w:ascii="Arial" w:hAnsi="Arial" w:cs="Arial"/>
                <w:sz w:val="15"/>
                <w:szCs w:val="15"/>
              </w:rPr>
              <w:t xml:space="preserve">AS </w:t>
            </w:r>
            <w:r w:rsidR="00281759" w:rsidRPr="00273ED1">
              <w:rPr>
                <w:rFonts w:ascii="Arial" w:hAnsi="Arial" w:cs="Arial"/>
                <w:sz w:val="15"/>
                <w:szCs w:val="15"/>
              </w:rPr>
              <w:t>L</w:t>
            </w:r>
            <w:r w:rsidR="00450037" w:rsidRPr="00273ED1">
              <w:rPr>
                <w:rFonts w:ascii="Arial" w:hAnsi="Arial" w:cs="Arial"/>
                <w:sz w:val="15"/>
                <w:szCs w:val="15"/>
              </w:rPr>
              <w:t>HV Pank</w:t>
            </w:r>
            <w:r w:rsidRPr="00273ED1">
              <w:rPr>
                <w:rFonts w:ascii="Arial" w:hAnsi="Arial" w:cs="Arial"/>
                <w:sz w:val="15"/>
                <w:szCs w:val="15"/>
              </w:rPr>
              <w:t xml:space="preserve"> sito in </w:t>
            </w:r>
            <w:r w:rsidR="00450037" w:rsidRPr="00273ED1">
              <w:rPr>
                <w:rFonts w:ascii="Arial" w:hAnsi="Arial" w:cs="Arial"/>
                <w:sz w:val="15"/>
                <w:szCs w:val="15"/>
              </w:rPr>
              <w:t>Tartu mnt 2, Tallinn 10145, Estonia</w:t>
            </w:r>
            <w:r w:rsidR="00101D08" w:rsidRPr="00273ED1">
              <w:rPr>
                <w:rFonts w:ascii="Arial" w:hAnsi="Arial" w:cs="Arial"/>
                <w:sz w:val="15"/>
                <w:szCs w:val="15"/>
              </w:rPr>
              <w:t xml:space="preserve"> </w:t>
            </w:r>
            <w:r w:rsidRPr="00273ED1">
              <w:rPr>
                <w:rFonts w:ascii="Arial" w:hAnsi="Arial" w:cs="Arial"/>
                <w:sz w:val="15"/>
                <w:szCs w:val="15"/>
              </w:rPr>
              <w:t xml:space="preserve">ovvero (b) </w:t>
            </w:r>
            <w:r w:rsidR="00450037" w:rsidRPr="00273ED1">
              <w:rPr>
                <w:rFonts w:ascii="Arial" w:hAnsi="Arial" w:cs="Arial"/>
                <w:sz w:val="15"/>
                <w:szCs w:val="15"/>
              </w:rPr>
              <w:t xml:space="preserve">nel caso di un Azionista Esistente </w:t>
            </w:r>
            <w:r w:rsidR="00901B54" w:rsidRPr="00273ED1">
              <w:rPr>
                <w:rFonts w:ascii="Arial" w:hAnsi="Arial" w:cs="Arial"/>
                <w:sz w:val="15"/>
                <w:szCs w:val="15"/>
              </w:rPr>
              <w:t xml:space="preserve">o di un membro dell’Amministrazione, </w:t>
            </w:r>
            <w:r w:rsidRPr="00273ED1">
              <w:rPr>
                <w:rFonts w:ascii="Arial" w:hAnsi="Arial" w:cs="Arial"/>
                <w:sz w:val="15"/>
                <w:szCs w:val="15"/>
              </w:rPr>
              <w:t xml:space="preserve">via email a </w:t>
            </w:r>
            <w:hyperlink r:id="rId7" w:history="1">
              <w:r w:rsidR="00450037" w:rsidRPr="00273ED1">
                <w:rPr>
                  <w:rStyle w:val="Hyperlink"/>
                  <w:rFonts w:ascii="Arial" w:hAnsi="Arial" w:cs="Arial"/>
                  <w:sz w:val="15"/>
                  <w:szCs w:val="15"/>
                </w:rPr>
                <w:t>prokapital@prokapital.ee</w:t>
              </w:r>
            </w:hyperlink>
            <w:r w:rsidR="00450037" w:rsidRPr="00273ED1" w:rsidDel="00450037">
              <w:rPr>
                <w:rFonts w:ascii="Arial" w:hAnsi="Arial" w:cs="Arial"/>
                <w:sz w:val="15"/>
                <w:szCs w:val="15"/>
              </w:rPr>
              <w:t xml:space="preserve"> </w:t>
            </w:r>
            <w:r w:rsidRPr="00273ED1">
              <w:rPr>
                <w:rFonts w:ascii="Arial" w:hAnsi="Arial" w:cs="Arial"/>
                <w:sz w:val="15"/>
                <w:szCs w:val="15"/>
              </w:rPr>
              <w:t>.</w:t>
            </w:r>
          </w:p>
          <w:p w14:paraId="1E6158E9" w14:textId="017FF9B6" w:rsidR="004976E9" w:rsidRPr="00273ED1" w:rsidRDefault="004976E9" w:rsidP="00E31E69">
            <w:pPr>
              <w:spacing w:line="252" w:lineRule="auto"/>
              <w:jc w:val="both"/>
              <w:rPr>
                <w:rFonts w:ascii="Arial" w:hAnsi="Arial" w:cs="Arial"/>
                <w:sz w:val="15"/>
                <w:szCs w:val="15"/>
              </w:rPr>
            </w:pPr>
            <w:r w:rsidRPr="00273ED1">
              <w:rPr>
                <w:rFonts w:ascii="Arial" w:hAnsi="Arial" w:cs="Arial"/>
                <w:sz w:val="15"/>
                <w:szCs w:val="15"/>
              </w:rPr>
              <w:t>Ciascun Impegno di Sottoscrizione dovrà essere accompagnato da (a) una copia di un documento d'identità valido se l'</w:t>
            </w:r>
            <w:r w:rsidR="00AD7231" w:rsidRPr="00273ED1">
              <w:rPr>
                <w:rFonts w:ascii="Arial" w:hAnsi="Arial" w:cs="Arial"/>
                <w:sz w:val="15"/>
                <w:szCs w:val="15"/>
              </w:rPr>
              <w:t>Investitore</w:t>
            </w:r>
            <w:r w:rsidRPr="00273ED1">
              <w:rPr>
                <w:rFonts w:ascii="Arial" w:hAnsi="Arial" w:cs="Arial"/>
                <w:sz w:val="15"/>
                <w:szCs w:val="15"/>
              </w:rPr>
              <w:t xml:space="preserve"> è una persona fisica; (b) una visura del registro applicabile, presso cui la persona giuridica è registrata, se l'</w:t>
            </w:r>
            <w:r w:rsidR="00AD7231" w:rsidRPr="00273ED1">
              <w:rPr>
                <w:rFonts w:ascii="Arial" w:hAnsi="Arial" w:cs="Arial"/>
                <w:sz w:val="15"/>
                <w:szCs w:val="15"/>
              </w:rPr>
              <w:t>Investitore</w:t>
            </w:r>
            <w:r w:rsidRPr="00273ED1">
              <w:rPr>
                <w:rFonts w:ascii="Arial" w:hAnsi="Arial" w:cs="Arial"/>
                <w:sz w:val="15"/>
                <w:szCs w:val="15"/>
              </w:rPr>
              <w:t xml:space="preserve"> è una persona giuridica; (c) nel caso in cui l'Impegno di Sottoscrizione sia stato sottoscritto, per conto di un</w:t>
            </w:r>
            <w:r w:rsidR="00AD7231" w:rsidRPr="00273ED1">
              <w:rPr>
                <w:rFonts w:ascii="Arial" w:hAnsi="Arial" w:cs="Arial"/>
                <w:sz w:val="15"/>
                <w:szCs w:val="15"/>
              </w:rPr>
              <w:t xml:space="preserve"> Investitore</w:t>
            </w:r>
            <w:r w:rsidRPr="00273ED1">
              <w:rPr>
                <w:rFonts w:ascii="Arial" w:hAnsi="Arial" w:cs="Arial"/>
                <w:sz w:val="15"/>
                <w:szCs w:val="15"/>
              </w:rPr>
              <w:t>, da un rappresentante, un documento (ad esempio una procura) che provi l'autorità del rappresentante a sottoscrivere l'Impegno di Sottoscrizione per conto del rispettivo</w:t>
            </w:r>
            <w:r w:rsidR="00AD7231" w:rsidRPr="00273ED1">
              <w:rPr>
                <w:rFonts w:ascii="Arial" w:hAnsi="Arial" w:cs="Arial"/>
                <w:sz w:val="15"/>
                <w:szCs w:val="15"/>
              </w:rPr>
              <w:t xml:space="preserve"> Investitore</w:t>
            </w:r>
            <w:r w:rsidRPr="00273ED1">
              <w:rPr>
                <w:rFonts w:ascii="Arial" w:hAnsi="Arial" w:cs="Arial"/>
                <w:sz w:val="15"/>
                <w:szCs w:val="15"/>
              </w:rPr>
              <w:t xml:space="preserve">; </w:t>
            </w:r>
            <w:r w:rsidRPr="00273ED1">
              <w:rPr>
                <w:rFonts w:ascii="Arial" w:hAnsi="Arial" w:cs="Arial"/>
                <w:sz w:val="15"/>
                <w:szCs w:val="15"/>
              </w:rPr>
              <w:lastRenderedPageBreak/>
              <w:t xml:space="preserve">e (d) nel caso in cui le azioni esistenti della Società siano detenute tramite un conto fiduciario, un documento emesso dal titolare del rispettivo conto fiduciario che confermi l'identità del soggetto per conto della quale tale azioni sono detenute </w:t>
            </w:r>
            <w:r w:rsidR="003A5F6B" w:rsidRPr="00273ED1">
              <w:rPr>
                <w:rFonts w:ascii="Arial" w:hAnsi="Arial" w:cs="Arial"/>
                <w:sz w:val="15"/>
                <w:szCs w:val="15"/>
              </w:rPr>
              <w:t xml:space="preserve">il 4 ottobre 2017 al termine dell’orario </w:t>
            </w:r>
            <w:r w:rsidR="000B10D4" w:rsidRPr="00273ED1">
              <w:rPr>
                <w:rFonts w:ascii="Arial" w:hAnsi="Arial" w:cs="Arial"/>
                <w:sz w:val="15"/>
                <w:szCs w:val="15"/>
              </w:rPr>
              <w:t>d’ufficio</w:t>
            </w:r>
            <w:r w:rsidR="003A5F6B" w:rsidRPr="00273ED1">
              <w:rPr>
                <w:rFonts w:ascii="Arial" w:hAnsi="Arial" w:cs="Arial"/>
                <w:sz w:val="15"/>
                <w:szCs w:val="15"/>
              </w:rPr>
              <w:t xml:space="preserve"> del Registro di Strumenti Finanziari (o </w:t>
            </w:r>
            <w:r w:rsidRPr="00273ED1">
              <w:rPr>
                <w:rFonts w:ascii="Arial" w:hAnsi="Arial" w:cs="Arial"/>
                <w:sz w:val="15"/>
                <w:szCs w:val="15"/>
              </w:rPr>
              <w:t>alle 23.59 (ora locale in Tallinn)</w:t>
            </w:r>
            <w:r w:rsidR="009A2D48" w:rsidRPr="00273ED1">
              <w:rPr>
                <w:rFonts w:ascii="Arial" w:hAnsi="Arial" w:cs="Arial"/>
                <w:sz w:val="15"/>
                <w:szCs w:val="15"/>
              </w:rPr>
              <w:t>)</w:t>
            </w:r>
            <w:r w:rsidRPr="00273ED1">
              <w:rPr>
                <w:rFonts w:ascii="Arial" w:hAnsi="Arial" w:cs="Arial"/>
                <w:sz w:val="15"/>
                <w:szCs w:val="15"/>
              </w:rPr>
              <w:t xml:space="preserve"> </w:t>
            </w:r>
            <w:r w:rsidR="009A2D48" w:rsidRPr="00273ED1">
              <w:rPr>
                <w:rFonts w:ascii="Arial" w:hAnsi="Arial" w:cs="Arial"/>
                <w:sz w:val="15"/>
                <w:szCs w:val="15"/>
              </w:rPr>
              <w:t xml:space="preserve">qualora, entro tale data, il Registro di Strumenti Finanziari </w:t>
            </w:r>
            <w:r w:rsidR="00D2602B" w:rsidRPr="00273ED1">
              <w:rPr>
                <w:rFonts w:ascii="Arial" w:hAnsi="Arial" w:cs="Arial"/>
                <w:sz w:val="15"/>
                <w:szCs w:val="15"/>
              </w:rPr>
              <w:t>non partecipi ancora al progetto TARGET2-Securities</w:t>
            </w:r>
            <w:r w:rsidR="009A2D48" w:rsidRPr="00273ED1">
              <w:rPr>
                <w:rFonts w:ascii="Arial" w:hAnsi="Arial" w:cs="Arial"/>
                <w:sz w:val="15"/>
                <w:szCs w:val="15"/>
              </w:rPr>
              <w:t>)</w:t>
            </w:r>
            <w:r w:rsidRPr="00273ED1">
              <w:rPr>
                <w:rFonts w:ascii="Arial" w:hAnsi="Arial" w:cs="Arial"/>
                <w:sz w:val="15"/>
                <w:szCs w:val="15"/>
              </w:rPr>
              <w:t>.</w:t>
            </w:r>
          </w:p>
          <w:p w14:paraId="179C954D" w14:textId="57FA651C" w:rsidR="004976E9" w:rsidRPr="00273ED1" w:rsidRDefault="004976E9" w:rsidP="00E31E69">
            <w:pPr>
              <w:spacing w:line="252" w:lineRule="auto"/>
              <w:jc w:val="both"/>
              <w:rPr>
                <w:rFonts w:ascii="Arial" w:hAnsi="Arial" w:cs="Arial"/>
                <w:sz w:val="15"/>
                <w:szCs w:val="15"/>
              </w:rPr>
            </w:pPr>
            <w:r w:rsidRPr="00273ED1">
              <w:rPr>
                <w:rFonts w:ascii="Arial" w:hAnsi="Arial" w:cs="Arial"/>
                <w:sz w:val="15"/>
                <w:szCs w:val="15"/>
              </w:rPr>
              <w:t xml:space="preserve">I documenti indicati qui sopra devono essere spediti o consegnati </w:t>
            </w:r>
            <w:r w:rsidR="00450037" w:rsidRPr="00273ED1">
              <w:rPr>
                <w:rFonts w:ascii="Arial" w:hAnsi="Arial" w:cs="Arial"/>
                <w:sz w:val="15"/>
                <w:szCs w:val="15"/>
              </w:rPr>
              <w:t xml:space="preserve">(a) </w:t>
            </w:r>
            <w:r w:rsidRPr="00273ED1">
              <w:rPr>
                <w:rFonts w:ascii="Arial" w:hAnsi="Arial" w:cs="Arial"/>
                <w:sz w:val="15"/>
                <w:szCs w:val="15"/>
              </w:rPr>
              <w:t xml:space="preserve">all'ufficio di </w:t>
            </w:r>
            <w:r w:rsidR="00450037" w:rsidRPr="00273ED1">
              <w:rPr>
                <w:rFonts w:ascii="Arial" w:hAnsi="Arial" w:cs="Arial"/>
                <w:sz w:val="15"/>
                <w:szCs w:val="15"/>
              </w:rPr>
              <w:t>AS LHV Pank</w:t>
            </w:r>
            <w:r w:rsidRPr="00273ED1">
              <w:rPr>
                <w:rFonts w:ascii="Arial" w:hAnsi="Arial" w:cs="Arial"/>
                <w:sz w:val="15"/>
                <w:szCs w:val="15"/>
              </w:rPr>
              <w:t xml:space="preserve"> situato a </w:t>
            </w:r>
            <w:r w:rsidR="00450037" w:rsidRPr="00273ED1">
              <w:rPr>
                <w:rFonts w:ascii="Arial" w:hAnsi="Arial" w:cs="Arial"/>
                <w:sz w:val="15"/>
                <w:szCs w:val="15"/>
              </w:rPr>
              <w:t>Tartu mnt 2, Tallinn 10145, Estonia o (b) qualora l’Impegno di Sottoscrizione sia stato presentato via email, all’ufficio di AS Pro Kapital</w:t>
            </w:r>
            <w:r w:rsidR="00281759" w:rsidRPr="00273ED1">
              <w:rPr>
                <w:rFonts w:ascii="Arial" w:hAnsi="Arial" w:cs="Arial"/>
                <w:sz w:val="15"/>
                <w:szCs w:val="15"/>
              </w:rPr>
              <w:t xml:space="preserve"> </w:t>
            </w:r>
            <w:r w:rsidR="00450037" w:rsidRPr="00273ED1">
              <w:rPr>
                <w:rFonts w:ascii="Arial" w:hAnsi="Arial" w:cs="Arial"/>
                <w:sz w:val="15"/>
                <w:szCs w:val="15"/>
              </w:rPr>
              <w:t>Grupp sito a Sõjakooli 11, 11316 Tallinn</w:t>
            </w:r>
            <w:r w:rsidRPr="00273ED1">
              <w:rPr>
                <w:rFonts w:ascii="Arial" w:hAnsi="Arial" w:cs="Arial"/>
                <w:sz w:val="15"/>
                <w:szCs w:val="15"/>
              </w:rPr>
              <w:t xml:space="preserve">. Qualsiasi documento emesso da un ufficiale di uno stato estero deve essere legalizzato o autenticato mediante apposizione di apostille e tradotto in lingua inglese. </w:t>
            </w:r>
          </w:p>
          <w:p w14:paraId="6D18565B" w14:textId="77777777" w:rsidR="004976E9" w:rsidRPr="00273ED1" w:rsidRDefault="004976E9" w:rsidP="00E31E69">
            <w:pPr>
              <w:spacing w:line="252" w:lineRule="auto"/>
              <w:jc w:val="both"/>
              <w:rPr>
                <w:rFonts w:ascii="Arial" w:hAnsi="Arial" w:cs="Arial"/>
                <w:sz w:val="15"/>
                <w:szCs w:val="15"/>
              </w:rPr>
            </w:pPr>
            <w:r w:rsidRPr="00273ED1">
              <w:rPr>
                <w:rFonts w:ascii="Arial" w:hAnsi="Arial" w:cs="Arial"/>
                <w:sz w:val="15"/>
                <w:szCs w:val="15"/>
              </w:rPr>
              <w:t>Ciascun impegno di Sottoscrizione deve indicare quanto segue:</w:t>
            </w:r>
          </w:p>
          <w:p w14:paraId="59B5C16A" w14:textId="77777777" w:rsidR="004976E9" w:rsidRPr="00273ED1" w:rsidRDefault="00AD7231" w:rsidP="004976E9">
            <w:pPr>
              <w:pStyle w:val="ListParagraph"/>
              <w:numPr>
                <w:ilvl w:val="2"/>
                <w:numId w:val="8"/>
              </w:numPr>
              <w:spacing w:after="0"/>
              <w:ind w:left="318" w:hanging="284"/>
              <w:jc w:val="both"/>
              <w:rPr>
                <w:rFonts w:ascii="Arial" w:hAnsi="Arial" w:cs="Arial"/>
                <w:sz w:val="15"/>
                <w:szCs w:val="15"/>
                <w:lang w:val="it-IT"/>
              </w:rPr>
            </w:pPr>
            <w:r w:rsidRPr="00273ED1">
              <w:rPr>
                <w:rFonts w:ascii="Arial" w:hAnsi="Arial" w:cs="Arial"/>
                <w:sz w:val="15"/>
                <w:szCs w:val="15"/>
                <w:lang w:val="it-IT"/>
              </w:rPr>
              <w:t>il nome dell'Investitore</w:t>
            </w:r>
            <w:r w:rsidR="004976E9" w:rsidRPr="00273ED1">
              <w:rPr>
                <w:rFonts w:ascii="Arial" w:hAnsi="Arial" w:cs="Arial"/>
                <w:sz w:val="15"/>
                <w:szCs w:val="15"/>
                <w:lang w:val="it-IT"/>
              </w:rPr>
              <w:t>;</w:t>
            </w:r>
          </w:p>
          <w:p w14:paraId="2CC9F020" w14:textId="77777777" w:rsidR="004976E9" w:rsidRPr="00273ED1" w:rsidRDefault="004976E9" w:rsidP="004976E9">
            <w:pPr>
              <w:pStyle w:val="ListParagraph"/>
              <w:numPr>
                <w:ilvl w:val="2"/>
                <w:numId w:val="8"/>
              </w:numPr>
              <w:spacing w:after="0"/>
              <w:ind w:left="318" w:hanging="284"/>
              <w:jc w:val="both"/>
              <w:rPr>
                <w:rFonts w:ascii="Arial" w:hAnsi="Arial" w:cs="Arial"/>
                <w:sz w:val="15"/>
                <w:szCs w:val="15"/>
                <w:lang w:val="it-IT"/>
              </w:rPr>
            </w:pPr>
            <w:r w:rsidRPr="00273ED1">
              <w:rPr>
                <w:rFonts w:ascii="Arial" w:hAnsi="Arial" w:cs="Arial"/>
                <w:sz w:val="15"/>
                <w:szCs w:val="15"/>
                <w:lang w:val="it-IT"/>
              </w:rPr>
              <w:t>il numero d'identificazione personale ovvero il numero di registrazione dell'</w:t>
            </w:r>
            <w:r w:rsidR="00AD7231" w:rsidRPr="00273ED1">
              <w:rPr>
                <w:rFonts w:ascii="Arial" w:hAnsi="Arial" w:cs="Arial"/>
                <w:sz w:val="15"/>
                <w:szCs w:val="15"/>
                <w:lang w:val="it-IT"/>
              </w:rPr>
              <w:t>Investitore</w:t>
            </w:r>
            <w:r w:rsidRPr="00273ED1">
              <w:rPr>
                <w:rFonts w:ascii="Arial" w:hAnsi="Arial" w:cs="Arial"/>
                <w:sz w:val="15"/>
                <w:szCs w:val="15"/>
                <w:lang w:val="it-IT"/>
              </w:rPr>
              <w:t xml:space="preserve"> (ovvero, in assenza dello stesso, la rispettiva data di nascita);</w:t>
            </w:r>
          </w:p>
          <w:p w14:paraId="5A0DD5B0" w14:textId="77777777" w:rsidR="004976E9" w:rsidRPr="00273ED1" w:rsidRDefault="004976E9" w:rsidP="004976E9">
            <w:pPr>
              <w:pStyle w:val="ListParagraph"/>
              <w:numPr>
                <w:ilvl w:val="2"/>
                <w:numId w:val="8"/>
              </w:numPr>
              <w:spacing w:after="0"/>
              <w:ind w:left="318" w:hanging="284"/>
              <w:jc w:val="both"/>
              <w:rPr>
                <w:rFonts w:ascii="Arial" w:hAnsi="Arial" w:cs="Arial"/>
                <w:sz w:val="15"/>
                <w:szCs w:val="15"/>
                <w:lang w:val="it-IT"/>
              </w:rPr>
            </w:pPr>
            <w:r w:rsidRPr="00273ED1">
              <w:rPr>
                <w:rFonts w:ascii="Arial" w:hAnsi="Arial" w:cs="Arial"/>
                <w:sz w:val="15"/>
                <w:szCs w:val="15"/>
                <w:lang w:val="it-IT"/>
              </w:rPr>
              <w:t>il numero di Azioni che l'</w:t>
            </w:r>
            <w:r w:rsidR="00AD7231" w:rsidRPr="00273ED1">
              <w:rPr>
                <w:rFonts w:ascii="Arial" w:hAnsi="Arial" w:cs="Arial"/>
                <w:sz w:val="15"/>
                <w:szCs w:val="15"/>
                <w:lang w:val="it-IT"/>
              </w:rPr>
              <w:t>Investitore</w:t>
            </w:r>
            <w:r w:rsidRPr="00273ED1">
              <w:rPr>
                <w:rFonts w:ascii="Arial" w:hAnsi="Arial" w:cs="Arial"/>
                <w:sz w:val="15"/>
                <w:szCs w:val="15"/>
                <w:lang w:val="it-IT"/>
              </w:rPr>
              <w:t xml:space="preserve"> intende sottoscrivere;</w:t>
            </w:r>
          </w:p>
          <w:p w14:paraId="5FCBA783" w14:textId="3D2101AE" w:rsidR="004976E9" w:rsidRPr="00273ED1" w:rsidRDefault="004976E9" w:rsidP="004976E9">
            <w:pPr>
              <w:pStyle w:val="ListParagraph"/>
              <w:numPr>
                <w:ilvl w:val="2"/>
                <w:numId w:val="8"/>
              </w:numPr>
              <w:spacing w:after="0"/>
              <w:ind w:left="318" w:hanging="284"/>
              <w:jc w:val="both"/>
              <w:rPr>
                <w:rFonts w:ascii="Arial" w:hAnsi="Arial" w:cs="Arial"/>
                <w:sz w:val="15"/>
                <w:szCs w:val="15"/>
                <w:lang w:val="it-IT"/>
              </w:rPr>
            </w:pPr>
            <w:r w:rsidRPr="00273ED1">
              <w:rPr>
                <w:rFonts w:ascii="Arial" w:hAnsi="Arial" w:cs="Arial"/>
                <w:sz w:val="15"/>
                <w:szCs w:val="15"/>
                <w:lang w:val="it-IT"/>
              </w:rPr>
              <w:t>il Prezzo di Sottoscrizione (il maggior prezzo per Azione che l'</w:t>
            </w:r>
            <w:r w:rsidR="00AD7231" w:rsidRPr="00273ED1">
              <w:rPr>
                <w:rFonts w:ascii="Arial" w:hAnsi="Arial" w:cs="Arial"/>
                <w:sz w:val="15"/>
                <w:szCs w:val="15"/>
                <w:lang w:val="it-IT"/>
              </w:rPr>
              <w:t>Investitore</w:t>
            </w:r>
            <w:r w:rsidRPr="00273ED1">
              <w:rPr>
                <w:rFonts w:ascii="Arial" w:hAnsi="Arial" w:cs="Arial"/>
                <w:sz w:val="15"/>
                <w:szCs w:val="15"/>
                <w:lang w:val="it-IT"/>
              </w:rPr>
              <w:t xml:space="preserve"> è disposto a pagare per ciascuna Azione dallo stesso sottoscritta; </w:t>
            </w:r>
            <w:r w:rsidR="009A2D48" w:rsidRPr="00273ED1">
              <w:rPr>
                <w:rFonts w:ascii="Arial" w:hAnsi="Arial" w:cs="Arial"/>
                <w:sz w:val="15"/>
                <w:szCs w:val="15"/>
                <w:lang w:val="it-IT"/>
              </w:rPr>
              <w:t xml:space="preserve">ossia EURO </w:t>
            </w:r>
            <w:r w:rsidR="00FD058F" w:rsidRPr="00273ED1">
              <w:rPr>
                <w:rFonts w:ascii="Arial" w:hAnsi="Arial" w:cs="Arial"/>
                <w:sz w:val="15"/>
                <w:szCs w:val="15"/>
              </w:rPr>
              <w:t>1</w:t>
            </w:r>
            <w:r w:rsidR="009A2540">
              <w:rPr>
                <w:rFonts w:ascii="Arial" w:hAnsi="Arial" w:cs="Arial"/>
                <w:sz w:val="15"/>
                <w:szCs w:val="15"/>
              </w:rPr>
              <w:t>,</w:t>
            </w:r>
            <w:r w:rsidR="00FD058F" w:rsidRPr="00273ED1">
              <w:rPr>
                <w:rFonts w:ascii="Arial" w:hAnsi="Arial" w:cs="Arial"/>
                <w:sz w:val="15"/>
                <w:szCs w:val="15"/>
              </w:rPr>
              <w:t>80</w:t>
            </w:r>
            <w:r w:rsidR="009A2D48" w:rsidRPr="00273ED1">
              <w:rPr>
                <w:rFonts w:ascii="Arial" w:hAnsi="Arial" w:cs="Arial"/>
                <w:sz w:val="15"/>
                <w:szCs w:val="15"/>
              </w:rPr>
              <w:t>,</w:t>
            </w:r>
            <w:r w:rsidR="00FD058F" w:rsidRPr="00273ED1">
              <w:rPr>
                <w:rFonts w:ascii="Arial" w:hAnsi="Arial" w:cs="Arial"/>
                <w:sz w:val="15"/>
                <w:szCs w:val="15"/>
              </w:rPr>
              <w:t xml:space="preserve"> </w:t>
            </w:r>
            <w:r w:rsidR="009A2D48" w:rsidRPr="00273ED1">
              <w:rPr>
                <w:rFonts w:ascii="Arial" w:hAnsi="Arial" w:cs="Arial"/>
                <w:sz w:val="15"/>
                <w:szCs w:val="15"/>
                <w:lang w:val="it-IT"/>
              </w:rPr>
              <w:t xml:space="preserve">EURO </w:t>
            </w:r>
            <w:r w:rsidR="00FD058F" w:rsidRPr="00273ED1">
              <w:rPr>
                <w:rFonts w:ascii="Arial" w:hAnsi="Arial" w:cs="Arial"/>
                <w:sz w:val="15"/>
                <w:szCs w:val="15"/>
              </w:rPr>
              <w:t>1</w:t>
            </w:r>
            <w:r w:rsidR="009A2540">
              <w:rPr>
                <w:rFonts w:ascii="Arial" w:hAnsi="Arial" w:cs="Arial"/>
                <w:sz w:val="15"/>
                <w:szCs w:val="15"/>
              </w:rPr>
              <w:t>,</w:t>
            </w:r>
            <w:r w:rsidR="00FD058F" w:rsidRPr="00273ED1">
              <w:rPr>
                <w:rFonts w:ascii="Arial" w:hAnsi="Arial" w:cs="Arial"/>
                <w:sz w:val="15"/>
                <w:szCs w:val="15"/>
              </w:rPr>
              <w:t>90</w:t>
            </w:r>
            <w:r w:rsidR="009A2D48" w:rsidRPr="00273ED1">
              <w:rPr>
                <w:rFonts w:ascii="Arial" w:hAnsi="Arial" w:cs="Arial"/>
                <w:sz w:val="15"/>
                <w:szCs w:val="15"/>
              </w:rPr>
              <w:t xml:space="preserve">, </w:t>
            </w:r>
            <w:r w:rsidR="009A2D48" w:rsidRPr="00273ED1">
              <w:rPr>
                <w:rFonts w:ascii="Arial" w:hAnsi="Arial" w:cs="Arial"/>
                <w:sz w:val="15"/>
                <w:szCs w:val="15"/>
                <w:lang w:val="it-IT"/>
              </w:rPr>
              <w:t xml:space="preserve">EURO </w:t>
            </w:r>
            <w:r w:rsidR="00FD058F" w:rsidRPr="00273ED1">
              <w:rPr>
                <w:rFonts w:ascii="Arial" w:hAnsi="Arial" w:cs="Arial"/>
                <w:sz w:val="15"/>
                <w:szCs w:val="15"/>
              </w:rPr>
              <w:t>2</w:t>
            </w:r>
            <w:r w:rsidR="009A2540">
              <w:rPr>
                <w:rFonts w:ascii="Arial" w:hAnsi="Arial" w:cs="Arial"/>
                <w:sz w:val="15"/>
                <w:szCs w:val="15"/>
              </w:rPr>
              <w:t>,</w:t>
            </w:r>
            <w:r w:rsidR="00FD058F" w:rsidRPr="00273ED1">
              <w:rPr>
                <w:rFonts w:ascii="Arial" w:hAnsi="Arial" w:cs="Arial"/>
                <w:sz w:val="15"/>
                <w:szCs w:val="15"/>
              </w:rPr>
              <w:t>00</w:t>
            </w:r>
            <w:r w:rsidR="009A2D48" w:rsidRPr="00273ED1">
              <w:rPr>
                <w:rFonts w:ascii="Arial" w:hAnsi="Arial" w:cs="Arial"/>
                <w:sz w:val="15"/>
                <w:szCs w:val="15"/>
              </w:rPr>
              <w:t>,</w:t>
            </w:r>
            <w:r w:rsidR="00FD058F" w:rsidRPr="00273ED1">
              <w:rPr>
                <w:rFonts w:ascii="Arial" w:hAnsi="Arial" w:cs="Arial"/>
                <w:sz w:val="15"/>
                <w:szCs w:val="15"/>
              </w:rPr>
              <w:t xml:space="preserve"> </w:t>
            </w:r>
            <w:r w:rsidR="009A2D48" w:rsidRPr="00273ED1">
              <w:rPr>
                <w:rFonts w:ascii="Arial" w:hAnsi="Arial" w:cs="Arial"/>
                <w:sz w:val="15"/>
                <w:szCs w:val="15"/>
                <w:lang w:val="it-IT"/>
              </w:rPr>
              <w:t xml:space="preserve">EURO </w:t>
            </w:r>
            <w:r w:rsidR="00FD058F" w:rsidRPr="00273ED1">
              <w:rPr>
                <w:rFonts w:ascii="Arial" w:hAnsi="Arial" w:cs="Arial"/>
                <w:sz w:val="15"/>
                <w:szCs w:val="15"/>
              </w:rPr>
              <w:t>2</w:t>
            </w:r>
            <w:r w:rsidR="009A2540">
              <w:rPr>
                <w:rFonts w:ascii="Arial" w:hAnsi="Arial" w:cs="Arial"/>
                <w:sz w:val="15"/>
                <w:szCs w:val="15"/>
              </w:rPr>
              <w:t>,</w:t>
            </w:r>
            <w:r w:rsidR="00FD058F" w:rsidRPr="00273ED1">
              <w:rPr>
                <w:rFonts w:ascii="Arial" w:hAnsi="Arial" w:cs="Arial"/>
                <w:sz w:val="15"/>
                <w:szCs w:val="15"/>
              </w:rPr>
              <w:t>10</w:t>
            </w:r>
            <w:r w:rsidR="009A2D48" w:rsidRPr="00273ED1">
              <w:rPr>
                <w:rFonts w:ascii="Arial" w:hAnsi="Arial" w:cs="Arial"/>
                <w:sz w:val="15"/>
                <w:szCs w:val="15"/>
              </w:rPr>
              <w:t>,</w:t>
            </w:r>
            <w:r w:rsidR="00FD058F" w:rsidRPr="00273ED1">
              <w:rPr>
                <w:rFonts w:ascii="Arial" w:hAnsi="Arial" w:cs="Arial"/>
                <w:sz w:val="15"/>
                <w:szCs w:val="15"/>
              </w:rPr>
              <w:t xml:space="preserve"> </w:t>
            </w:r>
            <w:r w:rsidR="009A2D48" w:rsidRPr="00273ED1">
              <w:rPr>
                <w:rFonts w:ascii="Arial" w:hAnsi="Arial" w:cs="Arial"/>
                <w:sz w:val="15"/>
                <w:szCs w:val="15"/>
                <w:lang w:val="it-IT"/>
              </w:rPr>
              <w:t xml:space="preserve">EURO </w:t>
            </w:r>
            <w:r w:rsidR="00FD058F" w:rsidRPr="00273ED1">
              <w:rPr>
                <w:rFonts w:ascii="Arial" w:hAnsi="Arial" w:cs="Arial"/>
                <w:sz w:val="15"/>
                <w:szCs w:val="15"/>
                <w:lang w:val="it-IT"/>
              </w:rPr>
              <w:t>2</w:t>
            </w:r>
            <w:r w:rsidR="009A2540">
              <w:rPr>
                <w:rFonts w:ascii="Arial" w:hAnsi="Arial" w:cs="Arial"/>
                <w:sz w:val="15"/>
                <w:szCs w:val="15"/>
                <w:lang w:val="it-IT"/>
              </w:rPr>
              <w:t>,</w:t>
            </w:r>
            <w:r w:rsidR="00FD058F" w:rsidRPr="00273ED1">
              <w:rPr>
                <w:rFonts w:ascii="Arial" w:hAnsi="Arial" w:cs="Arial"/>
                <w:sz w:val="15"/>
                <w:szCs w:val="15"/>
                <w:lang w:val="it-IT"/>
              </w:rPr>
              <w:t>20</w:t>
            </w:r>
            <w:r w:rsidR="009A2D48" w:rsidRPr="00273ED1">
              <w:rPr>
                <w:rFonts w:ascii="Arial" w:hAnsi="Arial" w:cs="Arial"/>
                <w:sz w:val="15"/>
                <w:szCs w:val="15"/>
              </w:rPr>
              <w:t xml:space="preserve">, o </w:t>
            </w:r>
            <w:r w:rsidR="009A2D48" w:rsidRPr="00273ED1">
              <w:rPr>
                <w:rFonts w:ascii="Arial" w:hAnsi="Arial" w:cs="Arial"/>
                <w:sz w:val="15"/>
                <w:szCs w:val="15"/>
                <w:lang w:val="it-IT"/>
              </w:rPr>
              <w:t xml:space="preserve">EURO </w:t>
            </w:r>
            <w:r w:rsidR="00FD058F" w:rsidRPr="00273ED1">
              <w:rPr>
                <w:rFonts w:ascii="Arial" w:hAnsi="Arial" w:cs="Arial"/>
                <w:sz w:val="15"/>
                <w:szCs w:val="15"/>
              </w:rPr>
              <w:t>2</w:t>
            </w:r>
            <w:r w:rsidR="009A2540">
              <w:rPr>
                <w:rFonts w:ascii="Arial" w:hAnsi="Arial" w:cs="Arial"/>
                <w:sz w:val="15"/>
                <w:szCs w:val="15"/>
              </w:rPr>
              <w:t>,</w:t>
            </w:r>
            <w:r w:rsidR="00FD058F" w:rsidRPr="00273ED1">
              <w:rPr>
                <w:rFonts w:ascii="Arial" w:hAnsi="Arial" w:cs="Arial"/>
                <w:sz w:val="15"/>
                <w:szCs w:val="15"/>
              </w:rPr>
              <w:t>30</w:t>
            </w:r>
            <w:r w:rsidRPr="00273ED1">
              <w:rPr>
                <w:rFonts w:ascii="Arial" w:hAnsi="Arial" w:cs="Arial"/>
                <w:sz w:val="15"/>
                <w:szCs w:val="15"/>
                <w:lang w:val="it-IT"/>
              </w:rPr>
              <w:t>);</w:t>
            </w:r>
          </w:p>
          <w:p w14:paraId="22E63FFB" w14:textId="3C05D48A" w:rsidR="004976E9" w:rsidRPr="00273ED1" w:rsidRDefault="004976E9" w:rsidP="004976E9">
            <w:pPr>
              <w:pStyle w:val="ListParagraph"/>
              <w:numPr>
                <w:ilvl w:val="2"/>
                <w:numId w:val="8"/>
              </w:numPr>
              <w:spacing w:after="0"/>
              <w:ind w:left="318" w:hanging="284"/>
              <w:jc w:val="both"/>
              <w:rPr>
                <w:rFonts w:ascii="Arial" w:hAnsi="Arial" w:cs="Arial"/>
                <w:sz w:val="15"/>
                <w:szCs w:val="15"/>
                <w:lang w:val="it-IT"/>
              </w:rPr>
            </w:pPr>
            <w:r w:rsidRPr="00273ED1">
              <w:rPr>
                <w:rFonts w:ascii="Arial" w:hAnsi="Arial" w:cs="Arial"/>
                <w:sz w:val="15"/>
                <w:szCs w:val="15"/>
                <w:lang w:val="it-IT"/>
              </w:rPr>
              <w:t xml:space="preserve">į dettagli del conto titoli aperto presso </w:t>
            </w:r>
            <w:r w:rsidR="00450037" w:rsidRPr="00273ED1">
              <w:rPr>
                <w:rFonts w:ascii="Arial" w:hAnsi="Arial" w:cs="Arial"/>
                <w:sz w:val="15"/>
                <w:szCs w:val="15"/>
                <w:lang w:val="it-IT"/>
              </w:rPr>
              <w:t>il Registro di Strumenti Finanziari</w:t>
            </w:r>
            <w:r w:rsidRPr="00273ED1">
              <w:rPr>
                <w:rFonts w:ascii="Arial" w:hAnsi="Arial" w:cs="Arial"/>
                <w:sz w:val="15"/>
                <w:szCs w:val="15"/>
                <w:lang w:val="it-IT"/>
              </w:rPr>
              <w:t xml:space="preserve"> cui le Azioni emesse devono essere trasferite, compreso (a) il nome del titolare del conto titoli e (b) il numero del conto titoli; </w:t>
            </w:r>
          </w:p>
          <w:p w14:paraId="76314F88" w14:textId="77777777" w:rsidR="004976E9" w:rsidRPr="00273ED1" w:rsidRDefault="004976E9" w:rsidP="004976E9">
            <w:pPr>
              <w:pStyle w:val="ListParagraph"/>
              <w:numPr>
                <w:ilvl w:val="2"/>
                <w:numId w:val="8"/>
              </w:numPr>
              <w:spacing w:after="0"/>
              <w:ind w:left="318" w:hanging="284"/>
              <w:jc w:val="both"/>
              <w:rPr>
                <w:rFonts w:ascii="Arial" w:hAnsi="Arial" w:cs="Arial"/>
                <w:sz w:val="15"/>
                <w:szCs w:val="15"/>
                <w:lang w:val="it-IT"/>
              </w:rPr>
            </w:pPr>
            <w:r w:rsidRPr="00273ED1">
              <w:rPr>
                <w:rFonts w:ascii="Arial" w:hAnsi="Arial" w:cs="Arial"/>
                <w:sz w:val="15"/>
                <w:szCs w:val="15"/>
                <w:lang w:val="it-IT"/>
              </w:rPr>
              <w:t>il numero (IBAN) del conto bancario su cui sarà pagato il Prezzo di Sottoscrizione;</w:t>
            </w:r>
          </w:p>
          <w:p w14:paraId="1C2F65E0" w14:textId="1BF347CD" w:rsidR="00C9464C" w:rsidRPr="00273ED1" w:rsidRDefault="004976E9" w:rsidP="00575946">
            <w:pPr>
              <w:pStyle w:val="ListParagraph"/>
              <w:numPr>
                <w:ilvl w:val="2"/>
                <w:numId w:val="8"/>
              </w:numPr>
              <w:spacing w:after="0"/>
              <w:ind w:left="318" w:hanging="284"/>
              <w:jc w:val="both"/>
              <w:rPr>
                <w:rFonts w:ascii="Arial" w:hAnsi="Arial" w:cs="Arial"/>
                <w:sz w:val="15"/>
                <w:szCs w:val="15"/>
                <w:lang w:val="it-IT"/>
              </w:rPr>
            </w:pPr>
            <w:r w:rsidRPr="00273ED1">
              <w:rPr>
                <w:rFonts w:ascii="Arial" w:hAnsi="Arial" w:cs="Arial"/>
                <w:sz w:val="15"/>
                <w:szCs w:val="15"/>
                <w:lang w:val="it-IT"/>
              </w:rPr>
              <w:t>la dichiarazione dell'</w:t>
            </w:r>
            <w:r w:rsidR="00AD7231" w:rsidRPr="00273ED1">
              <w:rPr>
                <w:rFonts w:ascii="Arial" w:hAnsi="Arial" w:cs="Arial"/>
                <w:sz w:val="15"/>
                <w:szCs w:val="15"/>
                <w:lang w:val="it-IT"/>
              </w:rPr>
              <w:t>Investitore</w:t>
            </w:r>
            <w:r w:rsidRPr="00273ED1">
              <w:rPr>
                <w:rFonts w:ascii="Arial" w:hAnsi="Arial" w:cs="Arial"/>
                <w:sz w:val="15"/>
                <w:szCs w:val="15"/>
                <w:lang w:val="it-IT"/>
              </w:rPr>
              <w:t xml:space="preserve"> in cui sia indicato che: (a) l'</w:t>
            </w:r>
            <w:r w:rsidR="00AD7231" w:rsidRPr="00273ED1">
              <w:rPr>
                <w:rFonts w:ascii="Arial" w:hAnsi="Arial" w:cs="Arial"/>
                <w:sz w:val="15"/>
                <w:szCs w:val="15"/>
                <w:lang w:val="it-IT"/>
              </w:rPr>
              <w:t>Investitore</w:t>
            </w:r>
            <w:r w:rsidRPr="00273ED1">
              <w:rPr>
                <w:rFonts w:ascii="Arial" w:hAnsi="Arial" w:cs="Arial"/>
                <w:sz w:val="15"/>
                <w:szCs w:val="15"/>
                <w:lang w:val="it-IT"/>
              </w:rPr>
              <w:t xml:space="preserve"> è a conoscenza di tutte le informazioni elencate nel Prospetto, accetta tutti į termini e le condizioni dell'Offerta e concorda con la Società riguardo alla loro applicazione; (b) l'Offerta agli </w:t>
            </w:r>
            <w:r w:rsidR="00E74D11" w:rsidRPr="00273ED1">
              <w:rPr>
                <w:rFonts w:ascii="Arial" w:hAnsi="Arial" w:cs="Arial"/>
                <w:sz w:val="15"/>
                <w:szCs w:val="15"/>
                <w:lang w:val="it-IT"/>
              </w:rPr>
              <w:t xml:space="preserve">Investitori </w:t>
            </w:r>
            <w:r w:rsidRPr="00273ED1">
              <w:rPr>
                <w:rFonts w:ascii="Arial" w:hAnsi="Arial" w:cs="Arial"/>
                <w:sz w:val="15"/>
                <w:szCs w:val="15"/>
                <w:lang w:val="it-IT"/>
              </w:rPr>
              <w:t xml:space="preserve">e l'emissione di Azioni ai sensi dell'Impegno di Sottoscrizione non necessita di ulteriori registrazioni, prospetti o misure ulteriori rispetto a quelle necessarie ai sensi del diritto estone e poste in essere dalla Società; (c) </w:t>
            </w:r>
            <w:r w:rsidR="00E74D11" w:rsidRPr="00273ED1">
              <w:rPr>
                <w:rFonts w:ascii="Arial" w:hAnsi="Arial" w:cs="Arial"/>
                <w:sz w:val="15"/>
                <w:szCs w:val="15"/>
                <w:lang w:val="it-IT"/>
              </w:rPr>
              <w:t xml:space="preserve">l’Investitore </w:t>
            </w:r>
            <w:r w:rsidRPr="00273ED1">
              <w:rPr>
                <w:rFonts w:ascii="Arial" w:hAnsi="Arial" w:cs="Arial"/>
                <w:sz w:val="15"/>
                <w:szCs w:val="15"/>
                <w:lang w:val="it-IT"/>
              </w:rPr>
              <w:t>riconosce e concorda col fatto che inviando l'Impegno di Sottoscrizione, l'</w:t>
            </w:r>
            <w:r w:rsidR="00E74D11" w:rsidRPr="00273ED1">
              <w:rPr>
                <w:rFonts w:ascii="Arial" w:hAnsi="Arial" w:cs="Arial"/>
                <w:sz w:val="15"/>
                <w:szCs w:val="15"/>
                <w:lang w:val="it-IT"/>
              </w:rPr>
              <w:t>Investitore</w:t>
            </w:r>
            <w:r w:rsidRPr="00273ED1">
              <w:rPr>
                <w:rFonts w:ascii="Arial" w:hAnsi="Arial" w:cs="Arial"/>
                <w:sz w:val="15"/>
                <w:szCs w:val="15"/>
                <w:lang w:val="it-IT"/>
              </w:rPr>
              <w:t xml:space="preserve"> si impegna ad acquistare le Azioni, sottoscritte ai sensi dell'Impegno di Sottoscrizione e assegnate dalla Società sulla base dello ste</w:t>
            </w:r>
            <w:r w:rsidR="00E74D11" w:rsidRPr="00273ED1">
              <w:rPr>
                <w:rFonts w:ascii="Arial" w:hAnsi="Arial" w:cs="Arial"/>
                <w:sz w:val="15"/>
                <w:szCs w:val="15"/>
                <w:lang w:val="it-IT"/>
              </w:rPr>
              <w:t>s</w:t>
            </w:r>
            <w:r w:rsidR="00152A44" w:rsidRPr="00273ED1">
              <w:rPr>
                <w:rFonts w:ascii="Arial" w:hAnsi="Arial" w:cs="Arial"/>
                <w:sz w:val="15"/>
                <w:szCs w:val="15"/>
                <w:lang w:val="it-IT"/>
              </w:rPr>
              <w:t>so; (d) l’Investitore riconosce</w:t>
            </w:r>
            <w:r w:rsidRPr="00273ED1">
              <w:rPr>
                <w:rFonts w:ascii="Arial" w:hAnsi="Arial" w:cs="Arial"/>
                <w:sz w:val="15"/>
                <w:szCs w:val="15"/>
                <w:lang w:val="it-IT"/>
              </w:rPr>
              <w:t xml:space="preserve"> che nel caso in cui il Prezzo di Sottoscrizione sia minore del Prezzo d'Offerta</w:t>
            </w:r>
            <w:r w:rsidR="008E5A6A" w:rsidRPr="00273ED1">
              <w:rPr>
                <w:rFonts w:ascii="Arial" w:hAnsi="Arial" w:cs="Arial"/>
                <w:sz w:val="15"/>
                <w:szCs w:val="15"/>
                <w:lang w:val="it-IT"/>
              </w:rPr>
              <w:t xml:space="preserve"> determinato dal Consiglio di Sorveglianza</w:t>
            </w:r>
            <w:r w:rsidRPr="00273ED1">
              <w:rPr>
                <w:rFonts w:ascii="Arial" w:hAnsi="Arial" w:cs="Arial"/>
                <w:sz w:val="15"/>
                <w:szCs w:val="15"/>
                <w:lang w:val="it-IT"/>
              </w:rPr>
              <w:t>, nessuna Azione sarà emessa ai sensi dell'Impegno di Sottoscrizione; (e) tutte le informazioni indicate nell'Impegno di Sottoscrizione e nei relativi allegati sono corrette, complete</w:t>
            </w:r>
            <w:r w:rsidR="00FD058F" w:rsidRPr="00273ED1">
              <w:rPr>
                <w:rFonts w:ascii="Arial" w:hAnsi="Arial" w:cs="Arial"/>
                <w:sz w:val="15"/>
                <w:szCs w:val="15"/>
                <w:lang w:val="it-IT"/>
              </w:rPr>
              <w:t xml:space="preserve"> e precise sotto ogni profilo; </w:t>
            </w:r>
            <w:r w:rsidRPr="00273ED1">
              <w:rPr>
                <w:rFonts w:ascii="Arial" w:hAnsi="Arial" w:cs="Arial"/>
                <w:sz w:val="15"/>
                <w:szCs w:val="15"/>
                <w:lang w:val="it-IT"/>
              </w:rPr>
              <w:t>(f) l'</w:t>
            </w:r>
            <w:r w:rsidR="00E74D11" w:rsidRPr="00273ED1">
              <w:rPr>
                <w:rFonts w:ascii="Arial" w:hAnsi="Arial" w:cs="Arial"/>
                <w:sz w:val="15"/>
                <w:szCs w:val="15"/>
                <w:lang w:val="it-IT"/>
              </w:rPr>
              <w:t>Investitore</w:t>
            </w:r>
            <w:r w:rsidRPr="00273ED1">
              <w:rPr>
                <w:rFonts w:ascii="Arial" w:hAnsi="Arial" w:cs="Arial"/>
                <w:sz w:val="15"/>
                <w:szCs w:val="15"/>
                <w:lang w:val="it-IT"/>
              </w:rPr>
              <w:t xml:space="preserve"> accetta che nel caso in cui l'</w:t>
            </w:r>
            <w:r w:rsidR="00E74D11" w:rsidRPr="00273ED1">
              <w:rPr>
                <w:rFonts w:ascii="Arial" w:hAnsi="Arial" w:cs="Arial"/>
                <w:sz w:val="15"/>
                <w:szCs w:val="15"/>
                <w:lang w:val="it-IT"/>
              </w:rPr>
              <w:t>Investitore</w:t>
            </w:r>
            <w:r w:rsidRPr="00273ED1">
              <w:rPr>
                <w:rFonts w:ascii="Arial" w:hAnsi="Arial" w:cs="Arial"/>
                <w:sz w:val="15"/>
                <w:szCs w:val="15"/>
                <w:lang w:val="it-IT"/>
              </w:rPr>
              <w:t xml:space="preserve"> non abbia debitamente sottoscritto le rispettive Azioni nel rispetto di tutti į requisiti previsti nel Prospetto (compreso il caso in cui l'Impegno di Sottoscrizione non rispetti tutti į requisiti ovvero il caso in cui l'Impegno di Sottoscrizione sia consegnato o il Prezzo di Sottoscrizione sia pagato successivamente alla scadenza del relativo temine ecc.) la Società potrà (ma non sarà obbligata a) emettere le Azioni ai sensi dell'Impegno di Sottoscrizione e l'</w:t>
            </w:r>
            <w:r w:rsidR="00E74D11" w:rsidRPr="00273ED1">
              <w:rPr>
                <w:rFonts w:ascii="Arial" w:hAnsi="Arial" w:cs="Arial"/>
                <w:sz w:val="15"/>
                <w:szCs w:val="15"/>
                <w:lang w:val="it-IT"/>
              </w:rPr>
              <w:t>investitore</w:t>
            </w:r>
            <w:r w:rsidRPr="00273ED1">
              <w:rPr>
                <w:rFonts w:ascii="Arial" w:hAnsi="Arial" w:cs="Arial"/>
                <w:sz w:val="15"/>
                <w:szCs w:val="15"/>
                <w:lang w:val="it-IT"/>
              </w:rPr>
              <w:t xml:space="preserve"> sarà obbligato ad acquistare tali Azioni nonostante la mancata conformità</w:t>
            </w:r>
            <w:r w:rsidR="00137DB5" w:rsidRPr="00273ED1">
              <w:rPr>
                <w:rFonts w:ascii="Arial" w:hAnsi="Arial" w:cs="Arial"/>
                <w:sz w:val="15"/>
                <w:szCs w:val="15"/>
                <w:lang w:val="it-IT"/>
              </w:rPr>
              <w:t xml:space="preserve">, (g) l’Investitore accetta che il Prezzo di Offerta finale esigibile per ciascuna Azione sarà determinato dal Consiglio di Sorveglianza dopo la fine del Periodo di Offerta ai sensi della Clausola 24.6.3 del Prospetto e </w:t>
            </w:r>
            <w:r w:rsidR="00FD058F" w:rsidRPr="00273ED1">
              <w:rPr>
                <w:rFonts w:ascii="Arial" w:hAnsi="Arial" w:cs="Arial"/>
                <w:sz w:val="15"/>
                <w:szCs w:val="15"/>
                <w:lang w:val="it-IT"/>
              </w:rPr>
              <w:t>la Società può emettere da 1 a 6</w:t>
            </w:r>
            <w:r w:rsidR="00137DB5" w:rsidRPr="00273ED1">
              <w:rPr>
                <w:rFonts w:ascii="Arial" w:hAnsi="Arial" w:cs="Arial"/>
                <w:sz w:val="15"/>
                <w:szCs w:val="15"/>
                <w:lang w:val="it-IT"/>
              </w:rPr>
              <w:t>.000.000 Azioni per gli Investitori.</w:t>
            </w:r>
            <w:r w:rsidRPr="00273ED1">
              <w:rPr>
                <w:rFonts w:ascii="Arial" w:hAnsi="Arial" w:cs="Arial"/>
                <w:sz w:val="15"/>
                <w:szCs w:val="15"/>
                <w:lang w:val="it-IT"/>
              </w:rPr>
              <w:t xml:space="preserve">  </w:t>
            </w:r>
          </w:p>
          <w:p w14:paraId="534C6997" w14:textId="1D389B18" w:rsidR="00C9464C" w:rsidRPr="00273ED1" w:rsidRDefault="00C9464C" w:rsidP="006A4748">
            <w:pPr>
              <w:ind w:left="34"/>
              <w:jc w:val="both"/>
              <w:rPr>
                <w:rFonts w:ascii="Arial" w:hAnsi="Arial" w:cs="Arial"/>
                <w:sz w:val="15"/>
                <w:szCs w:val="15"/>
              </w:rPr>
            </w:pPr>
            <w:r w:rsidRPr="00273ED1">
              <w:rPr>
                <w:rFonts w:ascii="Arial" w:hAnsi="Arial" w:cs="Arial"/>
                <w:sz w:val="15"/>
                <w:szCs w:val="15"/>
              </w:rPr>
              <w:t>Inoltre, ciascun Azionista Esistente, che abbia un diritto di prelazione per l’acquisto delle Azioni, può (a) anche esercitare il diritto di prelazione secondo la procedura indicata nelle leggi applicabili e (b) indicare nell’Impegno di Sottoscrizione il numero di Azioni che intend</w:t>
            </w:r>
            <w:r w:rsidR="00E74BCA" w:rsidRPr="00273ED1">
              <w:rPr>
                <w:rFonts w:ascii="Arial" w:hAnsi="Arial" w:cs="Arial"/>
                <w:sz w:val="15"/>
                <w:szCs w:val="15"/>
              </w:rPr>
              <w:t>e</w:t>
            </w:r>
            <w:r w:rsidRPr="00273ED1">
              <w:rPr>
                <w:rFonts w:ascii="Arial" w:hAnsi="Arial" w:cs="Arial"/>
                <w:sz w:val="15"/>
                <w:szCs w:val="15"/>
              </w:rPr>
              <w:t xml:space="preserve"> sottoscrivere come corrispettivo di ciascun </w:t>
            </w:r>
            <w:r w:rsidR="005330DF" w:rsidRPr="00273ED1">
              <w:rPr>
                <w:rFonts w:ascii="Arial" w:hAnsi="Arial" w:cs="Arial"/>
                <w:sz w:val="15"/>
                <w:szCs w:val="15"/>
              </w:rPr>
              <w:t>potenziale Prezzo di Offerta entro la Forbice del Prezzo di Offerta (</w:t>
            </w:r>
            <w:r w:rsidR="006C179B" w:rsidRPr="00273ED1">
              <w:rPr>
                <w:rFonts w:ascii="Arial" w:hAnsi="Arial" w:cs="Arial"/>
                <w:sz w:val="15"/>
                <w:szCs w:val="15"/>
              </w:rPr>
              <w:t xml:space="preserve">ossia </w:t>
            </w:r>
            <w:r w:rsidR="005330DF" w:rsidRPr="00273ED1">
              <w:rPr>
                <w:rFonts w:ascii="Arial" w:hAnsi="Arial" w:cs="Arial"/>
                <w:sz w:val="15"/>
                <w:szCs w:val="15"/>
              </w:rPr>
              <w:t>il numero di Azioni che intend</w:t>
            </w:r>
            <w:r w:rsidR="0014201E" w:rsidRPr="00273ED1">
              <w:rPr>
                <w:rFonts w:ascii="Arial" w:hAnsi="Arial" w:cs="Arial"/>
                <w:sz w:val="15"/>
                <w:szCs w:val="15"/>
              </w:rPr>
              <w:t>e</w:t>
            </w:r>
            <w:r w:rsidR="005330DF" w:rsidRPr="00273ED1">
              <w:rPr>
                <w:rFonts w:ascii="Arial" w:hAnsi="Arial" w:cs="Arial"/>
                <w:sz w:val="15"/>
                <w:szCs w:val="15"/>
              </w:rPr>
              <w:t xml:space="preserve"> sottoscrivere qualora il Prezzo di Offerta sia di </w:t>
            </w:r>
            <w:r w:rsidR="006C179B" w:rsidRPr="00273ED1">
              <w:rPr>
                <w:rFonts w:ascii="Arial" w:hAnsi="Arial" w:cs="Arial"/>
                <w:sz w:val="15"/>
                <w:szCs w:val="15"/>
              </w:rPr>
              <w:t xml:space="preserve">EURO </w:t>
            </w:r>
            <w:r w:rsidR="00FD058F" w:rsidRPr="00273ED1">
              <w:rPr>
                <w:rFonts w:ascii="Arial" w:hAnsi="Arial" w:cs="Arial"/>
                <w:sz w:val="15"/>
                <w:szCs w:val="15"/>
              </w:rPr>
              <w:t>1</w:t>
            </w:r>
            <w:r w:rsidR="009A2540">
              <w:rPr>
                <w:rFonts w:ascii="Arial" w:hAnsi="Arial" w:cs="Arial"/>
                <w:sz w:val="15"/>
                <w:szCs w:val="15"/>
              </w:rPr>
              <w:t>,</w:t>
            </w:r>
            <w:r w:rsidR="00FD058F" w:rsidRPr="00273ED1">
              <w:rPr>
                <w:rFonts w:ascii="Arial" w:hAnsi="Arial" w:cs="Arial"/>
                <w:sz w:val="15"/>
                <w:szCs w:val="15"/>
              </w:rPr>
              <w:t>80</w:t>
            </w:r>
            <w:r w:rsidR="006C179B" w:rsidRPr="00273ED1">
              <w:rPr>
                <w:rFonts w:ascii="Arial" w:hAnsi="Arial" w:cs="Arial"/>
                <w:sz w:val="15"/>
                <w:szCs w:val="15"/>
              </w:rPr>
              <w:t xml:space="preserve"> per Azione, di EURO </w:t>
            </w:r>
            <w:r w:rsidR="00FD058F" w:rsidRPr="00273ED1">
              <w:rPr>
                <w:rFonts w:ascii="Arial" w:hAnsi="Arial" w:cs="Arial"/>
                <w:sz w:val="15"/>
                <w:szCs w:val="15"/>
              </w:rPr>
              <w:t>1</w:t>
            </w:r>
            <w:r w:rsidR="009A2540">
              <w:rPr>
                <w:rFonts w:ascii="Arial" w:hAnsi="Arial" w:cs="Arial"/>
                <w:sz w:val="15"/>
                <w:szCs w:val="15"/>
              </w:rPr>
              <w:t>,</w:t>
            </w:r>
            <w:r w:rsidR="00FD058F" w:rsidRPr="00273ED1">
              <w:rPr>
                <w:rFonts w:ascii="Arial" w:hAnsi="Arial" w:cs="Arial"/>
                <w:sz w:val="15"/>
                <w:szCs w:val="15"/>
              </w:rPr>
              <w:t>90</w:t>
            </w:r>
            <w:r w:rsidR="006C179B" w:rsidRPr="00273ED1">
              <w:rPr>
                <w:rFonts w:ascii="Arial" w:hAnsi="Arial" w:cs="Arial"/>
                <w:sz w:val="15"/>
                <w:szCs w:val="15"/>
              </w:rPr>
              <w:t xml:space="preserve"> per Azione, di EURO </w:t>
            </w:r>
            <w:r w:rsidR="00FD058F" w:rsidRPr="00273ED1">
              <w:rPr>
                <w:rFonts w:ascii="Arial" w:hAnsi="Arial" w:cs="Arial"/>
                <w:sz w:val="15"/>
                <w:szCs w:val="15"/>
              </w:rPr>
              <w:t>2</w:t>
            </w:r>
            <w:r w:rsidR="009A2540">
              <w:rPr>
                <w:rFonts w:ascii="Arial" w:hAnsi="Arial" w:cs="Arial"/>
                <w:sz w:val="15"/>
                <w:szCs w:val="15"/>
              </w:rPr>
              <w:t>,</w:t>
            </w:r>
            <w:r w:rsidR="00FD058F" w:rsidRPr="00273ED1">
              <w:rPr>
                <w:rFonts w:ascii="Arial" w:hAnsi="Arial" w:cs="Arial"/>
                <w:sz w:val="15"/>
                <w:szCs w:val="15"/>
              </w:rPr>
              <w:t>00</w:t>
            </w:r>
            <w:r w:rsidR="006C179B" w:rsidRPr="00273ED1">
              <w:rPr>
                <w:rFonts w:ascii="Arial" w:hAnsi="Arial" w:cs="Arial"/>
                <w:sz w:val="15"/>
                <w:szCs w:val="15"/>
              </w:rPr>
              <w:t xml:space="preserve"> per Azione, di EURO </w:t>
            </w:r>
            <w:r w:rsidR="00811C5B" w:rsidRPr="00273ED1">
              <w:rPr>
                <w:rFonts w:ascii="Arial" w:hAnsi="Arial" w:cs="Arial"/>
                <w:sz w:val="15"/>
                <w:szCs w:val="15"/>
              </w:rPr>
              <w:t>2</w:t>
            </w:r>
            <w:r w:rsidR="009A2540">
              <w:rPr>
                <w:rFonts w:ascii="Arial" w:hAnsi="Arial" w:cs="Arial"/>
                <w:sz w:val="15"/>
                <w:szCs w:val="15"/>
              </w:rPr>
              <w:t>,</w:t>
            </w:r>
            <w:r w:rsidR="00FD058F" w:rsidRPr="00273ED1">
              <w:rPr>
                <w:rFonts w:ascii="Arial" w:hAnsi="Arial" w:cs="Arial"/>
                <w:sz w:val="15"/>
                <w:szCs w:val="15"/>
              </w:rPr>
              <w:t>10</w:t>
            </w:r>
            <w:r w:rsidR="006C179B" w:rsidRPr="00273ED1">
              <w:rPr>
                <w:rFonts w:ascii="Arial" w:hAnsi="Arial" w:cs="Arial"/>
                <w:sz w:val="15"/>
                <w:szCs w:val="15"/>
              </w:rPr>
              <w:t xml:space="preserve"> per Azione, di EURO </w:t>
            </w:r>
            <w:r w:rsidR="00FD058F" w:rsidRPr="00273ED1">
              <w:rPr>
                <w:rFonts w:ascii="Arial" w:hAnsi="Arial" w:cs="Arial"/>
                <w:sz w:val="15"/>
                <w:szCs w:val="15"/>
              </w:rPr>
              <w:t>2</w:t>
            </w:r>
            <w:r w:rsidR="009A2540">
              <w:rPr>
                <w:rFonts w:ascii="Arial" w:hAnsi="Arial" w:cs="Arial"/>
                <w:sz w:val="15"/>
                <w:szCs w:val="15"/>
              </w:rPr>
              <w:t>,</w:t>
            </w:r>
            <w:r w:rsidR="00FD058F" w:rsidRPr="00273ED1">
              <w:rPr>
                <w:rFonts w:ascii="Arial" w:hAnsi="Arial" w:cs="Arial"/>
                <w:sz w:val="15"/>
                <w:szCs w:val="15"/>
              </w:rPr>
              <w:t>2</w:t>
            </w:r>
            <w:r w:rsidR="006C179B" w:rsidRPr="00273ED1">
              <w:rPr>
                <w:rFonts w:ascii="Arial" w:hAnsi="Arial" w:cs="Arial"/>
                <w:sz w:val="15"/>
                <w:szCs w:val="15"/>
              </w:rPr>
              <w:t xml:space="preserve"> per Azione e di E</w:t>
            </w:r>
            <w:r w:rsidR="003179E7" w:rsidRPr="00273ED1">
              <w:rPr>
                <w:rFonts w:ascii="Arial" w:hAnsi="Arial" w:cs="Arial"/>
                <w:sz w:val="15"/>
                <w:szCs w:val="15"/>
              </w:rPr>
              <w:t xml:space="preserve">URO </w:t>
            </w:r>
            <w:r w:rsidR="00FD058F" w:rsidRPr="00273ED1">
              <w:rPr>
                <w:rFonts w:ascii="Arial" w:hAnsi="Arial" w:cs="Arial"/>
                <w:sz w:val="15"/>
                <w:szCs w:val="15"/>
              </w:rPr>
              <w:t>2</w:t>
            </w:r>
            <w:r w:rsidR="009A2540">
              <w:rPr>
                <w:rFonts w:ascii="Arial" w:hAnsi="Arial" w:cs="Arial"/>
                <w:sz w:val="15"/>
                <w:szCs w:val="15"/>
              </w:rPr>
              <w:t>,</w:t>
            </w:r>
            <w:r w:rsidR="00FD058F" w:rsidRPr="00273ED1">
              <w:rPr>
                <w:rFonts w:ascii="Arial" w:hAnsi="Arial" w:cs="Arial"/>
                <w:sz w:val="15"/>
                <w:szCs w:val="15"/>
              </w:rPr>
              <w:t>3</w:t>
            </w:r>
            <w:r w:rsidR="003179E7" w:rsidRPr="00273ED1">
              <w:rPr>
                <w:rFonts w:ascii="Arial" w:hAnsi="Arial" w:cs="Arial"/>
                <w:sz w:val="15"/>
                <w:szCs w:val="15"/>
              </w:rPr>
              <w:t xml:space="preserve"> per Azione).</w:t>
            </w:r>
          </w:p>
          <w:p w14:paraId="0C02C10C" w14:textId="77777777" w:rsidR="004976E9" w:rsidRPr="00273ED1" w:rsidRDefault="004976E9" w:rsidP="00E31E69">
            <w:pPr>
              <w:spacing w:line="252" w:lineRule="auto"/>
              <w:jc w:val="both"/>
              <w:rPr>
                <w:rFonts w:ascii="Arial" w:hAnsi="Arial" w:cs="Arial"/>
                <w:sz w:val="15"/>
                <w:szCs w:val="15"/>
              </w:rPr>
            </w:pPr>
            <w:r w:rsidRPr="00273ED1">
              <w:rPr>
                <w:rFonts w:ascii="Arial" w:hAnsi="Arial" w:cs="Arial"/>
                <w:sz w:val="15"/>
                <w:szCs w:val="15"/>
              </w:rPr>
              <w:t xml:space="preserve">Se un </w:t>
            </w:r>
            <w:r w:rsidR="00E74D11" w:rsidRPr="00273ED1">
              <w:rPr>
                <w:rFonts w:ascii="Arial" w:hAnsi="Arial" w:cs="Arial"/>
                <w:sz w:val="15"/>
                <w:szCs w:val="15"/>
              </w:rPr>
              <w:t xml:space="preserve">Investitore </w:t>
            </w:r>
            <w:r w:rsidRPr="00273ED1">
              <w:rPr>
                <w:rFonts w:ascii="Arial" w:hAnsi="Arial" w:cs="Arial"/>
                <w:sz w:val="15"/>
                <w:szCs w:val="15"/>
              </w:rPr>
              <w:t xml:space="preserve">invia vari Impegni di Sottoscrizione, la Società li considererà tutti nel loro complesso come un unico Impegno di Sottoscrizione inviato per la sottoscrizione del numero complessivo di Azioni indicate negli stessi. </w:t>
            </w:r>
          </w:p>
          <w:p w14:paraId="60B49112" w14:textId="3777ECF3" w:rsidR="004976E9" w:rsidRPr="00273ED1" w:rsidRDefault="004976E9" w:rsidP="00E31E69">
            <w:pPr>
              <w:spacing w:line="252" w:lineRule="auto"/>
              <w:jc w:val="both"/>
              <w:rPr>
                <w:rFonts w:ascii="Arial" w:hAnsi="Arial" w:cs="Arial"/>
                <w:sz w:val="15"/>
                <w:szCs w:val="15"/>
              </w:rPr>
            </w:pPr>
            <w:r w:rsidRPr="00273ED1">
              <w:rPr>
                <w:rFonts w:ascii="Arial" w:hAnsi="Arial" w:cs="Arial"/>
                <w:sz w:val="15"/>
                <w:szCs w:val="15"/>
              </w:rPr>
              <w:t xml:space="preserve">Un </w:t>
            </w:r>
            <w:r w:rsidR="00E74D11" w:rsidRPr="00273ED1">
              <w:rPr>
                <w:rFonts w:ascii="Arial" w:hAnsi="Arial" w:cs="Arial"/>
                <w:sz w:val="15"/>
                <w:szCs w:val="15"/>
              </w:rPr>
              <w:t xml:space="preserve">Investitore </w:t>
            </w:r>
            <w:r w:rsidRPr="00273ED1">
              <w:rPr>
                <w:rFonts w:ascii="Arial" w:hAnsi="Arial" w:cs="Arial"/>
                <w:sz w:val="15"/>
                <w:szCs w:val="15"/>
              </w:rPr>
              <w:t>può modificare o cancellare un Impegno di Sottoscrizione fino alla fine del Periodo d'Offerta</w:t>
            </w:r>
            <w:r w:rsidR="00E74D11" w:rsidRPr="00273ED1">
              <w:rPr>
                <w:rFonts w:ascii="Arial" w:hAnsi="Arial" w:cs="Arial"/>
                <w:sz w:val="15"/>
                <w:szCs w:val="15"/>
              </w:rPr>
              <w:t xml:space="preserve"> il </w:t>
            </w:r>
            <w:r w:rsidR="00C00C49" w:rsidRPr="00273ED1">
              <w:rPr>
                <w:rFonts w:ascii="Arial" w:hAnsi="Arial" w:cs="Arial"/>
                <w:sz w:val="15"/>
                <w:szCs w:val="15"/>
              </w:rPr>
              <w:t>4 ottobre</w:t>
            </w:r>
            <w:r w:rsidR="00E74D11" w:rsidRPr="00273ED1">
              <w:rPr>
                <w:rFonts w:ascii="Arial" w:hAnsi="Arial" w:cs="Arial"/>
                <w:sz w:val="15"/>
                <w:szCs w:val="15"/>
              </w:rPr>
              <w:t xml:space="preserve"> 2017</w:t>
            </w:r>
            <w:r w:rsidRPr="00273ED1">
              <w:rPr>
                <w:rFonts w:ascii="Arial" w:hAnsi="Arial" w:cs="Arial"/>
                <w:sz w:val="15"/>
                <w:szCs w:val="15"/>
              </w:rPr>
              <w:t xml:space="preserve">. Inoltre, nel caso in cui la Società pubblichi un supplemento al prospetto, gli Investitori che hanno inviato Impegni di Sottoscrizione prima dell'annuncio del supplemento potranno </w:t>
            </w:r>
            <w:r w:rsidR="001E10ED" w:rsidRPr="00273ED1">
              <w:rPr>
                <w:rFonts w:ascii="Arial" w:hAnsi="Arial" w:cs="Arial"/>
                <w:sz w:val="15"/>
                <w:szCs w:val="15"/>
              </w:rPr>
              <w:t>annullare</w:t>
            </w:r>
            <w:r w:rsidR="00C00C49" w:rsidRPr="00273ED1">
              <w:rPr>
                <w:rFonts w:ascii="Arial" w:hAnsi="Arial" w:cs="Arial"/>
                <w:sz w:val="15"/>
                <w:szCs w:val="15"/>
              </w:rPr>
              <w:t xml:space="preserve"> </w:t>
            </w:r>
            <w:r w:rsidRPr="00273ED1">
              <w:rPr>
                <w:rFonts w:ascii="Arial" w:hAnsi="Arial" w:cs="Arial"/>
                <w:sz w:val="15"/>
                <w:szCs w:val="15"/>
              </w:rPr>
              <w:t>i propri Ordini di Sottoscrizione entro 2</w:t>
            </w:r>
            <w:r w:rsidR="00C00C49" w:rsidRPr="00273ED1">
              <w:rPr>
                <w:rFonts w:ascii="Arial" w:hAnsi="Arial" w:cs="Arial"/>
                <w:sz w:val="15"/>
                <w:szCs w:val="15"/>
              </w:rPr>
              <w:t xml:space="preserve"> </w:t>
            </w:r>
            <w:r w:rsidRPr="00273ED1">
              <w:rPr>
                <w:rFonts w:ascii="Arial" w:hAnsi="Arial" w:cs="Arial"/>
                <w:sz w:val="15"/>
                <w:szCs w:val="15"/>
              </w:rPr>
              <w:t>(due</w:t>
            </w:r>
            <w:r w:rsidR="00281759" w:rsidRPr="00273ED1">
              <w:rPr>
                <w:rFonts w:ascii="Arial" w:hAnsi="Arial" w:cs="Arial"/>
                <w:sz w:val="15"/>
                <w:szCs w:val="15"/>
              </w:rPr>
              <w:t>)</w:t>
            </w:r>
            <w:r w:rsidRPr="00273ED1">
              <w:rPr>
                <w:rFonts w:ascii="Arial" w:hAnsi="Arial" w:cs="Arial"/>
                <w:sz w:val="15"/>
                <w:szCs w:val="15"/>
              </w:rPr>
              <w:t xml:space="preserve"> giorni lavorativi dalla data dell'annuncio riferito al supplemento. Nel caso in cui alcuni investitori non abbiano cancellato i propri Impegni di Sottoscrizione entro il periodo suindicato, si riterrà che gli stessi abbiano accettato tutte le informazioni modificate elencate negli emendamenti effettuati col supplemento. </w:t>
            </w:r>
          </w:p>
          <w:p w14:paraId="0A2E43B9" w14:textId="77777777" w:rsidR="004976E9" w:rsidRPr="00273ED1" w:rsidRDefault="004976E9" w:rsidP="00E31E69">
            <w:pPr>
              <w:spacing w:line="252" w:lineRule="auto"/>
              <w:jc w:val="both"/>
              <w:rPr>
                <w:rFonts w:ascii="Arial" w:hAnsi="Arial" w:cs="Arial"/>
                <w:sz w:val="15"/>
                <w:szCs w:val="15"/>
              </w:rPr>
            </w:pPr>
            <w:r w:rsidRPr="00273ED1">
              <w:rPr>
                <w:rFonts w:ascii="Arial" w:hAnsi="Arial" w:cs="Arial"/>
                <w:sz w:val="15"/>
                <w:szCs w:val="15"/>
              </w:rPr>
              <w:t>Per cancellare o modificare un Impegno di Sottoscrizione, l'</w:t>
            </w:r>
            <w:r w:rsidR="00E74D11" w:rsidRPr="00273ED1">
              <w:rPr>
                <w:rFonts w:ascii="Arial" w:hAnsi="Arial" w:cs="Arial"/>
                <w:sz w:val="15"/>
                <w:szCs w:val="15"/>
              </w:rPr>
              <w:t>Investitore</w:t>
            </w:r>
            <w:r w:rsidRPr="00273ED1">
              <w:rPr>
                <w:rFonts w:ascii="Arial" w:hAnsi="Arial" w:cs="Arial"/>
                <w:sz w:val="15"/>
                <w:szCs w:val="15"/>
              </w:rPr>
              <w:t xml:space="preserve"> deve inviare una comunicazione in cui sia specificato (a) l'Impegno di Sottoscrizione che </w:t>
            </w:r>
            <w:r w:rsidR="00E74D11" w:rsidRPr="00273ED1">
              <w:rPr>
                <w:rFonts w:ascii="Arial" w:hAnsi="Arial" w:cs="Arial"/>
                <w:sz w:val="15"/>
                <w:szCs w:val="15"/>
              </w:rPr>
              <w:t xml:space="preserve">l’Investitore </w:t>
            </w:r>
            <w:r w:rsidRPr="00273ED1">
              <w:rPr>
                <w:rFonts w:ascii="Arial" w:hAnsi="Arial" w:cs="Arial"/>
                <w:sz w:val="15"/>
                <w:szCs w:val="15"/>
              </w:rPr>
              <w:t xml:space="preserve">intende modificare o cancellare e (b) nel caso di modifica, le relative modifiche. La comunicazione deve essere consegnata secondo le seguenti procedure, applicabili alla consegna dell'Impegno di Sottoscrizione. Il pagamento dovrà essere effettuato come segue: </w:t>
            </w:r>
          </w:p>
          <w:p w14:paraId="1AD04BF3" w14:textId="77874427" w:rsidR="004976E9" w:rsidRPr="00273ED1" w:rsidRDefault="004976E9" w:rsidP="00666FF0">
            <w:pPr>
              <w:pStyle w:val="ListParagraph"/>
              <w:numPr>
                <w:ilvl w:val="2"/>
                <w:numId w:val="9"/>
              </w:numPr>
              <w:spacing w:after="0"/>
              <w:ind w:left="318" w:hanging="284"/>
              <w:jc w:val="both"/>
              <w:rPr>
                <w:sz w:val="15"/>
                <w:szCs w:val="15"/>
              </w:rPr>
            </w:pPr>
            <w:r w:rsidRPr="00273ED1">
              <w:rPr>
                <w:rFonts w:ascii="Arial" w:hAnsi="Arial" w:cs="Arial"/>
                <w:sz w:val="15"/>
                <w:szCs w:val="15"/>
                <w:lang w:val="it-IT"/>
              </w:rPr>
              <w:t>il trasferimento deve essere completato al più tardi nell'ultimo giorno del Periodo d'Offerta;</w:t>
            </w:r>
            <w:r w:rsidR="00666FF0" w:rsidRPr="00273ED1">
              <w:rPr>
                <w:rFonts w:ascii="Arial" w:hAnsi="Arial" w:cs="Arial"/>
                <w:sz w:val="15"/>
                <w:szCs w:val="15"/>
                <w:lang w:val="it-IT"/>
              </w:rPr>
              <w:t xml:space="preserve"> </w:t>
            </w:r>
            <w:r w:rsidRPr="00273ED1">
              <w:rPr>
                <w:rFonts w:ascii="Arial" w:hAnsi="Arial" w:cs="Arial"/>
                <w:sz w:val="15"/>
                <w:szCs w:val="15"/>
                <w:lang w:val="it-IT"/>
              </w:rPr>
              <w:t xml:space="preserve">il pagamento deve essere effettuato tramite trasferimento al seguente conto bancario della Società: </w:t>
            </w:r>
            <w:r w:rsidR="00666FF0" w:rsidRPr="00273ED1">
              <w:rPr>
                <w:rFonts w:ascii="Arial" w:hAnsi="Arial" w:cs="Arial"/>
                <w:sz w:val="15"/>
                <w:szCs w:val="15"/>
                <w:lang w:val="it-IT"/>
              </w:rPr>
              <w:t>EE727700771000914548 (AS LHV Pank Tartu mnt 2, 10145 Tallinn, BIC/SWIFT: LHVBEE22)</w:t>
            </w:r>
            <w:r w:rsidRPr="00273ED1">
              <w:rPr>
                <w:rFonts w:ascii="Arial" w:hAnsi="Arial" w:cs="Arial"/>
                <w:sz w:val="15"/>
                <w:szCs w:val="15"/>
                <w:lang w:val="it-IT"/>
              </w:rPr>
              <w:t>;</w:t>
            </w:r>
          </w:p>
          <w:p w14:paraId="43FE5E7A" w14:textId="77777777" w:rsidR="004976E9" w:rsidRPr="00273ED1" w:rsidRDefault="004976E9" w:rsidP="004976E9">
            <w:pPr>
              <w:pStyle w:val="ListParagraph"/>
              <w:numPr>
                <w:ilvl w:val="2"/>
                <w:numId w:val="9"/>
              </w:numPr>
              <w:spacing w:after="0"/>
              <w:ind w:left="318" w:hanging="284"/>
              <w:jc w:val="both"/>
              <w:rPr>
                <w:sz w:val="15"/>
                <w:szCs w:val="15"/>
              </w:rPr>
            </w:pPr>
            <w:r w:rsidRPr="00273ED1">
              <w:rPr>
                <w:rFonts w:ascii="Arial" w:hAnsi="Arial" w:cs="Arial"/>
                <w:sz w:val="15"/>
                <w:szCs w:val="15"/>
                <w:lang w:val="it-IT"/>
              </w:rPr>
              <w:t>la causale dell'ordine di trasferimento deve indicare il nome dell'Azionista Esistente e la data dell'Impegno di Sottoscrizione;</w:t>
            </w:r>
          </w:p>
          <w:p w14:paraId="107B46D0" w14:textId="77777777" w:rsidR="004976E9" w:rsidRPr="00273ED1" w:rsidRDefault="004976E9" w:rsidP="004976E9">
            <w:pPr>
              <w:pStyle w:val="ListParagraph"/>
              <w:numPr>
                <w:ilvl w:val="2"/>
                <w:numId w:val="9"/>
              </w:numPr>
              <w:spacing w:after="0"/>
              <w:ind w:left="318" w:hanging="284"/>
              <w:jc w:val="both"/>
              <w:rPr>
                <w:sz w:val="15"/>
                <w:szCs w:val="15"/>
              </w:rPr>
            </w:pPr>
            <w:r w:rsidRPr="00273ED1">
              <w:rPr>
                <w:rFonts w:ascii="Arial" w:hAnsi="Arial" w:cs="Arial"/>
                <w:sz w:val="15"/>
                <w:szCs w:val="15"/>
                <w:lang w:val="it-IT"/>
              </w:rPr>
              <w:t>l'importo, che deve essere pagato alla Società, sarà identico al numero di Azioni indicate nell'Impegno di Sottoscrizione moltiplicato per il Prezzo di Sottoscrizione indicato nell'Impegno di Sottoscrizione.</w:t>
            </w:r>
          </w:p>
          <w:p w14:paraId="2D8A0809" w14:textId="06E12E4A" w:rsidR="004976E9" w:rsidRPr="00273ED1" w:rsidRDefault="004976E9" w:rsidP="00E31E69">
            <w:pPr>
              <w:spacing w:line="252" w:lineRule="auto"/>
              <w:jc w:val="both"/>
              <w:rPr>
                <w:sz w:val="15"/>
                <w:szCs w:val="15"/>
              </w:rPr>
            </w:pPr>
            <w:r w:rsidRPr="00273ED1">
              <w:rPr>
                <w:rFonts w:ascii="Arial" w:hAnsi="Arial" w:cs="Arial"/>
                <w:sz w:val="15"/>
                <w:szCs w:val="15"/>
              </w:rPr>
              <w:t>La Società dovrà allocare le Azioni agli Investitori nelle seguenti tranche:</w:t>
            </w:r>
          </w:p>
          <w:p w14:paraId="236308C1" w14:textId="42D896CA" w:rsidR="004976E9" w:rsidRPr="00273ED1" w:rsidRDefault="004976E9" w:rsidP="00E31E69">
            <w:pPr>
              <w:spacing w:line="252" w:lineRule="auto"/>
              <w:jc w:val="both"/>
              <w:rPr>
                <w:sz w:val="15"/>
                <w:szCs w:val="15"/>
              </w:rPr>
            </w:pPr>
            <w:r w:rsidRPr="00273ED1">
              <w:rPr>
                <w:rFonts w:ascii="Arial" w:hAnsi="Arial" w:cs="Arial"/>
                <w:sz w:val="15"/>
                <w:szCs w:val="15"/>
              </w:rPr>
              <w:t>1. in primo luogo, ciascun Azionista Esistente ha il diritto di acquistare e gli saranno allocate il numero di Azioni che, in proporzione al numero di azioni detenute dall'Azionista Esistente al momento della determinazione della lista degli Azionisti Es</w:t>
            </w:r>
            <w:r w:rsidR="00135A99" w:rsidRPr="00273ED1">
              <w:rPr>
                <w:rFonts w:ascii="Arial" w:hAnsi="Arial" w:cs="Arial"/>
                <w:sz w:val="15"/>
                <w:szCs w:val="15"/>
              </w:rPr>
              <w:t xml:space="preserve">istenti (ossia </w:t>
            </w:r>
            <w:r w:rsidR="00666FF0" w:rsidRPr="00273ED1">
              <w:rPr>
                <w:rFonts w:ascii="Arial" w:hAnsi="Arial" w:cs="Arial"/>
                <w:sz w:val="15"/>
                <w:szCs w:val="15"/>
              </w:rPr>
              <w:t xml:space="preserve">il 4 ottobre 2017 al termine dell’orario </w:t>
            </w:r>
            <w:r w:rsidR="00153751" w:rsidRPr="00273ED1">
              <w:rPr>
                <w:rFonts w:ascii="Arial" w:hAnsi="Arial" w:cs="Arial"/>
                <w:sz w:val="15"/>
                <w:szCs w:val="15"/>
              </w:rPr>
              <w:t>d’ufficio</w:t>
            </w:r>
            <w:r w:rsidR="00666FF0" w:rsidRPr="00273ED1">
              <w:rPr>
                <w:rFonts w:ascii="Arial" w:hAnsi="Arial" w:cs="Arial"/>
                <w:sz w:val="15"/>
                <w:szCs w:val="15"/>
              </w:rPr>
              <w:t xml:space="preserve"> del Registro di Strumenti Finanziari (o </w:t>
            </w:r>
            <w:r w:rsidR="00135A99" w:rsidRPr="00273ED1">
              <w:rPr>
                <w:rFonts w:ascii="Arial" w:hAnsi="Arial" w:cs="Arial"/>
                <w:sz w:val="15"/>
                <w:szCs w:val="15"/>
              </w:rPr>
              <w:t>alle 23:59</w:t>
            </w:r>
            <w:r w:rsidR="00450037" w:rsidRPr="00273ED1">
              <w:rPr>
                <w:rFonts w:ascii="Arial" w:hAnsi="Arial" w:cs="Arial"/>
                <w:sz w:val="15"/>
                <w:szCs w:val="15"/>
              </w:rPr>
              <w:t xml:space="preserve"> (ora</w:t>
            </w:r>
            <w:r w:rsidR="009A2D48" w:rsidRPr="00273ED1">
              <w:rPr>
                <w:rFonts w:ascii="Arial" w:hAnsi="Arial" w:cs="Arial"/>
                <w:sz w:val="15"/>
                <w:szCs w:val="15"/>
              </w:rPr>
              <w:t xml:space="preserve"> locale</w:t>
            </w:r>
            <w:r w:rsidR="00450037" w:rsidRPr="00273ED1">
              <w:rPr>
                <w:rFonts w:ascii="Arial" w:hAnsi="Arial" w:cs="Arial"/>
                <w:sz w:val="15"/>
                <w:szCs w:val="15"/>
              </w:rPr>
              <w:t xml:space="preserve"> di Tallinn)</w:t>
            </w:r>
            <w:r w:rsidR="00666FF0" w:rsidRPr="00273ED1">
              <w:rPr>
                <w:rFonts w:ascii="Arial" w:hAnsi="Arial" w:cs="Arial"/>
                <w:sz w:val="15"/>
                <w:szCs w:val="15"/>
              </w:rPr>
              <w:t>)</w:t>
            </w:r>
            <w:r w:rsidR="00450037" w:rsidRPr="00273ED1">
              <w:rPr>
                <w:rFonts w:ascii="Arial" w:hAnsi="Arial" w:cs="Arial"/>
                <w:sz w:val="15"/>
                <w:szCs w:val="15"/>
              </w:rPr>
              <w:t xml:space="preserve"> </w:t>
            </w:r>
            <w:r w:rsidR="00666FF0" w:rsidRPr="00273ED1">
              <w:rPr>
                <w:rFonts w:ascii="Arial" w:hAnsi="Arial" w:cs="Arial"/>
                <w:sz w:val="15"/>
                <w:szCs w:val="15"/>
              </w:rPr>
              <w:t xml:space="preserve">qualora, entro tale data, il Registro di Strumenti Finanziari </w:t>
            </w:r>
            <w:r w:rsidR="00F31FEF" w:rsidRPr="00273ED1">
              <w:rPr>
                <w:rFonts w:ascii="Arial" w:hAnsi="Arial" w:cs="Arial"/>
                <w:sz w:val="15"/>
                <w:szCs w:val="15"/>
              </w:rPr>
              <w:t>non partecipi ancora al progetto TARGET2-Securities</w:t>
            </w:r>
            <w:r w:rsidRPr="00273ED1">
              <w:rPr>
                <w:rFonts w:ascii="Arial" w:hAnsi="Arial" w:cs="Arial"/>
                <w:sz w:val="15"/>
                <w:szCs w:val="15"/>
              </w:rPr>
              <w:t>) secondo i dati registrati nel</w:t>
            </w:r>
            <w:r w:rsidR="00B95357" w:rsidRPr="00273ED1">
              <w:rPr>
                <w:rFonts w:ascii="Arial" w:hAnsi="Arial" w:cs="Arial"/>
                <w:sz w:val="15"/>
                <w:szCs w:val="15"/>
              </w:rPr>
              <w:t xml:space="preserve"> Registro degli Strumenti Finanziari</w:t>
            </w:r>
            <w:r w:rsidRPr="00273ED1">
              <w:rPr>
                <w:rFonts w:ascii="Arial" w:hAnsi="Arial" w:cs="Arial"/>
                <w:sz w:val="15"/>
                <w:szCs w:val="15"/>
              </w:rPr>
              <w:t>. Il numero massimo di Azioni allocate a un Azionista Esistente in questa tranche è calcolato secondo la seguente formula, e il risultato è arrotondato per difetto al pi</w:t>
            </w:r>
            <w:r w:rsidR="00152A44" w:rsidRPr="00273ED1">
              <w:rPr>
                <w:rFonts w:ascii="Arial" w:hAnsi="Arial" w:cs="Arial"/>
                <w:sz w:val="15"/>
                <w:szCs w:val="15"/>
              </w:rPr>
              <w:t xml:space="preserve">ù vicino numero intero: </w:t>
            </w:r>
            <w:r w:rsidR="00B95357" w:rsidRPr="00273ED1">
              <w:rPr>
                <w:rFonts w:ascii="Arial" w:hAnsi="Arial" w:cs="Arial"/>
                <w:sz w:val="15"/>
                <w:szCs w:val="15"/>
              </w:rPr>
              <w:t>S</w:t>
            </w:r>
            <w:r w:rsidR="00B95357" w:rsidRPr="00273ED1">
              <w:rPr>
                <w:rFonts w:ascii="Arial" w:hAnsi="Arial"/>
                <w:sz w:val="15"/>
                <w:szCs w:val="15"/>
                <w:vertAlign w:val="subscript"/>
              </w:rPr>
              <w:t>m</w:t>
            </w:r>
            <w:r w:rsidR="00B95357" w:rsidRPr="00273ED1">
              <w:rPr>
                <w:rFonts w:ascii="Arial" w:hAnsi="Arial" w:cs="Arial"/>
                <w:sz w:val="15"/>
                <w:szCs w:val="15"/>
              </w:rPr>
              <w:t xml:space="preserve"> = S</w:t>
            </w:r>
            <w:r w:rsidR="00B95357" w:rsidRPr="00273ED1">
              <w:rPr>
                <w:rFonts w:ascii="Arial" w:hAnsi="Arial"/>
                <w:sz w:val="15"/>
                <w:szCs w:val="15"/>
                <w:vertAlign w:val="subscript"/>
              </w:rPr>
              <w:t>a</w:t>
            </w:r>
            <w:r w:rsidR="00B95357" w:rsidRPr="00273ED1">
              <w:rPr>
                <w:rFonts w:ascii="Arial" w:hAnsi="Arial" w:cs="Arial"/>
                <w:sz w:val="15"/>
                <w:szCs w:val="15"/>
              </w:rPr>
              <w:t xml:space="preserve"> x s</w:t>
            </w:r>
            <w:r w:rsidR="00B95357" w:rsidRPr="00273ED1">
              <w:rPr>
                <w:rFonts w:ascii="Arial" w:hAnsi="Arial"/>
                <w:sz w:val="15"/>
                <w:szCs w:val="15"/>
                <w:vertAlign w:val="subscript"/>
              </w:rPr>
              <w:t>e</w:t>
            </w:r>
            <w:r w:rsidR="00B95357" w:rsidRPr="00273ED1">
              <w:rPr>
                <w:rFonts w:ascii="Arial" w:hAnsi="Arial" w:cs="Arial"/>
                <w:sz w:val="15"/>
                <w:szCs w:val="15"/>
              </w:rPr>
              <w:t xml:space="preserve"> / s</w:t>
            </w:r>
            <w:r w:rsidR="00B95357" w:rsidRPr="00273ED1">
              <w:rPr>
                <w:rFonts w:ascii="Arial" w:hAnsi="Arial"/>
                <w:sz w:val="15"/>
                <w:szCs w:val="15"/>
                <w:vertAlign w:val="subscript"/>
              </w:rPr>
              <w:t>a</w:t>
            </w:r>
          </w:p>
          <w:p w14:paraId="29539288" w14:textId="5FAF4F00" w:rsidR="004976E9" w:rsidRPr="00273ED1" w:rsidRDefault="004976E9" w:rsidP="00E31E69">
            <w:pPr>
              <w:spacing w:line="252" w:lineRule="auto"/>
              <w:jc w:val="both"/>
              <w:rPr>
                <w:sz w:val="15"/>
                <w:szCs w:val="15"/>
              </w:rPr>
            </w:pPr>
            <w:r w:rsidRPr="00273ED1">
              <w:rPr>
                <w:rFonts w:ascii="Arial" w:hAnsi="Arial" w:cs="Arial"/>
                <w:sz w:val="15"/>
                <w:szCs w:val="15"/>
              </w:rPr>
              <w:t>In questa formula: (a) S</w:t>
            </w:r>
            <w:r w:rsidRPr="00273ED1">
              <w:rPr>
                <w:rFonts w:ascii="Arial" w:hAnsi="Arial" w:cs="Arial"/>
                <w:sz w:val="15"/>
                <w:szCs w:val="15"/>
                <w:vertAlign w:val="subscript"/>
              </w:rPr>
              <w:t>m</w:t>
            </w:r>
            <w:r w:rsidRPr="00273ED1">
              <w:rPr>
                <w:rFonts w:ascii="Arial" w:hAnsi="Arial" w:cs="Arial"/>
                <w:sz w:val="15"/>
                <w:szCs w:val="15"/>
              </w:rPr>
              <w:t xml:space="preserve"> indica il numero massimo di Azioni che l'Azionista Esistente può acquistare; (b) S</w:t>
            </w:r>
            <w:r w:rsidRPr="00273ED1">
              <w:rPr>
                <w:rFonts w:ascii="Arial" w:hAnsi="Arial" w:cs="Arial"/>
                <w:sz w:val="15"/>
                <w:szCs w:val="15"/>
                <w:vertAlign w:val="subscript"/>
              </w:rPr>
              <w:t>a</w:t>
            </w:r>
            <w:r w:rsidRPr="00273ED1">
              <w:rPr>
                <w:rFonts w:ascii="Arial" w:hAnsi="Arial" w:cs="Arial"/>
                <w:sz w:val="15"/>
                <w:szCs w:val="15"/>
              </w:rPr>
              <w:t xml:space="preserve"> indica il complessivo numero di Azioni (ossia </w:t>
            </w:r>
            <w:r w:rsidR="00FD058F" w:rsidRPr="00273ED1">
              <w:rPr>
                <w:rFonts w:ascii="Arial" w:hAnsi="Arial" w:cs="Arial"/>
                <w:sz w:val="15"/>
                <w:szCs w:val="15"/>
              </w:rPr>
              <w:t>6</w:t>
            </w:r>
            <w:r w:rsidR="005029BF" w:rsidRPr="00273ED1">
              <w:rPr>
                <w:rFonts w:ascii="Arial" w:hAnsi="Arial" w:cs="Arial"/>
                <w:sz w:val="15"/>
                <w:szCs w:val="15"/>
              </w:rPr>
              <w:t>.000.000</w:t>
            </w:r>
            <w:r w:rsidR="00646DAB" w:rsidRPr="00273ED1">
              <w:rPr>
                <w:rFonts w:ascii="Arial" w:hAnsi="Arial" w:cs="Arial"/>
                <w:sz w:val="15"/>
                <w:szCs w:val="15"/>
              </w:rPr>
              <w:t>); (c) S</w:t>
            </w:r>
            <w:r w:rsidRPr="00273ED1">
              <w:rPr>
                <w:rFonts w:ascii="Arial" w:hAnsi="Arial" w:cs="Arial"/>
                <w:sz w:val="15"/>
                <w:szCs w:val="15"/>
                <w:vertAlign w:val="subscript"/>
              </w:rPr>
              <w:t>e</w:t>
            </w:r>
            <w:r w:rsidRPr="00273ED1">
              <w:rPr>
                <w:rFonts w:ascii="Arial" w:hAnsi="Arial" w:cs="Arial"/>
                <w:sz w:val="15"/>
                <w:szCs w:val="15"/>
              </w:rPr>
              <w:t xml:space="preserve"> indica il numero di azioni che l'Azionista Esistente deteneva al momento della determinazione della lista de</w:t>
            </w:r>
            <w:r w:rsidR="00646DAB" w:rsidRPr="00273ED1">
              <w:rPr>
                <w:rFonts w:ascii="Arial" w:hAnsi="Arial" w:cs="Arial"/>
                <w:sz w:val="15"/>
                <w:szCs w:val="15"/>
              </w:rPr>
              <w:t>gli Azionisti Esistenti; e (d) S</w:t>
            </w:r>
            <w:r w:rsidRPr="00273ED1">
              <w:rPr>
                <w:rFonts w:ascii="Arial" w:hAnsi="Arial" w:cs="Arial"/>
                <w:sz w:val="15"/>
                <w:szCs w:val="15"/>
                <w:vertAlign w:val="subscript"/>
              </w:rPr>
              <w:t>a</w:t>
            </w:r>
            <w:r w:rsidRPr="00273ED1">
              <w:rPr>
                <w:rFonts w:ascii="Arial" w:hAnsi="Arial" w:cs="Arial"/>
                <w:sz w:val="15"/>
                <w:szCs w:val="15"/>
              </w:rPr>
              <w:t xml:space="preserve"> indica il numero di azioni della Società prima dell'emissione delle Azioni (ossia 54.271.722);</w:t>
            </w:r>
          </w:p>
          <w:p w14:paraId="06292AA6" w14:textId="77777777" w:rsidR="004976E9" w:rsidRPr="00273ED1" w:rsidRDefault="004976E9" w:rsidP="00E31E69">
            <w:pPr>
              <w:spacing w:line="252" w:lineRule="auto"/>
              <w:jc w:val="both"/>
              <w:rPr>
                <w:sz w:val="15"/>
                <w:szCs w:val="15"/>
              </w:rPr>
            </w:pPr>
            <w:r w:rsidRPr="00273ED1">
              <w:rPr>
                <w:rFonts w:ascii="Arial" w:hAnsi="Arial" w:cs="Arial"/>
                <w:sz w:val="15"/>
                <w:szCs w:val="15"/>
              </w:rPr>
              <w:lastRenderedPageBreak/>
              <w:t xml:space="preserve">2. in secondo luogo, un'Azione sarà assegnata a ciascun Azionista esistente nel caso in cui il numero complessivo di Azioni assegnate allo stesso/alla stessa sia stato ottenuto per arrotondamento (vedi sopra);  </w:t>
            </w:r>
          </w:p>
          <w:p w14:paraId="7455E177" w14:textId="77777777" w:rsidR="004976E9" w:rsidRPr="00273ED1" w:rsidRDefault="004976E9" w:rsidP="00E31E69">
            <w:pPr>
              <w:spacing w:line="252" w:lineRule="auto"/>
              <w:jc w:val="both"/>
              <w:rPr>
                <w:sz w:val="15"/>
                <w:szCs w:val="15"/>
              </w:rPr>
            </w:pPr>
            <w:r w:rsidRPr="00273ED1">
              <w:rPr>
                <w:rFonts w:ascii="Arial" w:hAnsi="Arial" w:cs="Arial"/>
                <w:sz w:val="15"/>
                <w:szCs w:val="15"/>
              </w:rPr>
              <w:t xml:space="preserve">3. in terzo luogo, le Azioni rimanenti saranno assegnate agli Investitori sulla base di una risoluzione del Consiglio di sorveglianza da adottarsi dopo la fine del Periodo di Sottoscrizione (l’assegnazione sarà determinata dal Consiglio di sorveglianza a propria completa discrezione). </w:t>
            </w:r>
          </w:p>
          <w:p w14:paraId="1DB79728" w14:textId="0A1DA11F" w:rsidR="004976E9" w:rsidRPr="00273ED1" w:rsidRDefault="004976E9" w:rsidP="00E31E69">
            <w:pPr>
              <w:spacing w:line="252" w:lineRule="auto"/>
              <w:jc w:val="both"/>
              <w:rPr>
                <w:sz w:val="15"/>
                <w:szCs w:val="15"/>
              </w:rPr>
            </w:pPr>
            <w:r w:rsidRPr="00273ED1">
              <w:rPr>
                <w:rFonts w:ascii="Arial" w:hAnsi="Arial" w:cs="Arial"/>
                <w:sz w:val="15"/>
                <w:szCs w:val="15"/>
              </w:rPr>
              <w:t xml:space="preserve">Nel caso in cui tutte le Azioni sottoscritte siano assegnate a un </w:t>
            </w:r>
            <w:r w:rsidR="009F69C1" w:rsidRPr="00273ED1">
              <w:rPr>
                <w:rFonts w:ascii="Arial" w:hAnsi="Arial" w:cs="Arial"/>
                <w:sz w:val="15"/>
                <w:szCs w:val="15"/>
              </w:rPr>
              <w:t xml:space="preserve">Investitore </w:t>
            </w:r>
            <w:r w:rsidRPr="00273ED1">
              <w:rPr>
                <w:rFonts w:ascii="Arial" w:hAnsi="Arial" w:cs="Arial"/>
                <w:sz w:val="15"/>
                <w:szCs w:val="15"/>
              </w:rPr>
              <w:t>e nel caso in cui ai sensi de</w:t>
            </w:r>
            <w:r w:rsidR="00CA1227" w:rsidRPr="00273ED1">
              <w:rPr>
                <w:rFonts w:ascii="Arial" w:hAnsi="Arial" w:cs="Arial"/>
                <w:sz w:val="15"/>
                <w:szCs w:val="15"/>
              </w:rPr>
              <w:t>ll'Impegno di Sottoscrizione l'Investitore</w:t>
            </w:r>
            <w:r w:rsidRPr="00273ED1">
              <w:rPr>
                <w:rFonts w:ascii="Arial" w:hAnsi="Arial" w:cs="Arial"/>
                <w:sz w:val="15"/>
                <w:szCs w:val="15"/>
              </w:rPr>
              <w:t xml:space="preserve"> abbia richiesto il trasferimento delle Azioni emesse su diversi conti titoli, la Società potrà, a propria discrezione, scegliere su quale di tali conti trasferire le Azioni assegnate al momento della relativa emissione. L'assegnazione sarà determinata e resa pubblica dalla Società tramite Nasdaq Tallinn </w:t>
            </w:r>
            <w:r w:rsidR="00281759" w:rsidRPr="00273ED1">
              <w:rPr>
                <w:rFonts w:ascii="Arial" w:hAnsi="Arial" w:cs="Arial"/>
                <w:sz w:val="15"/>
                <w:szCs w:val="15"/>
              </w:rPr>
              <w:t xml:space="preserve"> il </w:t>
            </w:r>
            <w:r w:rsidR="00646DAB" w:rsidRPr="00273ED1">
              <w:rPr>
                <w:rFonts w:ascii="Arial" w:hAnsi="Arial" w:cs="Arial"/>
                <w:sz w:val="15"/>
                <w:szCs w:val="15"/>
              </w:rPr>
              <w:t>6 ottobre</w:t>
            </w:r>
            <w:r w:rsidR="00B95357" w:rsidRPr="00273ED1">
              <w:rPr>
                <w:rFonts w:ascii="Arial" w:hAnsi="Arial" w:cs="Arial"/>
                <w:sz w:val="15"/>
                <w:szCs w:val="15"/>
              </w:rPr>
              <w:t xml:space="preserve"> 2017</w:t>
            </w:r>
            <w:r w:rsidR="00281759" w:rsidRPr="00273ED1">
              <w:rPr>
                <w:rFonts w:ascii="Arial" w:hAnsi="Arial" w:cs="Arial"/>
                <w:sz w:val="15"/>
                <w:szCs w:val="15"/>
              </w:rPr>
              <w:t xml:space="preserve"> o in data pros</w:t>
            </w:r>
            <w:r w:rsidR="004E04B7" w:rsidRPr="00273ED1">
              <w:rPr>
                <w:rFonts w:ascii="Arial" w:hAnsi="Arial" w:cs="Arial"/>
                <w:sz w:val="15"/>
                <w:szCs w:val="15"/>
              </w:rPr>
              <w:t>sima</w:t>
            </w:r>
            <w:r w:rsidRPr="00273ED1">
              <w:rPr>
                <w:rFonts w:ascii="Arial" w:hAnsi="Arial" w:cs="Arial"/>
                <w:sz w:val="15"/>
                <w:szCs w:val="15"/>
              </w:rPr>
              <w:t xml:space="preserve">. </w:t>
            </w:r>
          </w:p>
          <w:p w14:paraId="272E9600" w14:textId="410F586C" w:rsidR="004976E9" w:rsidRPr="00273ED1" w:rsidRDefault="004976E9" w:rsidP="00E31E69">
            <w:pPr>
              <w:spacing w:line="252" w:lineRule="auto"/>
              <w:jc w:val="both"/>
              <w:rPr>
                <w:sz w:val="15"/>
                <w:szCs w:val="15"/>
              </w:rPr>
            </w:pPr>
            <w:r w:rsidRPr="00273ED1">
              <w:rPr>
                <w:rFonts w:ascii="Arial" w:hAnsi="Arial" w:cs="Arial"/>
                <w:sz w:val="15"/>
                <w:szCs w:val="15"/>
              </w:rPr>
              <w:t xml:space="preserve">Nel caso in cui l'Offerta sia </w:t>
            </w:r>
            <w:r w:rsidR="001E10ED" w:rsidRPr="00273ED1">
              <w:rPr>
                <w:rFonts w:ascii="Arial" w:hAnsi="Arial" w:cs="Arial"/>
                <w:sz w:val="15"/>
                <w:szCs w:val="15"/>
              </w:rPr>
              <w:t>annullata</w:t>
            </w:r>
            <w:r w:rsidRPr="00273ED1">
              <w:rPr>
                <w:rFonts w:ascii="Arial" w:hAnsi="Arial" w:cs="Arial"/>
                <w:sz w:val="15"/>
                <w:szCs w:val="15"/>
              </w:rPr>
              <w:t>, ovvero l'</w:t>
            </w:r>
            <w:r w:rsidR="009F69C1" w:rsidRPr="00273ED1">
              <w:rPr>
                <w:rFonts w:ascii="Arial" w:hAnsi="Arial" w:cs="Arial"/>
                <w:sz w:val="15"/>
                <w:szCs w:val="15"/>
              </w:rPr>
              <w:t>Investitore</w:t>
            </w:r>
            <w:r w:rsidRPr="00273ED1">
              <w:rPr>
                <w:rFonts w:ascii="Arial" w:hAnsi="Arial" w:cs="Arial"/>
                <w:sz w:val="15"/>
                <w:szCs w:val="15"/>
              </w:rPr>
              <w:t xml:space="preserve"> </w:t>
            </w:r>
            <w:r w:rsidR="001E10ED" w:rsidRPr="00273ED1">
              <w:rPr>
                <w:rFonts w:ascii="Arial" w:hAnsi="Arial" w:cs="Arial"/>
                <w:sz w:val="15"/>
                <w:szCs w:val="15"/>
              </w:rPr>
              <w:t>annulli</w:t>
            </w:r>
            <w:r w:rsidR="00646DAB" w:rsidRPr="00273ED1">
              <w:rPr>
                <w:rFonts w:ascii="Arial" w:hAnsi="Arial" w:cs="Arial"/>
                <w:sz w:val="15"/>
                <w:szCs w:val="15"/>
              </w:rPr>
              <w:t xml:space="preserve"> </w:t>
            </w:r>
            <w:r w:rsidRPr="00273ED1">
              <w:rPr>
                <w:rFonts w:ascii="Arial" w:hAnsi="Arial" w:cs="Arial"/>
                <w:sz w:val="15"/>
                <w:szCs w:val="15"/>
              </w:rPr>
              <w:t xml:space="preserve">o modifichi l'Impegno di Sottoscrizione, ovvero il Prezzo d'Offerta sia inferiore al Prezzo di Sottoscrizione pagato da un </w:t>
            </w:r>
            <w:r w:rsidR="009F69C1" w:rsidRPr="00273ED1">
              <w:rPr>
                <w:rFonts w:ascii="Arial" w:hAnsi="Arial" w:cs="Arial"/>
                <w:sz w:val="15"/>
                <w:szCs w:val="15"/>
              </w:rPr>
              <w:t xml:space="preserve">Investitore </w:t>
            </w:r>
            <w:r w:rsidRPr="00273ED1">
              <w:rPr>
                <w:rFonts w:ascii="Arial" w:hAnsi="Arial" w:cs="Arial"/>
                <w:sz w:val="15"/>
                <w:szCs w:val="15"/>
              </w:rPr>
              <w:t>ovvero siano assegnate ed emesse all'Azionista Esistente meno Azioni rispetto a quante ne ha sottoscritte, l'importo in eccedenza (ossia il Prezzo di Sottoscrizione detratto (i) l'importo del Prezzo d'Offerta per le Azioni emesse allo stesso o alla stessa e (ii) i costi e le spese ragionevolmente sostenuti in relazione al pagamento dell'eccedenza) saranno restituiti all'</w:t>
            </w:r>
            <w:r w:rsidR="009F69C1" w:rsidRPr="00273ED1">
              <w:rPr>
                <w:rFonts w:ascii="Arial" w:hAnsi="Arial" w:cs="Arial"/>
                <w:sz w:val="15"/>
                <w:szCs w:val="15"/>
              </w:rPr>
              <w:t>Investitore</w:t>
            </w:r>
            <w:r w:rsidRPr="00273ED1">
              <w:rPr>
                <w:rFonts w:ascii="Arial" w:hAnsi="Arial" w:cs="Arial"/>
                <w:sz w:val="15"/>
                <w:szCs w:val="15"/>
              </w:rPr>
              <w:t xml:space="preserve"> nel rispetto dei seguenti termini e condizioni: (a) il relativo pagamento sarà effettuato sullo stesso conto bancario sul cui il Prezzo di Sottoscrizione è stato addebitato; (b) il pagamento sarà effettuato entro 5 giorni lavorativi dalla fine del Periodo d'Offerta; (c) nessun interesse o altro simile importo maturerà e sarà dovuto all'</w:t>
            </w:r>
            <w:r w:rsidR="009F69C1" w:rsidRPr="00273ED1">
              <w:rPr>
                <w:rFonts w:ascii="Arial" w:hAnsi="Arial" w:cs="Arial"/>
                <w:sz w:val="15"/>
                <w:szCs w:val="15"/>
              </w:rPr>
              <w:t>Investitore</w:t>
            </w:r>
            <w:r w:rsidRPr="00273ED1">
              <w:rPr>
                <w:rFonts w:ascii="Arial" w:hAnsi="Arial" w:cs="Arial"/>
                <w:sz w:val="15"/>
                <w:szCs w:val="15"/>
              </w:rPr>
              <w:t xml:space="preserve"> per il periodo in cui il relativo importo è stato detenuto dalla Società.</w:t>
            </w:r>
          </w:p>
          <w:p w14:paraId="413D47E1" w14:textId="77777777" w:rsidR="004976E9" w:rsidRPr="00273ED1" w:rsidRDefault="004976E9" w:rsidP="00E31E69">
            <w:pPr>
              <w:spacing w:line="252" w:lineRule="auto"/>
              <w:jc w:val="both"/>
              <w:rPr>
                <w:rFonts w:ascii="Arial" w:hAnsi="Arial" w:cs="Arial"/>
                <w:sz w:val="15"/>
                <w:szCs w:val="15"/>
              </w:rPr>
            </w:pPr>
          </w:p>
        </w:tc>
      </w:tr>
      <w:tr w:rsidR="004976E9" w:rsidRPr="00273ED1" w14:paraId="5DB47FF9" w14:textId="77777777" w:rsidTr="00E31E69">
        <w:tc>
          <w:tcPr>
            <w:tcW w:w="706" w:type="dxa"/>
            <w:tcBorders>
              <w:top w:val="single" w:sz="4" w:space="0" w:color="808080"/>
              <w:left w:val="single" w:sz="4" w:space="0" w:color="BFBFBF"/>
              <w:bottom w:val="single" w:sz="4" w:space="0" w:color="808080"/>
              <w:right w:val="single" w:sz="4" w:space="0" w:color="808080"/>
            </w:tcBorders>
            <w:hideMark/>
          </w:tcPr>
          <w:p w14:paraId="54AB24F8" w14:textId="77777777" w:rsidR="004976E9" w:rsidRPr="00273ED1" w:rsidRDefault="004976E9" w:rsidP="00E31E69">
            <w:pPr>
              <w:spacing w:line="252" w:lineRule="auto"/>
              <w:jc w:val="both"/>
              <w:rPr>
                <w:rFonts w:ascii="Arial" w:hAnsi="Arial" w:cs="Arial"/>
                <w:sz w:val="15"/>
                <w:szCs w:val="15"/>
              </w:rPr>
            </w:pPr>
            <w:r w:rsidRPr="00273ED1">
              <w:rPr>
                <w:rFonts w:ascii="Arial" w:hAnsi="Arial" w:cs="Arial"/>
                <w:sz w:val="15"/>
                <w:szCs w:val="15"/>
              </w:rPr>
              <w:lastRenderedPageBreak/>
              <w:t>E.4</w:t>
            </w:r>
          </w:p>
        </w:tc>
        <w:tc>
          <w:tcPr>
            <w:tcW w:w="1553" w:type="dxa"/>
            <w:tcBorders>
              <w:top w:val="single" w:sz="4" w:space="0" w:color="808080"/>
              <w:left w:val="single" w:sz="4" w:space="0" w:color="808080"/>
              <w:bottom w:val="single" w:sz="4" w:space="0" w:color="808080"/>
              <w:right w:val="single" w:sz="4" w:space="0" w:color="808080"/>
            </w:tcBorders>
            <w:hideMark/>
          </w:tcPr>
          <w:p w14:paraId="44B62F9C" w14:textId="77777777" w:rsidR="004976E9" w:rsidRPr="00273ED1" w:rsidRDefault="004976E9" w:rsidP="00E31E69">
            <w:pPr>
              <w:spacing w:line="252" w:lineRule="auto"/>
              <w:jc w:val="both"/>
              <w:rPr>
                <w:sz w:val="15"/>
                <w:szCs w:val="15"/>
              </w:rPr>
            </w:pPr>
            <w:r w:rsidRPr="00273ED1">
              <w:rPr>
                <w:rFonts w:ascii="Arial" w:hAnsi="Arial" w:cs="Arial"/>
                <w:sz w:val="15"/>
                <w:szCs w:val="15"/>
              </w:rPr>
              <w:t>Interessi significativi per l'Offerta / Interessi configgenti</w:t>
            </w:r>
          </w:p>
        </w:tc>
        <w:tc>
          <w:tcPr>
            <w:tcW w:w="7493" w:type="dxa"/>
            <w:tcBorders>
              <w:top w:val="single" w:sz="4" w:space="0" w:color="808080"/>
              <w:left w:val="single" w:sz="4" w:space="0" w:color="808080"/>
              <w:bottom w:val="single" w:sz="4" w:space="0" w:color="808080"/>
              <w:right w:val="single" w:sz="4" w:space="0" w:color="BFBFBF"/>
            </w:tcBorders>
            <w:hideMark/>
          </w:tcPr>
          <w:p w14:paraId="1C4D54A2" w14:textId="61F867B2" w:rsidR="004976E9" w:rsidRPr="00273ED1" w:rsidRDefault="004976E9" w:rsidP="00B95357">
            <w:pPr>
              <w:spacing w:line="252" w:lineRule="auto"/>
              <w:jc w:val="both"/>
              <w:rPr>
                <w:sz w:val="15"/>
                <w:szCs w:val="15"/>
              </w:rPr>
            </w:pPr>
            <w:r w:rsidRPr="00273ED1">
              <w:rPr>
                <w:rFonts w:ascii="Arial" w:hAnsi="Arial" w:cs="Arial"/>
                <w:sz w:val="15"/>
                <w:szCs w:val="15"/>
                <w:lang w:eastAsia="lt-LT"/>
              </w:rPr>
              <w:t xml:space="preserve">La Società non è a conoscenza di alcun interesse configgente riguardo all'Offerta. </w:t>
            </w:r>
            <w:r w:rsidR="00850E56" w:rsidRPr="00273ED1">
              <w:rPr>
                <w:rFonts w:ascii="Arial" w:hAnsi="Arial" w:cs="Arial"/>
                <w:sz w:val="15"/>
                <w:szCs w:val="15"/>
                <w:lang w:eastAsia="lt-LT"/>
              </w:rPr>
              <w:t xml:space="preserve">Il Sig. </w:t>
            </w:r>
            <w:r w:rsidR="00FD058F" w:rsidRPr="00273ED1">
              <w:rPr>
                <w:rFonts w:ascii="Arial" w:hAnsi="Arial" w:cs="Arial"/>
                <w:sz w:val="15"/>
                <w:szCs w:val="15"/>
                <w:lang w:eastAsia="lt-LT"/>
              </w:rPr>
              <w:t>Paolo Michelozzi</w:t>
            </w:r>
            <w:r w:rsidR="00850E56" w:rsidRPr="00273ED1">
              <w:rPr>
                <w:rFonts w:ascii="Arial" w:hAnsi="Arial" w:cs="Arial"/>
                <w:sz w:val="15"/>
                <w:szCs w:val="15"/>
              </w:rPr>
              <w:t xml:space="preserve"> intende sottoscrivere </w:t>
            </w:r>
            <w:r w:rsidR="002B434D" w:rsidRPr="00273ED1">
              <w:rPr>
                <w:rFonts w:ascii="Arial" w:hAnsi="Arial" w:cs="Arial"/>
                <w:sz w:val="15"/>
                <w:szCs w:val="15"/>
              </w:rPr>
              <w:t>almeno 25.000</w:t>
            </w:r>
            <w:r w:rsidR="00850E56" w:rsidRPr="00273ED1">
              <w:rPr>
                <w:rFonts w:ascii="Arial" w:hAnsi="Arial" w:cs="Arial"/>
                <w:sz w:val="15"/>
                <w:szCs w:val="15"/>
              </w:rPr>
              <w:t xml:space="preserve"> Azioni per un Prezzo d’Offerta ricompreso nella Forbice del Prezzo d’Offerta.  </w:t>
            </w:r>
            <w:r w:rsidRPr="00273ED1">
              <w:rPr>
                <w:rFonts w:ascii="Arial" w:hAnsi="Arial" w:cs="Arial"/>
                <w:sz w:val="15"/>
                <w:szCs w:val="15"/>
                <w:lang w:eastAsia="lt-LT"/>
              </w:rPr>
              <w:t xml:space="preserve">Per quanto a conoscenza della Società nessun Azionista Esistente o membro del Consiglio di amministrazione o del Consiglio di sorveglianza ha intenzione di sottoscrivere </w:t>
            </w:r>
            <w:r w:rsidR="00B95357" w:rsidRPr="00273ED1">
              <w:rPr>
                <w:rFonts w:ascii="Arial" w:hAnsi="Arial" w:cs="Arial"/>
                <w:sz w:val="15"/>
                <w:szCs w:val="15"/>
                <w:lang w:eastAsia="lt-LT"/>
              </w:rPr>
              <w:t>alcuna</w:t>
            </w:r>
            <w:r w:rsidRPr="00273ED1">
              <w:rPr>
                <w:rFonts w:ascii="Arial" w:hAnsi="Arial" w:cs="Arial"/>
                <w:sz w:val="15"/>
                <w:szCs w:val="15"/>
                <w:lang w:eastAsia="lt-LT"/>
              </w:rPr>
              <w:t xml:space="preserve"> Azion</w:t>
            </w:r>
            <w:r w:rsidR="00B95357" w:rsidRPr="00273ED1">
              <w:rPr>
                <w:rFonts w:ascii="Arial" w:hAnsi="Arial" w:cs="Arial"/>
                <w:sz w:val="15"/>
                <w:szCs w:val="15"/>
                <w:lang w:eastAsia="lt-LT"/>
              </w:rPr>
              <w:t>e</w:t>
            </w:r>
            <w:r w:rsidR="004E04B7" w:rsidRPr="00273ED1">
              <w:rPr>
                <w:rFonts w:ascii="Arial" w:hAnsi="Arial" w:cs="Arial"/>
                <w:sz w:val="15"/>
                <w:szCs w:val="15"/>
                <w:lang w:eastAsia="lt-LT"/>
              </w:rPr>
              <w:t>.</w:t>
            </w:r>
          </w:p>
        </w:tc>
      </w:tr>
      <w:tr w:rsidR="004976E9" w:rsidRPr="00273ED1" w14:paraId="25D89F44" w14:textId="77777777" w:rsidTr="00E31E69">
        <w:tc>
          <w:tcPr>
            <w:tcW w:w="706" w:type="dxa"/>
            <w:tcBorders>
              <w:top w:val="single" w:sz="4" w:space="0" w:color="808080"/>
              <w:left w:val="single" w:sz="4" w:space="0" w:color="BFBFBF"/>
              <w:bottom w:val="single" w:sz="4" w:space="0" w:color="808080"/>
              <w:right w:val="single" w:sz="4" w:space="0" w:color="808080"/>
            </w:tcBorders>
            <w:hideMark/>
          </w:tcPr>
          <w:p w14:paraId="709E6B57" w14:textId="77777777" w:rsidR="004976E9" w:rsidRPr="00273ED1" w:rsidRDefault="004976E9" w:rsidP="00E31E69">
            <w:pPr>
              <w:spacing w:line="252" w:lineRule="auto"/>
              <w:jc w:val="both"/>
              <w:rPr>
                <w:rFonts w:ascii="Arial" w:hAnsi="Arial" w:cs="Arial"/>
                <w:sz w:val="15"/>
                <w:szCs w:val="15"/>
              </w:rPr>
            </w:pPr>
            <w:r w:rsidRPr="00273ED1">
              <w:rPr>
                <w:rFonts w:ascii="Arial" w:hAnsi="Arial" w:cs="Arial"/>
                <w:sz w:val="15"/>
                <w:szCs w:val="15"/>
              </w:rPr>
              <w:t>E.5</w:t>
            </w:r>
          </w:p>
        </w:tc>
        <w:tc>
          <w:tcPr>
            <w:tcW w:w="1553" w:type="dxa"/>
            <w:tcBorders>
              <w:top w:val="single" w:sz="4" w:space="0" w:color="808080"/>
              <w:left w:val="single" w:sz="4" w:space="0" w:color="808080"/>
              <w:bottom w:val="single" w:sz="4" w:space="0" w:color="808080"/>
              <w:right w:val="single" w:sz="4" w:space="0" w:color="808080"/>
            </w:tcBorders>
            <w:hideMark/>
          </w:tcPr>
          <w:p w14:paraId="0888DA6D" w14:textId="77777777" w:rsidR="004976E9" w:rsidRPr="00273ED1" w:rsidRDefault="004976E9" w:rsidP="00E31E69">
            <w:pPr>
              <w:spacing w:line="252" w:lineRule="auto"/>
              <w:jc w:val="both"/>
              <w:rPr>
                <w:sz w:val="15"/>
                <w:szCs w:val="15"/>
              </w:rPr>
            </w:pPr>
            <w:r w:rsidRPr="00273ED1">
              <w:rPr>
                <w:rFonts w:ascii="Arial" w:hAnsi="Arial" w:cs="Arial"/>
                <w:sz w:val="15"/>
                <w:szCs w:val="15"/>
              </w:rPr>
              <w:t>Nome della persona fisica o giudica che offre in vendita lo strumento finanziario. Accordi di lock-up: parti interessate; periodo del lock-up</w:t>
            </w:r>
          </w:p>
        </w:tc>
        <w:tc>
          <w:tcPr>
            <w:tcW w:w="7493" w:type="dxa"/>
            <w:tcBorders>
              <w:top w:val="single" w:sz="4" w:space="0" w:color="808080"/>
              <w:left w:val="single" w:sz="4" w:space="0" w:color="808080"/>
              <w:bottom w:val="single" w:sz="4" w:space="0" w:color="808080"/>
              <w:right w:val="single" w:sz="4" w:space="0" w:color="BFBFBF"/>
            </w:tcBorders>
            <w:hideMark/>
          </w:tcPr>
          <w:p w14:paraId="053037C8" w14:textId="77777777" w:rsidR="004976E9" w:rsidRPr="00273ED1" w:rsidRDefault="004976E9" w:rsidP="00E31E69">
            <w:pPr>
              <w:pStyle w:val="BMBodyText"/>
              <w:spacing w:before="0" w:after="0" w:line="252" w:lineRule="auto"/>
              <w:rPr>
                <w:sz w:val="15"/>
                <w:szCs w:val="15"/>
              </w:rPr>
            </w:pPr>
            <w:r w:rsidRPr="00273ED1">
              <w:rPr>
                <w:rFonts w:ascii="Arial" w:hAnsi="Arial" w:cs="Arial"/>
                <w:bCs w:val="0"/>
                <w:sz w:val="15"/>
                <w:szCs w:val="15"/>
                <w:lang w:val="it-IT"/>
              </w:rPr>
              <w:t>Non applicabile.</w:t>
            </w:r>
          </w:p>
        </w:tc>
      </w:tr>
      <w:tr w:rsidR="004976E9" w:rsidRPr="00273ED1" w14:paraId="0E48AE9B" w14:textId="77777777" w:rsidTr="00E31E69">
        <w:tc>
          <w:tcPr>
            <w:tcW w:w="706" w:type="dxa"/>
            <w:tcBorders>
              <w:top w:val="single" w:sz="4" w:space="0" w:color="808080"/>
              <w:left w:val="single" w:sz="4" w:space="0" w:color="BFBFBF"/>
              <w:bottom w:val="single" w:sz="4" w:space="0" w:color="808080"/>
              <w:right w:val="single" w:sz="4" w:space="0" w:color="808080"/>
            </w:tcBorders>
            <w:hideMark/>
          </w:tcPr>
          <w:p w14:paraId="0262C29B" w14:textId="77777777" w:rsidR="004976E9" w:rsidRPr="00273ED1" w:rsidRDefault="004976E9" w:rsidP="00E31E69">
            <w:pPr>
              <w:spacing w:line="252" w:lineRule="auto"/>
              <w:jc w:val="both"/>
              <w:rPr>
                <w:rFonts w:ascii="Arial" w:hAnsi="Arial" w:cs="Arial"/>
                <w:sz w:val="15"/>
                <w:szCs w:val="15"/>
              </w:rPr>
            </w:pPr>
            <w:r w:rsidRPr="00273ED1">
              <w:rPr>
                <w:rFonts w:ascii="Arial" w:hAnsi="Arial" w:cs="Arial"/>
                <w:sz w:val="15"/>
                <w:szCs w:val="15"/>
              </w:rPr>
              <w:t>E.6</w:t>
            </w:r>
          </w:p>
        </w:tc>
        <w:tc>
          <w:tcPr>
            <w:tcW w:w="1553" w:type="dxa"/>
            <w:tcBorders>
              <w:top w:val="single" w:sz="4" w:space="0" w:color="808080"/>
              <w:left w:val="single" w:sz="4" w:space="0" w:color="808080"/>
              <w:bottom w:val="single" w:sz="4" w:space="0" w:color="808080"/>
              <w:right w:val="single" w:sz="4" w:space="0" w:color="808080"/>
            </w:tcBorders>
            <w:hideMark/>
          </w:tcPr>
          <w:p w14:paraId="21D0720D" w14:textId="77777777" w:rsidR="004976E9" w:rsidRPr="00273ED1" w:rsidRDefault="004976E9" w:rsidP="00E31E69">
            <w:pPr>
              <w:spacing w:line="252" w:lineRule="auto"/>
              <w:jc w:val="both"/>
              <w:rPr>
                <w:sz w:val="15"/>
                <w:szCs w:val="15"/>
              </w:rPr>
            </w:pPr>
            <w:r w:rsidRPr="00273ED1">
              <w:rPr>
                <w:rFonts w:ascii="Arial" w:hAnsi="Arial" w:cs="Arial"/>
                <w:sz w:val="15"/>
                <w:szCs w:val="15"/>
              </w:rPr>
              <w:t>Immediata diluizione. Ammontare e percentuale della diluizione immediata nel caso in cui l'Azionista Esistente non sottoscriva durante l'Offerta</w:t>
            </w:r>
          </w:p>
        </w:tc>
        <w:tc>
          <w:tcPr>
            <w:tcW w:w="7493" w:type="dxa"/>
            <w:tcBorders>
              <w:top w:val="single" w:sz="4" w:space="0" w:color="808080"/>
              <w:left w:val="single" w:sz="4" w:space="0" w:color="808080"/>
              <w:bottom w:val="single" w:sz="4" w:space="0" w:color="808080"/>
              <w:right w:val="single" w:sz="4" w:space="0" w:color="BFBFBF"/>
            </w:tcBorders>
            <w:hideMark/>
          </w:tcPr>
          <w:p w14:paraId="54B429FA" w14:textId="63C3E6AA" w:rsidR="004976E9" w:rsidRPr="00273ED1" w:rsidRDefault="004976E9" w:rsidP="00E31E69">
            <w:pPr>
              <w:spacing w:line="252" w:lineRule="auto"/>
              <w:jc w:val="both"/>
              <w:rPr>
                <w:sz w:val="15"/>
                <w:szCs w:val="15"/>
              </w:rPr>
            </w:pPr>
            <w:r w:rsidRPr="00273ED1">
              <w:rPr>
                <w:rFonts w:ascii="Arial" w:hAnsi="Arial" w:cs="Arial"/>
                <w:sz w:val="15"/>
                <w:szCs w:val="15"/>
                <w:lang w:eastAsia="lt-LT"/>
              </w:rPr>
              <w:t>Nel caso in cui tutte le Azioni siano emesse, l'emissione di Az</w:t>
            </w:r>
            <w:r w:rsidR="009F69C1" w:rsidRPr="00273ED1">
              <w:rPr>
                <w:rFonts w:ascii="Arial" w:hAnsi="Arial" w:cs="Arial"/>
                <w:sz w:val="15"/>
                <w:szCs w:val="15"/>
                <w:lang w:eastAsia="lt-LT"/>
              </w:rPr>
              <w:t xml:space="preserve">ioni comprende all'incirca </w:t>
            </w:r>
            <w:r w:rsidR="00FD058F" w:rsidRPr="00273ED1">
              <w:rPr>
                <w:rFonts w:ascii="Arial" w:hAnsi="Arial" w:cs="Arial"/>
                <w:sz w:val="15"/>
                <w:szCs w:val="15"/>
              </w:rPr>
              <w:t>11</w:t>
            </w:r>
            <w:r w:rsidRPr="00273ED1">
              <w:rPr>
                <w:rFonts w:ascii="Arial" w:hAnsi="Arial" w:cs="Arial"/>
                <w:sz w:val="15"/>
                <w:szCs w:val="15"/>
                <w:lang w:eastAsia="lt-LT"/>
              </w:rPr>
              <w:t xml:space="preserve"> percento del capitale autorizzato della società prima dell'aumento. Ciascun </w:t>
            </w:r>
            <w:r w:rsidR="00B95357" w:rsidRPr="00273ED1">
              <w:rPr>
                <w:rFonts w:ascii="Arial" w:hAnsi="Arial" w:cs="Arial"/>
                <w:sz w:val="15"/>
                <w:szCs w:val="15"/>
                <w:lang w:eastAsia="lt-LT"/>
              </w:rPr>
              <w:t>A</w:t>
            </w:r>
            <w:r w:rsidRPr="00273ED1">
              <w:rPr>
                <w:rFonts w:ascii="Arial" w:hAnsi="Arial" w:cs="Arial"/>
                <w:sz w:val="15"/>
                <w:szCs w:val="15"/>
                <w:lang w:eastAsia="lt-LT"/>
              </w:rPr>
              <w:t>zionista</w:t>
            </w:r>
            <w:r w:rsidR="00B95357" w:rsidRPr="00273ED1">
              <w:rPr>
                <w:rFonts w:ascii="Arial" w:hAnsi="Arial" w:cs="Arial"/>
                <w:sz w:val="15"/>
                <w:szCs w:val="15"/>
                <w:lang w:eastAsia="lt-LT"/>
              </w:rPr>
              <w:t xml:space="preserve"> Esistente</w:t>
            </w:r>
            <w:r w:rsidRPr="00273ED1">
              <w:rPr>
                <w:rFonts w:ascii="Arial" w:hAnsi="Arial" w:cs="Arial"/>
                <w:sz w:val="15"/>
                <w:szCs w:val="15"/>
                <w:lang w:eastAsia="lt-LT"/>
              </w:rPr>
              <w:t xml:space="preserve"> ha il diritto di acquistare un numero di </w:t>
            </w:r>
            <w:r w:rsidR="00B95357" w:rsidRPr="00273ED1">
              <w:rPr>
                <w:rFonts w:ascii="Arial" w:hAnsi="Arial" w:cs="Arial"/>
                <w:sz w:val="15"/>
                <w:szCs w:val="15"/>
                <w:lang w:eastAsia="lt-LT"/>
              </w:rPr>
              <w:t>A</w:t>
            </w:r>
            <w:r w:rsidRPr="00273ED1">
              <w:rPr>
                <w:rFonts w:ascii="Arial" w:hAnsi="Arial" w:cs="Arial"/>
                <w:sz w:val="15"/>
                <w:szCs w:val="15"/>
                <w:lang w:eastAsia="lt-LT"/>
              </w:rPr>
              <w:t>zioni proporzionato al numero di azioni che lo stesso Azionista Esistente deteneva al momento in cui è stata fissata la lista degli Azionisti Es</w:t>
            </w:r>
            <w:r w:rsidR="009F69C1" w:rsidRPr="00273ED1">
              <w:rPr>
                <w:rFonts w:ascii="Arial" w:hAnsi="Arial" w:cs="Arial"/>
                <w:sz w:val="15"/>
                <w:szCs w:val="15"/>
                <w:lang w:eastAsia="lt-LT"/>
              </w:rPr>
              <w:t xml:space="preserve">istenti (ossia </w:t>
            </w:r>
            <w:r w:rsidR="00850E56" w:rsidRPr="00273ED1">
              <w:rPr>
                <w:rFonts w:ascii="Arial" w:hAnsi="Arial" w:cs="Arial"/>
                <w:sz w:val="15"/>
                <w:szCs w:val="15"/>
              </w:rPr>
              <w:t xml:space="preserve">il 4 ottobre 2017 al termine dell’orario </w:t>
            </w:r>
            <w:r w:rsidR="009472EA" w:rsidRPr="00273ED1">
              <w:rPr>
                <w:rFonts w:ascii="Arial" w:hAnsi="Arial" w:cs="Arial"/>
                <w:sz w:val="15"/>
                <w:szCs w:val="15"/>
              </w:rPr>
              <w:t>d’ufficio</w:t>
            </w:r>
            <w:r w:rsidR="00850E56" w:rsidRPr="00273ED1">
              <w:rPr>
                <w:rFonts w:ascii="Arial" w:hAnsi="Arial" w:cs="Arial"/>
                <w:sz w:val="15"/>
                <w:szCs w:val="15"/>
              </w:rPr>
              <w:t xml:space="preserve"> del Registro di Strumenti Finanziari (o alle 23:59 (ora locale di Tallinn)) qualora, entro tale data, il Registro di Strumenti Finanziari non </w:t>
            </w:r>
            <w:r w:rsidR="00B7744D" w:rsidRPr="00273ED1">
              <w:rPr>
                <w:rFonts w:ascii="Arial" w:hAnsi="Arial" w:cs="Arial"/>
                <w:sz w:val="15"/>
                <w:szCs w:val="15"/>
              </w:rPr>
              <w:t xml:space="preserve">partecipi ancora al progetto </w:t>
            </w:r>
            <w:r w:rsidR="00850E56" w:rsidRPr="00273ED1">
              <w:rPr>
                <w:rFonts w:ascii="Arial" w:hAnsi="Arial" w:cs="Arial"/>
                <w:sz w:val="15"/>
                <w:szCs w:val="15"/>
              </w:rPr>
              <w:t>TARGET2</w:t>
            </w:r>
            <w:r w:rsidR="00B7744D" w:rsidRPr="00273ED1">
              <w:rPr>
                <w:rFonts w:ascii="Arial" w:hAnsi="Arial" w:cs="Arial"/>
                <w:sz w:val="15"/>
                <w:szCs w:val="15"/>
              </w:rPr>
              <w:t>-Securities</w:t>
            </w:r>
            <w:r w:rsidRPr="00273ED1">
              <w:rPr>
                <w:rFonts w:ascii="Arial" w:hAnsi="Arial" w:cs="Arial"/>
                <w:sz w:val="15"/>
                <w:szCs w:val="15"/>
                <w:lang w:eastAsia="lt-LT"/>
              </w:rPr>
              <w:t>) secondo i dati registrati ne</w:t>
            </w:r>
            <w:r w:rsidR="00B95357" w:rsidRPr="00273ED1">
              <w:rPr>
                <w:rFonts w:ascii="Arial" w:hAnsi="Arial" w:cs="Arial"/>
                <w:sz w:val="15"/>
                <w:szCs w:val="15"/>
                <w:lang w:eastAsia="lt-LT"/>
              </w:rPr>
              <w:t>l Registro di Strumenti Finanziari</w:t>
            </w:r>
            <w:r w:rsidRPr="00273ED1">
              <w:rPr>
                <w:rFonts w:ascii="Arial" w:hAnsi="Arial" w:cs="Arial"/>
                <w:sz w:val="15"/>
                <w:szCs w:val="15"/>
                <w:lang w:eastAsia="lt-LT"/>
              </w:rPr>
              <w:t xml:space="preserve">, evitando in tal modo qualsiasi diluizione. </w:t>
            </w:r>
          </w:p>
          <w:p w14:paraId="1EBB30B7" w14:textId="3CD23735" w:rsidR="004976E9" w:rsidRPr="00273ED1" w:rsidRDefault="004976E9" w:rsidP="00B95357">
            <w:pPr>
              <w:spacing w:line="252" w:lineRule="auto"/>
              <w:jc w:val="both"/>
              <w:rPr>
                <w:sz w:val="15"/>
                <w:szCs w:val="15"/>
              </w:rPr>
            </w:pPr>
            <w:r w:rsidRPr="00273ED1">
              <w:rPr>
                <w:rFonts w:ascii="Arial" w:hAnsi="Arial" w:cs="Arial"/>
                <w:sz w:val="15"/>
                <w:szCs w:val="15"/>
                <w:lang w:eastAsia="lt-LT"/>
              </w:rPr>
              <w:t>Nel caso in cui nessun Azionista Esistente partecipi all'Offerta e tutte le Azioni siano emesse a</w:t>
            </w:r>
            <w:r w:rsidR="00B95357" w:rsidRPr="00273ED1">
              <w:rPr>
                <w:rFonts w:ascii="Arial" w:hAnsi="Arial" w:cs="Arial"/>
                <w:sz w:val="15"/>
                <w:szCs w:val="15"/>
                <w:lang w:eastAsia="lt-LT"/>
              </w:rPr>
              <w:t>d altri</w:t>
            </w:r>
            <w:r w:rsidRPr="00273ED1">
              <w:rPr>
                <w:rFonts w:ascii="Arial" w:hAnsi="Arial" w:cs="Arial"/>
                <w:sz w:val="15"/>
                <w:szCs w:val="15"/>
                <w:lang w:eastAsia="lt-LT"/>
              </w:rPr>
              <w:t xml:space="preserve"> Investitori, la diluizione sarà pari all'incirca al </w:t>
            </w:r>
            <w:r w:rsidR="00FD058F" w:rsidRPr="00273ED1">
              <w:rPr>
                <w:rFonts w:ascii="Arial" w:hAnsi="Arial" w:cs="Arial"/>
                <w:sz w:val="15"/>
                <w:szCs w:val="15"/>
              </w:rPr>
              <w:t>9</w:t>
            </w:r>
            <w:r w:rsidR="009A2540">
              <w:rPr>
                <w:rFonts w:ascii="Arial" w:hAnsi="Arial" w:cs="Arial"/>
                <w:sz w:val="15"/>
                <w:szCs w:val="15"/>
              </w:rPr>
              <w:t>,</w:t>
            </w:r>
            <w:r w:rsidR="00FD058F" w:rsidRPr="00273ED1">
              <w:rPr>
                <w:rFonts w:ascii="Arial" w:hAnsi="Arial" w:cs="Arial"/>
                <w:sz w:val="15"/>
                <w:szCs w:val="15"/>
              </w:rPr>
              <w:t>95</w:t>
            </w:r>
            <w:r w:rsidRPr="00273ED1">
              <w:rPr>
                <w:rFonts w:ascii="Arial" w:hAnsi="Arial" w:cs="Arial"/>
                <w:sz w:val="15"/>
                <w:szCs w:val="15"/>
                <w:lang w:eastAsia="lt-LT"/>
              </w:rPr>
              <w:t xml:space="preserve"> percento, ossia gli azionisti della Società esistenti prima dell'aumento del capitale ed emissione delle Azioni possederanno, in seguito all'emissione, circa il </w:t>
            </w:r>
            <w:r w:rsidR="00FD058F" w:rsidRPr="00273ED1">
              <w:rPr>
                <w:rFonts w:ascii="Arial" w:hAnsi="Arial" w:cs="Arial"/>
                <w:sz w:val="15"/>
                <w:szCs w:val="15"/>
              </w:rPr>
              <w:t>90</w:t>
            </w:r>
            <w:r w:rsidR="009A2540">
              <w:rPr>
                <w:rFonts w:ascii="Arial" w:hAnsi="Arial" w:cs="Arial"/>
                <w:sz w:val="15"/>
                <w:szCs w:val="15"/>
              </w:rPr>
              <w:t>,</w:t>
            </w:r>
            <w:r w:rsidR="00FD058F" w:rsidRPr="00273ED1">
              <w:rPr>
                <w:rFonts w:ascii="Arial" w:hAnsi="Arial" w:cs="Arial"/>
                <w:sz w:val="15"/>
                <w:szCs w:val="15"/>
              </w:rPr>
              <w:t>05</w:t>
            </w:r>
            <w:r w:rsidR="00F64B26" w:rsidRPr="00273ED1">
              <w:rPr>
                <w:rFonts w:ascii="Arial" w:hAnsi="Arial" w:cs="Arial"/>
                <w:sz w:val="15"/>
                <w:szCs w:val="15"/>
                <w:lang w:eastAsia="lt-LT"/>
              </w:rPr>
              <w:t xml:space="preserve"> </w:t>
            </w:r>
            <w:r w:rsidRPr="00273ED1">
              <w:rPr>
                <w:rFonts w:ascii="Arial" w:hAnsi="Arial" w:cs="Arial"/>
                <w:sz w:val="15"/>
                <w:szCs w:val="15"/>
                <w:lang w:eastAsia="lt-LT"/>
              </w:rPr>
              <w:t xml:space="preserve">percento delle azioni della Società. </w:t>
            </w:r>
          </w:p>
        </w:tc>
      </w:tr>
      <w:tr w:rsidR="004976E9" w:rsidRPr="00273ED1" w14:paraId="03957EB7" w14:textId="77777777" w:rsidTr="00E31E69">
        <w:tc>
          <w:tcPr>
            <w:tcW w:w="706" w:type="dxa"/>
            <w:tcBorders>
              <w:top w:val="single" w:sz="4" w:space="0" w:color="808080"/>
              <w:left w:val="single" w:sz="4" w:space="0" w:color="BFBFBF"/>
              <w:bottom w:val="single" w:sz="4" w:space="0" w:color="BFBFBF"/>
              <w:right w:val="single" w:sz="4" w:space="0" w:color="808080"/>
            </w:tcBorders>
            <w:hideMark/>
          </w:tcPr>
          <w:p w14:paraId="155F26C9" w14:textId="77777777" w:rsidR="004976E9" w:rsidRPr="00273ED1" w:rsidRDefault="004976E9" w:rsidP="00E31E69">
            <w:pPr>
              <w:spacing w:line="252" w:lineRule="auto"/>
              <w:jc w:val="both"/>
              <w:rPr>
                <w:rFonts w:ascii="Arial" w:hAnsi="Arial" w:cs="Arial"/>
                <w:sz w:val="15"/>
                <w:szCs w:val="15"/>
              </w:rPr>
            </w:pPr>
            <w:r w:rsidRPr="00273ED1">
              <w:rPr>
                <w:rFonts w:ascii="Arial" w:hAnsi="Arial" w:cs="Arial"/>
                <w:sz w:val="15"/>
                <w:szCs w:val="15"/>
              </w:rPr>
              <w:t>E.7</w:t>
            </w:r>
          </w:p>
        </w:tc>
        <w:tc>
          <w:tcPr>
            <w:tcW w:w="1553" w:type="dxa"/>
            <w:tcBorders>
              <w:top w:val="single" w:sz="4" w:space="0" w:color="808080"/>
              <w:left w:val="single" w:sz="4" w:space="0" w:color="808080"/>
              <w:bottom w:val="single" w:sz="4" w:space="0" w:color="BFBFBF"/>
              <w:right w:val="single" w:sz="4" w:space="0" w:color="808080"/>
            </w:tcBorders>
            <w:hideMark/>
          </w:tcPr>
          <w:p w14:paraId="7E5FA284" w14:textId="77777777" w:rsidR="004976E9" w:rsidRPr="00273ED1" w:rsidRDefault="004976E9" w:rsidP="00E31E69">
            <w:pPr>
              <w:spacing w:line="252" w:lineRule="auto"/>
              <w:jc w:val="both"/>
              <w:rPr>
                <w:sz w:val="15"/>
                <w:szCs w:val="15"/>
              </w:rPr>
            </w:pPr>
            <w:r w:rsidRPr="00273ED1">
              <w:rPr>
                <w:rFonts w:ascii="Arial" w:hAnsi="Arial" w:cs="Arial"/>
                <w:sz w:val="15"/>
                <w:szCs w:val="15"/>
              </w:rPr>
              <w:t>Spese stimate addebitate all'Investitore dalla Società</w:t>
            </w:r>
          </w:p>
        </w:tc>
        <w:tc>
          <w:tcPr>
            <w:tcW w:w="7493" w:type="dxa"/>
            <w:tcBorders>
              <w:top w:val="single" w:sz="4" w:space="0" w:color="808080"/>
              <w:left w:val="single" w:sz="4" w:space="0" w:color="808080"/>
              <w:bottom w:val="single" w:sz="4" w:space="0" w:color="BFBFBF"/>
              <w:right w:val="single" w:sz="4" w:space="0" w:color="BFBFBF"/>
            </w:tcBorders>
            <w:hideMark/>
          </w:tcPr>
          <w:p w14:paraId="35EA9651" w14:textId="77777777" w:rsidR="004976E9" w:rsidRPr="00273ED1" w:rsidRDefault="004976E9" w:rsidP="00E31E69">
            <w:pPr>
              <w:spacing w:line="252" w:lineRule="auto"/>
              <w:jc w:val="both"/>
              <w:rPr>
                <w:sz w:val="15"/>
                <w:szCs w:val="15"/>
              </w:rPr>
            </w:pPr>
            <w:r w:rsidRPr="00273ED1">
              <w:rPr>
                <w:rFonts w:ascii="Arial" w:hAnsi="Arial" w:cs="Arial"/>
                <w:sz w:val="15"/>
                <w:szCs w:val="15"/>
              </w:rPr>
              <w:t>Non è presente alcuna spesa diretta addebitata all'investitore dalla Società al momento della sottoscrizione delle Azioni, ossia non sono applicabili addebiti di prodotto e costi di entrata, o spese di gestione e di uscita.</w:t>
            </w:r>
          </w:p>
        </w:tc>
      </w:tr>
    </w:tbl>
    <w:p w14:paraId="11282D42" w14:textId="77777777" w:rsidR="00E31E69" w:rsidRPr="00273ED1" w:rsidRDefault="00E31E69" w:rsidP="0092354B">
      <w:pPr>
        <w:rPr>
          <w:sz w:val="15"/>
          <w:szCs w:val="15"/>
        </w:rPr>
      </w:pPr>
    </w:p>
    <w:sectPr w:rsidR="00E31E69" w:rsidRPr="00273ED1" w:rsidSect="008038AD">
      <w:footerReference w:type="default" r:id="rId8"/>
      <w:pgSz w:w="11906" w:h="16838" w:code="9"/>
      <w:pgMar w:top="720" w:right="720" w:bottom="720" w:left="720" w:header="454" w:footer="454" w:gutter="0"/>
      <w:cols w:space="720"/>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CCE28" w14:textId="77777777" w:rsidR="000A19A8" w:rsidRDefault="000A19A8" w:rsidP="004976E9">
      <w:r>
        <w:separator/>
      </w:r>
    </w:p>
  </w:endnote>
  <w:endnote w:type="continuationSeparator" w:id="0">
    <w:p w14:paraId="1568BF79" w14:textId="77777777" w:rsidR="000A19A8" w:rsidRDefault="000A19A8" w:rsidP="00497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OpenSymbol">
    <w:altName w:val="Arial Unicode MS"/>
    <w:charset w:val="02"/>
    <w:family w:val="auto"/>
    <w:pitch w:val="default"/>
  </w:font>
  <w:font w:name="Liberation Sans">
    <w:altName w:val="Arial"/>
    <w:charset w:val="01"/>
    <w:family w:val="swiss"/>
    <w:pitch w:val="variable"/>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enturyCondensed">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EY Gothic Cond Demi">
    <w:altName w:val="Arial Narrow"/>
    <w:charset w:val="00"/>
    <w:family w:val="auto"/>
    <w:pitch w:val="variable"/>
    <w:sig w:usb0="800000A7" w:usb1="0000004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9609896"/>
      <w:docPartObj>
        <w:docPartGallery w:val="Page Numbers (Top of Page)"/>
        <w:docPartUnique/>
      </w:docPartObj>
    </w:sdtPr>
    <w:sdtEndPr/>
    <w:sdtContent>
      <w:p w14:paraId="14A26B83" w14:textId="2A29ABBD" w:rsidR="00641BE9" w:rsidRDefault="00641BE9">
        <w:pPr>
          <w:pStyle w:val="Footer"/>
          <w:jc w:val="right"/>
        </w:pPr>
        <w:r>
          <w:fldChar w:fldCharType="begin"/>
        </w:r>
        <w:r>
          <w:instrText>PAGE</w:instrText>
        </w:r>
        <w:r>
          <w:fldChar w:fldCharType="separate"/>
        </w:r>
        <w:r w:rsidR="00765512">
          <w:rPr>
            <w:noProof/>
          </w:rPr>
          <w:t>14</w:t>
        </w:r>
        <w:r>
          <w:rPr>
            <w:noProof/>
          </w:rPr>
          <w:fldChar w:fldCharType="end"/>
        </w:r>
      </w:p>
    </w:sdtContent>
  </w:sdt>
  <w:p w14:paraId="360335F1" w14:textId="77777777" w:rsidR="00641BE9" w:rsidRDefault="00641B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63F45" w14:textId="77777777" w:rsidR="000A19A8" w:rsidRDefault="000A19A8" w:rsidP="004976E9">
      <w:r>
        <w:separator/>
      </w:r>
    </w:p>
  </w:footnote>
  <w:footnote w:type="continuationSeparator" w:id="0">
    <w:p w14:paraId="5CEE492A" w14:textId="77777777" w:rsidR="000A19A8" w:rsidRDefault="000A19A8" w:rsidP="00497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231DF"/>
    <w:multiLevelType w:val="multilevel"/>
    <w:tmpl w:val="E974B90E"/>
    <w:lvl w:ilvl="0">
      <w:start w:val="1"/>
      <w:numFmt w:val="bullet"/>
      <w:lvlText w:val=""/>
      <w:lvlJc w:val="left"/>
      <w:pPr>
        <w:ind w:left="763" w:hanging="360"/>
      </w:pPr>
      <w:rPr>
        <w:rFonts w:ascii="Symbol" w:hAnsi="Symbol" w:cs="Symbol" w:hint="default"/>
        <w:u w:val="none" w:color="FFFFFF"/>
      </w:rPr>
    </w:lvl>
    <w:lvl w:ilvl="1">
      <w:start w:val="1"/>
      <w:numFmt w:val="bullet"/>
      <w:lvlText w:val="o"/>
      <w:lvlJc w:val="left"/>
      <w:pPr>
        <w:ind w:left="1483" w:hanging="360"/>
      </w:pPr>
      <w:rPr>
        <w:rFonts w:ascii="Courier New" w:hAnsi="Courier New" w:cs="Courier New" w:hint="default"/>
      </w:rPr>
    </w:lvl>
    <w:lvl w:ilvl="2">
      <w:start w:val="1"/>
      <w:numFmt w:val="bullet"/>
      <w:lvlText w:val=""/>
      <w:lvlJc w:val="left"/>
      <w:pPr>
        <w:ind w:left="2203" w:hanging="360"/>
      </w:pPr>
      <w:rPr>
        <w:rFonts w:ascii="Wingdings" w:hAnsi="Wingdings" w:cs="Wingdings" w:hint="default"/>
      </w:rPr>
    </w:lvl>
    <w:lvl w:ilvl="3">
      <w:start w:val="1"/>
      <w:numFmt w:val="bullet"/>
      <w:lvlText w:val=""/>
      <w:lvlJc w:val="left"/>
      <w:pPr>
        <w:ind w:left="2923" w:hanging="360"/>
      </w:pPr>
      <w:rPr>
        <w:rFonts w:ascii="Symbol" w:hAnsi="Symbol" w:cs="Symbol" w:hint="default"/>
      </w:rPr>
    </w:lvl>
    <w:lvl w:ilvl="4">
      <w:start w:val="1"/>
      <w:numFmt w:val="bullet"/>
      <w:lvlText w:val="o"/>
      <w:lvlJc w:val="left"/>
      <w:pPr>
        <w:ind w:left="3643" w:hanging="360"/>
      </w:pPr>
      <w:rPr>
        <w:rFonts w:ascii="Courier New" w:hAnsi="Courier New" w:cs="Courier New" w:hint="default"/>
      </w:rPr>
    </w:lvl>
    <w:lvl w:ilvl="5">
      <w:start w:val="1"/>
      <w:numFmt w:val="bullet"/>
      <w:lvlText w:val=""/>
      <w:lvlJc w:val="left"/>
      <w:pPr>
        <w:ind w:left="4363" w:hanging="360"/>
      </w:pPr>
      <w:rPr>
        <w:rFonts w:ascii="Wingdings" w:hAnsi="Wingdings" w:cs="Wingdings" w:hint="default"/>
      </w:rPr>
    </w:lvl>
    <w:lvl w:ilvl="6">
      <w:start w:val="1"/>
      <w:numFmt w:val="bullet"/>
      <w:lvlText w:val=""/>
      <w:lvlJc w:val="left"/>
      <w:pPr>
        <w:ind w:left="5083" w:hanging="360"/>
      </w:pPr>
      <w:rPr>
        <w:rFonts w:ascii="Symbol" w:hAnsi="Symbol" w:cs="Symbol" w:hint="default"/>
      </w:rPr>
    </w:lvl>
    <w:lvl w:ilvl="7">
      <w:start w:val="1"/>
      <w:numFmt w:val="bullet"/>
      <w:lvlText w:val="o"/>
      <w:lvlJc w:val="left"/>
      <w:pPr>
        <w:ind w:left="5803" w:hanging="360"/>
      </w:pPr>
      <w:rPr>
        <w:rFonts w:ascii="Courier New" w:hAnsi="Courier New" w:cs="Courier New" w:hint="default"/>
      </w:rPr>
    </w:lvl>
    <w:lvl w:ilvl="8">
      <w:start w:val="1"/>
      <w:numFmt w:val="bullet"/>
      <w:lvlText w:val=""/>
      <w:lvlJc w:val="left"/>
      <w:pPr>
        <w:ind w:left="6523" w:hanging="360"/>
      </w:pPr>
      <w:rPr>
        <w:rFonts w:ascii="Wingdings" w:hAnsi="Wingdings" w:cs="Wingdings" w:hint="default"/>
      </w:rPr>
    </w:lvl>
  </w:abstractNum>
  <w:abstractNum w:abstractNumId="1" w15:restartNumberingAfterBreak="0">
    <w:nsid w:val="13E01F4A"/>
    <w:multiLevelType w:val="multilevel"/>
    <w:tmpl w:val="3908565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55F21BC"/>
    <w:multiLevelType w:val="multilevel"/>
    <w:tmpl w:val="C4FC7B96"/>
    <w:lvl w:ilvl="0">
      <w:start w:val="1"/>
      <w:numFmt w:val="decimal"/>
      <w:lvlText w:val="%1"/>
      <w:lvlJc w:val="left"/>
      <w:pPr>
        <w:ind w:left="709" w:hanging="709"/>
      </w:pPr>
    </w:lvl>
    <w:lvl w:ilvl="1">
      <w:start w:val="1"/>
      <w:numFmt w:val="decimal"/>
      <w:lvlText w:val="%1.%2"/>
      <w:lvlJc w:val="left"/>
      <w:pPr>
        <w:ind w:left="709" w:hanging="709"/>
      </w:pPr>
    </w:lvl>
    <w:lvl w:ilvl="2">
      <w:start w:val="1"/>
      <w:numFmt w:val="decimal"/>
      <w:lvlText w:val="%1.%2.%3"/>
      <w:lvlJc w:val="left"/>
      <w:pPr>
        <w:tabs>
          <w:tab w:val="num" w:pos="1418"/>
        </w:tabs>
        <w:ind w:left="709" w:hanging="709"/>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 w15:restartNumberingAfterBreak="0">
    <w:nsid w:val="21CF4919"/>
    <w:multiLevelType w:val="multilevel"/>
    <w:tmpl w:val="F9FCDF90"/>
    <w:lvl w:ilvl="0">
      <w:start w:val="1"/>
      <w:numFmt w:val="bullet"/>
      <w:lvlText w:val=""/>
      <w:lvlJc w:val="left"/>
      <w:pPr>
        <w:ind w:left="709" w:hanging="709"/>
      </w:pPr>
      <w:rPr>
        <w:rFonts w:ascii="Symbol" w:hAnsi="Symbol" w:cs="Symbol" w:hint="default"/>
      </w:rPr>
    </w:lvl>
    <w:lvl w:ilvl="1">
      <w:start w:val="1"/>
      <w:numFmt w:val="bullet"/>
      <w:lvlText w:val=""/>
      <w:lvlJc w:val="left"/>
      <w:pPr>
        <w:ind w:left="1418" w:hanging="709"/>
      </w:pPr>
      <w:rPr>
        <w:rFonts w:ascii="Symbol" w:hAnsi="Symbol" w:cs="Symbol" w:hint="default"/>
      </w:rPr>
    </w:lvl>
    <w:lvl w:ilvl="2">
      <w:start w:val="1"/>
      <w:numFmt w:val="none"/>
      <w:suff w:val="nothing"/>
      <w:lvlText w:val="-"/>
      <w:lvlJc w:val="left"/>
      <w:pPr>
        <w:ind w:left="2126" w:hanging="708"/>
      </w:pPr>
    </w:lvl>
    <w:lvl w:ilvl="3">
      <w:start w:val="1"/>
      <w:numFmt w:val="none"/>
      <w:suff w:val="nothing"/>
      <w:lvlText w:val=""/>
      <w:lvlJc w:val="left"/>
      <w:pPr>
        <w:ind w:left="709" w:hanging="709"/>
      </w:pPr>
    </w:lvl>
    <w:lvl w:ilvl="4">
      <w:start w:val="1"/>
      <w:numFmt w:val="none"/>
      <w:suff w:val="nothing"/>
      <w:lvlText w:val=""/>
      <w:lvlJc w:val="left"/>
      <w:pPr>
        <w:ind w:left="709" w:hanging="709"/>
      </w:pPr>
    </w:lvl>
    <w:lvl w:ilvl="5">
      <w:start w:val="1"/>
      <w:numFmt w:val="none"/>
      <w:suff w:val="nothing"/>
      <w:lvlText w:val=""/>
      <w:lvlJc w:val="left"/>
      <w:pPr>
        <w:ind w:left="709" w:hanging="709"/>
      </w:pPr>
    </w:lvl>
    <w:lvl w:ilvl="6">
      <w:start w:val="1"/>
      <w:numFmt w:val="none"/>
      <w:suff w:val="nothing"/>
      <w:lvlText w:val=""/>
      <w:lvlJc w:val="left"/>
      <w:pPr>
        <w:ind w:left="709" w:hanging="709"/>
      </w:pPr>
    </w:lvl>
    <w:lvl w:ilvl="7">
      <w:start w:val="1"/>
      <w:numFmt w:val="none"/>
      <w:suff w:val="nothing"/>
      <w:lvlText w:val=""/>
      <w:lvlJc w:val="left"/>
      <w:pPr>
        <w:ind w:left="709" w:hanging="709"/>
      </w:pPr>
    </w:lvl>
    <w:lvl w:ilvl="8">
      <w:start w:val="1"/>
      <w:numFmt w:val="none"/>
      <w:suff w:val="nothing"/>
      <w:lvlText w:val=""/>
      <w:lvlJc w:val="left"/>
      <w:pPr>
        <w:ind w:left="709" w:hanging="709"/>
      </w:pPr>
    </w:lvl>
  </w:abstractNum>
  <w:abstractNum w:abstractNumId="4" w15:restartNumberingAfterBreak="0">
    <w:nsid w:val="27831342"/>
    <w:multiLevelType w:val="multilevel"/>
    <w:tmpl w:val="23640AC2"/>
    <w:lvl w:ilvl="0">
      <w:start w:val="1"/>
      <w:numFmt w:val="bullet"/>
      <w:lvlText w:val=""/>
      <w:lvlJc w:val="left"/>
      <w:pPr>
        <w:ind w:left="709" w:hanging="709"/>
      </w:pPr>
      <w:rPr>
        <w:rFonts w:ascii="Symbol" w:hAnsi="Symbol" w:cs="Symbol" w:hint="default"/>
      </w:rPr>
    </w:lvl>
    <w:lvl w:ilvl="1">
      <w:start w:val="1"/>
      <w:numFmt w:val="bullet"/>
      <w:lvlText w:val=""/>
      <w:lvlJc w:val="left"/>
      <w:pPr>
        <w:ind w:left="1418" w:hanging="709"/>
      </w:pPr>
      <w:rPr>
        <w:rFonts w:ascii="Symbol" w:hAnsi="Symbol" w:cs="Symbol" w:hint="default"/>
      </w:rPr>
    </w:lvl>
    <w:lvl w:ilvl="2">
      <w:start w:val="1"/>
      <w:numFmt w:val="none"/>
      <w:suff w:val="nothing"/>
      <w:lvlText w:val="-"/>
      <w:lvlJc w:val="left"/>
      <w:pPr>
        <w:ind w:left="2126" w:hanging="708"/>
      </w:pPr>
    </w:lvl>
    <w:lvl w:ilvl="3">
      <w:start w:val="1"/>
      <w:numFmt w:val="none"/>
      <w:suff w:val="nothing"/>
      <w:lvlText w:val=""/>
      <w:lvlJc w:val="left"/>
      <w:pPr>
        <w:ind w:left="709" w:hanging="709"/>
      </w:pPr>
    </w:lvl>
    <w:lvl w:ilvl="4">
      <w:start w:val="1"/>
      <w:numFmt w:val="none"/>
      <w:suff w:val="nothing"/>
      <w:lvlText w:val=""/>
      <w:lvlJc w:val="left"/>
      <w:pPr>
        <w:ind w:left="709" w:hanging="709"/>
      </w:pPr>
    </w:lvl>
    <w:lvl w:ilvl="5">
      <w:start w:val="1"/>
      <w:numFmt w:val="none"/>
      <w:suff w:val="nothing"/>
      <w:lvlText w:val=""/>
      <w:lvlJc w:val="left"/>
      <w:pPr>
        <w:ind w:left="709" w:hanging="709"/>
      </w:pPr>
    </w:lvl>
    <w:lvl w:ilvl="6">
      <w:start w:val="1"/>
      <w:numFmt w:val="none"/>
      <w:suff w:val="nothing"/>
      <w:lvlText w:val=""/>
      <w:lvlJc w:val="left"/>
      <w:pPr>
        <w:ind w:left="709" w:hanging="709"/>
      </w:pPr>
    </w:lvl>
    <w:lvl w:ilvl="7">
      <w:start w:val="1"/>
      <w:numFmt w:val="none"/>
      <w:suff w:val="nothing"/>
      <w:lvlText w:val=""/>
      <w:lvlJc w:val="left"/>
      <w:pPr>
        <w:ind w:left="709" w:hanging="709"/>
      </w:pPr>
    </w:lvl>
    <w:lvl w:ilvl="8">
      <w:start w:val="1"/>
      <w:numFmt w:val="none"/>
      <w:suff w:val="nothing"/>
      <w:lvlText w:val=""/>
      <w:lvlJc w:val="left"/>
      <w:pPr>
        <w:ind w:left="709" w:hanging="709"/>
      </w:pPr>
    </w:lvl>
  </w:abstractNum>
  <w:abstractNum w:abstractNumId="5" w15:restartNumberingAfterBreak="0">
    <w:nsid w:val="32215BE6"/>
    <w:multiLevelType w:val="multilevel"/>
    <w:tmpl w:val="A86E345A"/>
    <w:lvl w:ilvl="0">
      <w:start w:val="1"/>
      <w:numFmt w:val="bullet"/>
      <w:lvlText w:val=""/>
      <w:lvlJc w:val="left"/>
      <w:pPr>
        <w:ind w:left="720" w:hanging="360"/>
      </w:pPr>
      <w:rPr>
        <w:rFonts w:ascii="Symbol" w:hAnsi="Symbol" w:cs="Symbol" w:hint="default"/>
        <w:u w:val="none" w:color="FFFFFF"/>
      </w:rPr>
    </w:lvl>
    <w:lvl w:ilvl="1">
      <w:start w:val="1"/>
      <w:numFmt w:val="bullet"/>
      <w:lvlText w:val=""/>
      <w:lvlJc w:val="left"/>
      <w:pPr>
        <w:ind w:left="1440" w:hanging="360"/>
      </w:pPr>
      <w:rPr>
        <w:rFonts w:ascii="Symbol" w:hAnsi="Symbol" w:cs="Symbol" w:hint="default"/>
        <w:u w:val="none" w:color="FFFFFF"/>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43D45E9D"/>
    <w:multiLevelType w:val="multilevel"/>
    <w:tmpl w:val="F216006E"/>
    <w:lvl w:ilvl="0">
      <w:start w:val="1"/>
      <w:numFmt w:val="bullet"/>
      <w:lvlText w:val=""/>
      <w:lvlJc w:val="left"/>
      <w:pPr>
        <w:ind w:left="720" w:hanging="360"/>
      </w:pPr>
      <w:rPr>
        <w:rFonts w:ascii="Symbol" w:hAnsi="Symbol" w:cs="Symbol" w:hint="default"/>
        <w:u w:val="none" w:color="FFFFFF"/>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4BBF2C4D"/>
    <w:multiLevelType w:val="multilevel"/>
    <w:tmpl w:val="8B26B62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54AA3353"/>
    <w:multiLevelType w:val="multilevel"/>
    <w:tmpl w:val="49886708"/>
    <w:lvl w:ilvl="0">
      <w:start w:val="1"/>
      <w:numFmt w:val="bullet"/>
      <w:lvlText w:val=""/>
      <w:lvlJc w:val="left"/>
      <w:pPr>
        <w:ind w:left="501" w:hanging="360"/>
      </w:pPr>
      <w:rPr>
        <w:rFonts w:ascii="Symbol" w:hAnsi="Symbol" w:cs="Symbol" w:hint="default"/>
        <w:u w:val="none" w:color="FFFFFF"/>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9" w15:restartNumberingAfterBreak="0">
    <w:nsid w:val="6C456897"/>
    <w:multiLevelType w:val="multilevel"/>
    <w:tmpl w:val="6444E440"/>
    <w:lvl w:ilvl="0">
      <w:start w:val="1"/>
      <w:numFmt w:val="bullet"/>
      <w:lvlText w:val=""/>
      <w:lvlJc w:val="left"/>
      <w:pPr>
        <w:ind w:left="720" w:hanging="360"/>
      </w:pPr>
      <w:rPr>
        <w:rFonts w:ascii="Symbol" w:hAnsi="Symbol" w:cs="Symbol" w:hint="default"/>
        <w:u w:val="none" w:color="FFFFFF"/>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7D4C1508"/>
    <w:multiLevelType w:val="multilevel"/>
    <w:tmpl w:val="0346D136"/>
    <w:lvl w:ilvl="0">
      <w:start w:val="1"/>
      <w:numFmt w:val="bullet"/>
      <w:lvlText w:val=""/>
      <w:lvlJc w:val="left"/>
      <w:pPr>
        <w:ind w:left="720" w:hanging="360"/>
      </w:pPr>
      <w:rPr>
        <w:rFonts w:ascii="Symbol" w:hAnsi="Symbol" w:cs="Symbol" w:hint="default"/>
        <w:u w:val="none" w:color="FFFFFF"/>
      </w:rPr>
    </w:lvl>
    <w:lvl w:ilvl="1">
      <w:start w:val="10"/>
      <w:numFmt w:val="bullet"/>
      <w:lvlText w:val="-"/>
      <w:lvlJc w:val="left"/>
      <w:pPr>
        <w:ind w:left="1800" w:hanging="720"/>
      </w:pPr>
      <w:rPr>
        <w:rFonts w:ascii="Arial" w:hAnsi="Arial" w:cs="Arial" w:hint="default"/>
      </w:rPr>
    </w:lvl>
    <w:lvl w:ilvl="2">
      <w:start w:val="1"/>
      <w:numFmt w:val="bullet"/>
      <w:lvlText w:val=""/>
      <w:lvlJc w:val="left"/>
      <w:pPr>
        <w:ind w:left="2520" w:hanging="720"/>
      </w:pPr>
      <w:rPr>
        <w:rFonts w:ascii="Symbol" w:hAnsi="Symbol" w:cs="Symbol" w:hint="default"/>
        <w:u w:val="none" w:color="FFFFFF"/>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7E80556C"/>
    <w:multiLevelType w:val="multilevel"/>
    <w:tmpl w:val="8A8EFB08"/>
    <w:lvl w:ilvl="0">
      <w:start w:val="1"/>
      <w:numFmt w:val="bullet"/>
      <w:lvlText w:val=""/>
      <w:lvlJc w:val="left"/>
      <w:pPr>
        <w:ind w:left="720" w:hanging="360"/>
      </w:pPr>
      <w:rPr>
        <w:rFonts w:ascii="Symbol" w:hAnsi="Symbol" w:cs="Symbol" w:hint="default"/>
        <w:u w:val="none" w:color="FFFFFF"/>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cs="Symbol" w:hint="default"/>
        <w:u w:val="none" w:color="FFFFFF"/>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4"/>
  </w:num>
  <w:num w:numId="3">
    <w:abstractNumId w:val="2"/>
  </w:num>
  <w:num w:numId="4">
    <w:abstractNumId w:val="7"/>
  </w:num>
  <w:num w:numId="5">
    <w:abstractNumId w:val="5"/>
  </w:num>
  <w:num w:numId="6">
    <w:abstractNumId w:val="8"/>
  </w:num>
  <w:num w:numId="7">
    <w:abstractNumId w:val="0"/>
  </w:num>
  <w:num w:numId="8">
    <w:abstractNumId w:val="11"/>
  </w:num>
  <w:num w:numId="9">
    <w:abstractNumId w:val="10"/>
  </w:num>
  <w:num w:numId="10">
    <w:abstractNumId w:val="6"/>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bordersDoNotSurroundHeader/>
  <w:bordersDoNotSurroundFooter/>
  <w:hideSpellingErrors/>
  <w:hideGrammaticalError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6E9"/>
    <w:rsid w:val="00021F7C"/>
    <w:rsid w:val="00024603"/>
    <w:rsid w:val="00033871"/>
    <w:rsid w:val="00036C51"/>
    <w:rsid w:val="00054560"/>
    <w:rsid w:val="00066807"/>
    <w:rsid w:val="00066866"/>
    <w:rsid w:val="00067203"/>
    <w:rsid w:val="00071320"/>
    <w:rsid w:val="00093EFE"/>
    <w:rsid w:val="000A19A8"/>
    <w:rsid w:val="000A2F10"/>
    <w:rsid w:val="000A5EAA"/>
    <w:rsid w:val="000A6663"/>
    <w:rsid w:val="000B10D4"/>
    <w:rsid w:val="000B25B7"/>
    <w:rsid w:val="000B70F4"/>
    <w:rsid w:val="000D3581"/>
    <w:rsid w:val="000D70BC"/>
    <w:rsid w:val="00101D08"/>
    <w:rsid w:val="00103F7F"/>
    <w:rsid w:val="00107D41"/>
    <w:rsid w:val="00113BAC"/>
    <w:rsid w:val="00121301"/>
    <w:rsid w:val="00124BDF"/>
    <w:rsid w:val="0013332B"/>
    <w:rsid w:val="00135A99"/>
    <w:rsid w:val="00136201"/>
    <w:rsid w:val="00137DB5"/>
    <w:rsid w:val="0014201E"/>
    <w:rsid w:val="001517D6"/>
    <w:rsid w:val="00152A44"/>
    <w:rsid w:val="00153751"/>
    <w:rsid w:val="0015620D"/>
    <w:rsid w:val="0016236E"/>
    <w:rsid w:val="001673D5"/>
    <w:rsid w:val="00170405"/>
    <w:rsid w:val="001749D5"/>
    <w:rsid w:val="00184B57"/>
    <w:rsid w:val="00191C8F"/>
    <w:rsid w:val="001A051A"/>
    <w:rsid w:val="001A3150"/>
    <w:rsid w:val="001A6C85"/>
    <w:rsid w:val="001A6D41"/>
    <w:rsid w:val="001B5CE4"/>
    <w:rsid w:val="001B6DDF"/>
    <w:rsid w:val="001C00E5"/>
    <w:rsid w:val="001C6C8B"/>
    <w:rsid w:val="001D6ADC"/>
    <w:rsid w:val="001E0D55"/>
    <w:rsid w:val="001E10ED"/>
    <w:rsid w:val="001F0DC9"/>
    <w:rsid w:val="001F2ABF"/>
    <w:rsid w:val="001F3F76"/>
    <w:rsid w:val="001F4433"/>
    <w:rsid w:val="00221D64"/>
    <w:rsid w:val="00222467"/>
    <w:rsid w:val="00226427"/>
    <w:rsid w:val="00226C76"/>
    <w:rsid w:val="00236409"/>
    <w:rsid w:val="00237A51"/>
    <w:rsid w:val="002420F9"/>
    <w:rsid w:val="00245502"/>
    <w:rsid w:val="002548A7"/>
    <w:rsid w:val="00255316"/>
    <w:rsid w:val="002665B7"/>
    <w:rsid w:val="00273ED1"/>
    <w:rsid w:val="00281759"/>
    <w:rsid w:val="00281BD5"/>
    <w:rsid w:val="00286A25"/>
    <w:rsid w:val="00286CF5"/>
    <w:rsid w:val="00291CFD"/>
    <w:rsid w:val="002B1344"/>
    <w:rsid w:val="002B2BC9"/>
    <w:rsid w:val="002B434D"/>
    <w:rsid w:val="002E41B0"/>
    <w:rsid w:val="002F3F6C"/>
    <w:rsid w:val="003179E7"/>
    <w:rsid w:val="00325345"/>
    <w:rsid w:val="00330AD0"/>
    <w:rsid w:val="00330B41"/>
    <w:rsid w:val="00331159"/>
    <w:rsid w:val="00331E36"/>
    <w:rsid w:val="00336D38"/>
    <w:rsid w:val="00343F1F"/>
    <w:rsid w:val="0034493D"/>
    <w:rsid w:val="00365943"/>
    <w:rsid w:val="00371837"/>
    <w:rsid w:val="003724EE"/>
    <w:rsid w:val="00374DDF"/>
    <w:rsid w:val="003810A6"/>
    <w:rsid w:val="00381D2B"/>
    <w:rsid w:val="003910F4"/>
    <w:rsid w:val="00392D16"/>
    <w:rsid w:val="00394D4E"/>
    <w:rsid w:val="003A5D7D"/>
    <w:rsid w:val="003A5F6B"/>
    <w:rsid w:val="003C09A4"/>
    <w:rsid w:val="003D0D0F"/>
    <w:rsid w:val="003D5363"/>
    <w:rsid w:val="003E248B"/>
    <w:rsid w:val="003E38D9"/>
    <w:rsid w:val="003E3945"/>
    <w:rsid w:val="00401252"/>
    <w:rsid w:val="004013BA"/>
    <w:rsid w:val="00404FD5"/>
    <w:rsid w:val="00406F59"/>
    <w:rsid w:val="00430B27"/>
    <w:rsid w:val="00436967"/>
    <w:rsid w:val="004370DE"/>
    <w:rsid w:val="00440950"/>
    <w:rsid w:val="00442DE7"/>
    <w:rsid w:val="00443170"/>
    <w:rsid w:val="00450037"/>
    <w:rsid w:val="004571A2"/>
    <w:rsid w:val="00464C55"/>
    <w:rsid w:val="00466CD6"/>
    <w:rsid w:val="004974B3"/>
    <w:rsid w:val="004976E9"/>
    <w:rsid w:val="004A3312"/>
    <w:rsid w:val="004A6F4E"/>
    <w:rsid w:val="004A7239"/>
    <w:rsid w:val="004B06B2"/>
    <w:rsid w:val="004B1CF1"/>
    <w:rsid w:val="004B222E"/>
    <w:rsid w:val="004B7F19"/>
    <w:rsid w:val="004C0673"/>
    <w:rsid w:val="004C465B"/>
    <w:rsid w:val="004D2FCE"/>
    <w:rsid w:val="004E04B7"/>
    <w:rsid w:val="004E06EA"/>
    <w:rsid w:val="005029BF"/>
    <w:rsid w:val="00502E46"/>
    <w:rsid w:val="00507C79"/>
    <w:rsid w:val="005149F6"/>
    <w:rsid w:val="00523447"/>
    <w:rsid w:val="00523E40"/>
    <w:rsid w:val="0052793D"/>
    <w:rsid w:val="005330DF"/>
    <w:rsid w:val="0053501A"/>
    <w:rsid w:val="00541A31"/>
    <w:rsid w:val="00553DB9"/>
    <w:rsid w:val="00555C9F"/>
    <w:rsid w:val="0055645F"/>
    <w:rsid w:val="00566A76"/>
    <w:rsid w:val="00575946"/>
    <w:rsid w:val="00577A8D"/>
    <w:rsid w:val="005824DA"/>
    <w:rsid w:val="005901EF"/>
    <w:rsid w:val="00590D28"/>
    <w:rsid w:val="005A6D39"/>
    <w:rsid w:val="005A7039"/>
    <w:rsid w:val="005A78A3"/>
    <w:rsid w:val="0060459C"/>
    <w:rsid w:val="00605A50"/>
    <w:rsid w:val="00607977"/>
    <w:rsid w:val="0061419D"/>
    <w:rsid w:val="00616086"/>
    <w:rsid w:val="00633493"/>
    <w:rsid w:val="00641BE9"/>
    <w:rsid w:val="00645C62"/>
    <w:rsid w:val="00646DAB"/>
    <w:rsid w:val="0065307A"/>
    <w:rsid w:val="006618D6"/>
    <w:rsid w:val="00665F88"/>
    <w:rsid w:val="00666FF0"/>
    <w:rsid w:val="0067712A"/>
    <w:rsid w:val="00680FD0"/>
    <w:rsid w:val="006841E3"/>
    <w:rsid w:val="00691C15"/>
    <w:rsid w:val="00697CE7"/>
    <w:rsid w:val="006A189B"/>
    <w:rsid w:val="006A4748"/>
    <w:rsid w:val="006C179B"/>
    <w:rsid w:val="006D022E"/>
    <w:rsid w:val="006D0C0F"/>
    <w:rsid w:val="006D320D"/>
    <w:rsid w:val="006E2238"/>
    <w:rsid w:val="006E74B2"/>
    <w:rsid w:val="006F0934"/>
    <w:rsid w:val="006F7F09"/>
    <w:rsid w:val="0071188F"/>
    <w:rsid w:val="00713E8A"/>
    <w:rsid w:val="00717392"/>
    <w:rsid w:val="00726101"/>
    <w:rsid w:val="00730EEA"/>
    <w:rsid w:val="00731F5E"/>
    <w:rsid w:val="007401CA"/>
    <w:rsid w:val="00745FBB"/>
    <w:rsid w:val="007506D1"/>
    <w:rsid w:val="007518F5"/>
    <w:rsid w:val="00754531"/>
    <w:rsid w:val="00762F62"/>
    <w:rsid w:val="00764199"/>
    <w:rsid w:val="00765512"/>
    <w:rsid w:val="00767FED"/>
    <w:rsid w:val="007741DB"/>
    <w:rsid w:val="007770C5"/>
    <w:rsid w:val="0077723D"/>
    <w:rsid w:val="00781331"/>
    <w:rsid w:val="00781FD2"/>
    <w:rsid w:val="00782E03"/>
    <w:rsid w:val="00787254"/>
    <w:rsid w:val="007922EF"/>
    <w:rsid w:val="007A3152"/>
    <w:rsid w:val="007B282E"/>
    <w:rsid w:val="007B29A7"/>
    <w:rsid w:val="007B612E"/>
    <w:rsid w:val="007C3371"/>
    <w:rsid w:val="007D6677"/>
    <w:rsid w:val="007E19BF"/>
    <w:rsid w:val="007E2C3E"/>
    <w:rsid w:val="007E6C29"/>
    <w:rsid w:val="007F0880"/>
    <w:rsid w:val="007F2C23"/>
    <w:rsid w:val="008035B3"/>
    <w:rsid w:val="008038AD"/>
    <w:rsid w:val="00807943"/>
    <w:rsid w:val="00811C5B"/>
    <w:rsid w:val="00813EA9"/>
    <w:rsid w:val="00827181"/>
    <w:rsid w:val="008344E3"/>
    <w:rsid w:val="00842562"/>
    <w:rsid w:val="00850E56"/>
    <w:rsid w:val="008862BF"/>
    <w:rsid w:val="008A3217"/>
    <w:rsid w:val="008A45F0"/>
    <w:rsid w:val="008B4DB2"/>
    <w:rsid w:val="008C3937"/>
    <w:rsid w:val="008D2A12"/>
    <w:rsid w:val="008D4E89"/>
    <w:rsid w:val="008D5C96"/>
    <w:rsid w:val="008D6AE9"/>
    <w:rsid w:val="008E5A6A"/>
    <w:rsid w:val="008E634C"/>
    <w:rsid w:val="008F2BB9"/>
    <w:rsid w:val="009005C7"/>
    <w:rsid w:val="009010FB"/>
    <w:rsid w:val="00901B54"/>
    <w:rsid w:val="00903E6C"/>
    <w:rsid w:val="0092354B"/>
    <w:rsid w:val="00924237"/>
    <w:rsid w:val="00943244"/>
    <w:rsid w:val="009472EA"/>
    <w:rsid w:val="00950B52"/>
    <w:rsid w:val="00972E42"/>
    <w:rsid w:val="00987B35"/>
    <w:rsid w:val="009A2540"/>
    <w:rsid w:val="009A2D48"/>
    <w:rsid w:val="009A319C"/>
    <w:rsid w:val="009A4649"/>
    <w:rsid w:val="009A62F4"/>
    <w:rsid w:val="009B74E5"/>
    <w:rsid w:val="009C14C9"/>
    <w:rsid w:val="009C45DD"/>
    <w:rsid w:val="009D1160"/>
    <w:rsid w:val="009D1D29"/>
    <w:rsid w:val="009E026B"/>
    <w:rsid w:val="009E373D"/>
    <w:rsid w:val="009E441F"/>
    <w:rsid w:val="009E7045"/>
    <w:rsid w:val="009F0FFA"/>
    <w:rsid w:val="009F69C1"/>
    <w:rsid w:val="00A12BB9"/>
    <w:rsid w:val="00A14FD1"/>
    <w:rsid w:val="00A213B1"/>
    <w:rsid w:val="00A2681F"/>
    <w:rsid w:val="00A31DFF"/>
    <w:rsid w:val="00A368C1"/>
    <w:rsid w:val="00A552D7"/>
    <w:rsid w:val="00A60694"/>
    <w:rsid w:val="00A63C6A"/>
    <w:rsid w:val="00A71CF5"/>
    <w:rsid w:val="00A82204"/>
    <w:rsid w:val="00A9185D"/>
    <w:rsid w:val="00A922E5"/>
    <w:rsid w:val="00A94B7A"/>
    <w:rsid w:val="00A97B5F"/>
    <w:rsid w:val="00AB4DB4"/>
    <w:rsid w:val="00AB712D"/>
    <w:rsid w:val="00AD7231"/>
    <w:rsid w:val="00AE0361"/>
    <w:rsid w:val="00AE51F4"/>
    <w:rsid w:val="00B009F7"/>
    <w:rsid w:val="00B21AD5"/>
    <w:rsid w:val="00B45A98"/>
    <w:rsid w:val="00B5158C"/>
    <w:rsid w:val="00B53A9B"/>
    <w:rsid w:val="00B55364"/>
    <w:rsid w:val="00B754BB"/>
    <w:rsid w:val="00B7744D"/>
    <w:rsid w:val="00B93C02"/>
    <w:rsid w:val="00B95357"/>
    <w:rsid w:val="00B958E1"/>
    <w:rsid w:val="00BA0BE0"/>
    <w:rsid w:val="00BA19CA"/>
    <w:rsid w:val="00BC25E2"/>
    <w:rsid w:val="00BC4CBF"/>
    <w:rsid w:val="00BC5831"/>
    <w:rsid w:val="00BD5370"/>
    <w:rsid w:val="00BF7348"/>
    <w:rsid w:val="00C00C49"/>
    <w:rsid w:val="00C048A0"/>
    <w:rsid w:val="00C04D0A"/>
    <w:rsid w:val="00C13DDB"/>
    <w:rsid w:val="00C20B97"/>
    <w:rsid w:val="00C25503"/>
    <w:rsid w:val="00C263EA"/>
    <w:rsid w:val="00C3091E"/>
    <w:rsid w:val="00C34DC7"/>
    <w:rsid w:val="00C45249"/>
    <w:rsid w:val="00C53E6B"/>
    <w:rsid w:val="00C55199"/>
    <w:rsid w:val="00C65487"/>
    <w:rsid w:val="00C66C47"/>
    <w:rsid w:val="00C827B4"/>
    <w:rsid w:val="00C82954"/>
    <w:rsid w:val="00C846D3"/>
    <w:rsid w:val="00C84F74"/>
    <w:rsid w:val="00C8603C"/>
    <w:rsid w:val="00C9464C"/>
    <w:rsid w:val="00C9739A"/>
    <w:rsid w:val="00CA1227"/>
    <w:rsid w:val="00CA3262"/>
    <w:rsid w:val="00CC50E4"/>
    <w:rsid w:val="00CE01D7"/>
    <w:rsid w:val="00CE5C51"/>
    <w:rsid w:val="00CE6687"/>
    <w:rsid w:val="00CF5729"/>
    <w:rsid w:val="00CF6692"/>
    <w:rsid w:val="00CF6A17"/>
    <w:rsid w:val="00D07A74"/>
    <w:rsid w:val="00D1073A"/>
    <w:rsid w:val="00D2602B"/>
    <w:rsid w:val="00D263C6"/>
    <w:rsid w:val="00D27167"/>
    <w:rsid w:val="00D56332"/>
    <w:rsid w:val="00D622DF"/>
    <w:rsid w:val="00D81885"/>
    <w:rsid w:val="00D9266C"/>
    <w:rsid w:val="00DA0443"/>
    <w:rsid w:val="00DC1430"/>
    <w:rsid w:val="00DC214D"/>
    <w:rsid w:val="00DC6650"/>
    <w:rsid w:val="00DE043E"/>
    <w:rsid w:val="00DF0AF8"/>
    <w:rsid w:val="00E0080B"/>
    <w:rsid w:val="00E0212E"/>
    <w:rsid w:val="00E03F63"/>
    <w:rsid w:val="00E07FE9"/>
    <w:rsid w:val="00E113FB"/>
    <w:rsid w:val="00E1526C"/>
    <w:rsid w:val="00E15507"/>
    <w:rsid w:val="00E17177"/>
    <w:rsid w:val="00E31E69"/>
    <w:rsid w:val="00E3349A"/>
    <w:rsid w:val="00E34640"/>
    <w:rsid w:val="00E35A25"/>
    <w:rsid w:val="00E4711F"/>
    <w:rsid w:val="00E47924"/>
    <w:rsid w:val="00E5006D"/>
    <w:rsid w:val="00E51DD3"/>
    <w:rsid w:val="00E53900"/>
    <w:rsid w:val="00E62255"/>
    <w:rsid w:val="00E7357B"/>
    <w:rsid w:val="00E74BCA"/>
    <w:rsid w:val="00E74D11"/>
    <w:rsid w:val="00E76B9F"/>
    <w:rsid w:val="00E9081F"/>
    <w:rsid w:val="00E9185A"/>
    <w:rsid w:val="00EA1A34"/>
    <w:rsid w:val="00EA6DE3"/>
    <w:rsid w:val="00EB743B"/>
    <w:rsid w:val="00ED22FD"/>
    <w:rsid w:val="00EE0839"/>
    <w:rsid w:val="00EF4602"/>
    <w:rsid w:val="00EF77D8"/>
    <w:rsid w:val="00F007B0"/>
    <w:rsid w:val="00F06F1D"/>
    <w:rsid w:val="00F117B2"/>
    <w:rsid w:val="00F1386F"/>
    <w:rsid w:val="00F14F2B"/>
    <w:rsid w:val="00F31FEF"/>
    <w:rsid w:val="00F337AB"/>
    <w:rsid w:val="00F64B26"/>
    <w:rsid w:val="00F777EF"/>
    <w:rsid w:val="00F87283"/>
    <w:rsid w:val="00F90ED7"/>
    <w:rsid w:val="00FA035E"/>
    <w:rsid w:val="00FA0DAC"/>
    <w:rsid w:val="00FA1399"/>
    <w:rsid w:val="00FA182F"/>
    <w:rsid w:val="00FA2888"/>
    <w:rsid w:val="00FA5FD2"/>
    <w:rsid w:val="00FC106E"/>
    <w:rsid w:val="00FC7EB7"/>
    <w:rsid w:val="00FD058F"/>
    <w:rsid w:val="00FD597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6C7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976E9"/>
    <w:pPr>
      <w:suppressAutoHyphens/>
      <w:spacing w:after="0" w:line="240" w:lineRule="auto"/>
    </w:pPr>
    <w:rPr>
      <w:rFonts w:asciiTheme="majorHAnsi" w:eastAsia="Calibri" w:hAnsiTheme="majorHAnsi"/>
      <w:color w:val="00000A"/>
      <w:sz w:val="20"/>
      <w:szCs w:val="20"/>
      <w:lang w:val="it-IT"/>
    </w:rPr>
  </w:style>
  <w:style w:type="paragraph" w:styleId="Heading1">
    <w:name w:val="heading 1"/>
    <w:basedOn w:val="Normal"/>
    <w:link w:val="Heading1Char"/>
    <w:qFormat/>
    <w:rsid w:val="004976E9"/>
    <w:pPr>
      <w:keepNext/>
      <w:keepLines/>
      <w:spacing w:before="480" w:after="240"/>
      <w:outlineLvl w:val="0"/>
    </w:pPr>
    <w:rPr>
      <w:rFonts w:ascii="Arial" w:eastAsiaTheme="majorEastAsia" w:hAnsi="Arial" w:cstheme="majorBidi"/>
      <w:b/>
      <w:caps/>
      <w:color w:val="000000" w:themeColor="text1"/>
      <w:szCs w:val="32"/>
    </w:rPr>
  </w:style>
  <w:style w:type="paragraph" w:styleId="Heading2">
    <w:name w:val="heading 2"/>
    <w:basedOn w:val="Normal"/>
    <w:link w:val="Heading2Char"/>
    <w:qFormat/>
    <w:rsid w:val="004976E9"/>
    <w:pPr>
      <w:keepNext/>
      <w:keepLines/>
      <w:spacing w:before="120" w:after="120"/>
      <w:outlineLvl w:val="1"/>
    </w:pPr>
    <w:rPr>
      <w:rFonts w:ascii="Arial" w:eastAsiaTheme="majorEastAsia" w:hAnsi="Arial" w:cstheme="majorBidi"/>
      <w:b/>
      <w:bCs/>
      <w:color w:val="000000" w:themeColor="text1"/>
      <w:szCs w:val="26"/>
    </w:rPr>
  </w:style>
  <w:style w:type="paragraph" w:styleId="Heading3">
    <w:name w:val="heading 3"/>
    <w:basedOn w:val="Normal"/>
    <w:link w:val="Heading3Char"/>
    <w:qFormat/>
    <w:rsid w:val="004976E9"/>
    <w:pPr>
      <w:keepNext/>
      <w:keepLines/>
      <w:spacing w:before="120" w:after="120"/>
      <w:outlineLvl w:val="2"/>
    </w:pPr>
    <w:rPr>
      <w:rFonts w:ascii="Arial" w:eastAsiaTheme="majorEastAsia" w:hAnsi="Arial" w:cstheme="majorBidi"/>
      <w:b/>
      <w:bCs/>
      <w:i/>
      <w:color w:val="000000" w:themeColor="text1"/>
    </w:rPr>
  </w:style>
  <w:style w:type="paragraph" w:styleId="Heading4">
    <w:name w:val="heading 4"/>
    <w:basedOn w:val="Normal"/>
    <w:link w:val="Heading4Char"/>
    <w:qFormat/>
    <w:rsid w:val="004976E9"/>
    <w:pPr>
      <w:keepNext/>
      <w:keepLines/>
      <w:spacing w:before="200"/>
      <w:outlineLvl w:val="3"/>
    </w:pPr>
    <w:rPr>
      <w:rFonts w:eastAsiaTheme="majorEastAsia" w:cstheme="majorBidi"/>
      <w:bCs/>
      <w:iCs/>
      <w:color w:val="000000" w:themeColor="text1"/>
    </w:rPr>
  </w:style>
  <w:style w:type="paragraph" w:styleId="Heading5">
    <w:name w:val="heading 5"/>
    <w:basedOn w:val="Normal"/>
    <w:link w:val="Heading5Char"/>
    <w:qFormat/>
    <w:rsid w:val="004976E9"/>
    <w:pPr>
      <w:keepNext/>
      <w:keepLines/>
      <w:spacing w:before="200"/>
      <w:outlineLvl w:val="4"/>
    </w:pPr>
    <w:rPr>
      <w:rFonts w:eastAsiaTheme="majorEastAsia" w:cstheme="majorBidi"/>
      <w:color w:val="1F3763" w:themeColor="accent1" w:themeShade="7F"/>
    </w:rPr>
  </w:style>
  <w:style w:type="paragraph" w:styleId="Heading6">
    <w:name w:val="heading 6"/>
    <w:basedOn w:val="Normal"/>
    <w:link w:val="Heading6Char"/>
    <w:qFormat/>
    <w:rsid w:val="004976E9"/>
    <w:pPr>
      <w:keepNext/>
      <w:keepLines/>
      <w:spacing w:before="200"/>
      <w:outlineLvl w:val="5"/>
    </w:pPr>
    <w:rPr>
      <w:rFonts w:eastAsiaTheme="majorEastAsia" w:cstheme="majorBidi"/>
      <w:iCs/>
      <w:color w:val="1F3763" w:themeColor="accent1" w:themeShade="7F"/>
    </w:rPr>
  </w:style>
  <w:style w:type="paragraph" w:styleId="Heading7">
    <w:name w:val="heading 7"/>
    <w:basedOn w:val="Normal"/>
    <w:link w:val="Heading7Char"/>
    <w:qFormat/>
    <w:rsid w:val="004976E9"/>
    <w:pPr>
      <w:keepNext/>
      <w:keepLines/>
      <w:spacing w:before="200"/>
      <w:outlineLvl w:val="6"/>
    </w:pPr>
    <w:rPr>
      <w:rFonts w:eastAsiaTheme="majorEastAsia" w:cstheme="majorBidi"/>
      <w:iCs/>
      <w:color w:val="404040" w:themeColor="text1" w:themeTint="BF"/>
    </w:rPr>
  </w:style>
  <w:style w:type="paragraph" w:styleId="Heading8">
    <w:name w:val="heading 8"/>
    <w:basedOn w:val="Normal"/>
    <w:link w:val="Heading8Char"/>
    <w:qFormat/>
    <w:rsid w:val="004976E9"/>
    <w:pPr>
      <w:keepNext/>
      <w:keepLines/>
      <w:spacing w:before="200"/>
      <w:outlineLvl w:val="7"/>
    </w:pPr>
    <w:rPr>
      <w:rFonts w:eastAsiaTheme="majorEastAsia" w:cstheme="majorBidi"/>
      <w:color w:val="404040" w:themeColor="text1" w:themeTint="BF"/>
    </w:rPr>
  </w:style>
  <w:style w:type="paragraph" w:styleId="Heading9">
    <w:name w:val="heading 9"/>
    <w:basedOn w:val="Normal"/>
    <w:link w:val="Heading9Char"/>
    <w:qFormat/>
    <w:rsid w:val="004976E9"/>
    <w:pPr>
      <w:keepNext/>
      <w:keepLines/>
      <w:spacing w:before="200"/>
      <w:outlineLvl w:val="8"/>
    </w:pPr>
    <w:rPr>
      <w:rFonts w:eastAsiaTheme="majorEastAsia"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76E9"/>
    <w:rPr>
      <w:rFonts w:ascii="Arial" w:eastAsiaTheme="majorEastAsia" w:hAnsi="Arial" w:cstheme="majorBidi"/>
      <w:b/>
      <w:caps/>
      <w:color w:val="000000" w:themeColor="text1"/>
      <w:sz w:val="20"/>
      <w:szCs w:val="32"/>
      <w:lang w:val="en-GB"/>
    </w:rPr>
  </w:style>
  <w:style w:type="character" w:customStyle="1" w:styleId="Heading2Char">
    <w:name w:val="Heading 2 Char"/>
    <w:basedOn w:val="DefaultParagraphFont"/>
    <w:link w:val="Heading2"/>
    <w:rsid w:val="004976E9"/>
    <w:rPr>
      <w:rFonts w:ascii="Arial" w:eastAsiaTheme="majorEastAsia" w:hAnsi="Arial" w:cstheme="majorBidi"/>
      <w:b/>
      <w:bCs/>
      <w:color w:val="000000" w:themeColor="text1"/>
      <w:sz w:val="20"/>
      <w:szCs w:val="26"/>
      <w:lang w:val="en-GB"/>
    </w:rPr>
  </w:style>
  <w:style w:type="character" w:customStyle="1" w:styleId="Heading3Char">
    <w:name w:val="Heading 3 Char"/>
    <w:basedOn w:val="DefaultParagraphFont"/>
    <w:link w:val="Heading3"/>
    <w:rsid w:val="004976E9"/>
    <w:rPr>
      <w:rFonts w:ascii="Arial" w:eastAsiaTheme="majorEastAsia" w:hAnsi="Arial" w:cstheme="majorBidi"/>
      <w:b/>
      <w:bCs/>
      <w:i/>
      <w:color w:val="000000" w:themeColor="text1"/>
      <w:sz w:val="20"/>
      <w:szCs w:val="20"/>
      <w:lang w:val="en-GB"/>
    </w:rPr>
  </w:style>
  <w:style w:type="character" w:customStyle="1" w:styleId="Heading4Char">
    <w:name w:val="Heading 4 Char"/>
    <w:basedOn w:val="DefaultParagraphFont"/>
    <w:link w:val="Heading4"/>
    <w:rsid w:val="004976E9"/>
    <w:rPr>
      <w:rFonts w:asciiTheme="majorHAnsi" w:eastAsiaTheme="majorEastAsia" w:hAnsiTheme="majorHAnsi" w:cstheme="majorBidi"/>
      <w:bCs/>
      <w:iCs/>
      <w:color w:val="000000" w:themeColor="text1"/>
      <w:sz w:val="20"/>
      <w:szCs w:val="20"/>
      <w:lang w:val="en-GB"/>
    </w:rPr>
  </w:style>
  <w:style w:type="character" w:customStyle="1" w:styleId="Heading5Char">
    <w:name w:val="Heading 5 Char"/>
    <w:basedOn w:val="DefaultParagraphFont"/>
    <w:link w:val="Heading5"/>
    <w:rsid w:val="004976E9"/>
    <w:rPr>
      <w:rFonts w:asciiTheme="majorHAnsi" w:eastAsiaTheme="majorEastAsia" w:hAnsiTheme="majorHAnsi" w:cstheme="majorBidi"/>
      <w:color w:val="1F3763" w:themeColor="accent1" w:themeShade="7F"/>
      <w:sz w:val="20"/>
      <w:szCs w:val="20"/>
      <w:lang w:val="en-GB"/>
    </w:rPr>
  </w:style>
  <w:style w:type="character" w:customStyle="1" w:styleId="Heading6Char">
    <w:name w:val="Heading 6 Char"/>
    <w:basedOn w:val="DefaultParagraphFont"/>
    <w:link w:val="Heading6"/>
    <w:rsid w:val="004976E9"/>
    <w:rPr>
      <w:rFonts w:asciiTheme="majorHAnsi" w:eastAsiaTheme="majorEastAsia" w:hAnsiTheme="majorHAnsi" w:cstheme="majorBidi"/>
      <w:iCs/>
      <w:color w:val="1F3763" w:themeColor="accent1" w:themeShade="7F"/>
      <w:sz w:val="20"/>
      <w:szCs w:val="20"/>
      <w:lang w:val="en-GB"/>
    </w:rPr>
  </w:style>
  <w:style w:type="character" w:customStyle="1" w:styleId="Heading7Char">
    <w:name w:val="Heading 7 Char"/>
    <w:basedOn w:val="DefaultParagraphFont"/>
    <w:link w:val="Heading7"/>
    <w:rsid w:val="004976E9"/>
    <w:rPr>
      <w:rFonts w:asciiTheme="majorHAnsi" w:eastAsiaTheme="majorEastAsia" w:hAnsiTheme="majorHAnsi" w:cstheme="majorBidi"/>
      <w:iCs/>
      <w:color w:val="404040" w:themeColor="text1" w:themeTint="BF"/>
      <w:sz w:val="20"/>
      <w:szCs w:val="20"/>
      <w:lang w:val="en-GB"/>
    </w:rPr>
  </w:style>
  <w:style w:type="character" w:customStyle="1" w:styleId="Heading8Char">
    <w:name w:val="Heading 8 Char"/>
    <w:basedOn w:val="DefaultParagraphFont"/>
    <w:link w:val="Heading8"/>
    <w:rsid w:val="004976E9"/>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rsid w:val="004976E9"/>
    <w:rPr>
      <w:rFonts w:asciiTheme="majorHAnsi" w:eastAsiaTheme="majorEastAsia" w:hAnsiTheme="majorHAnsi" w:cstheme="majorBidi"/>
      <w:iCs/>
      <w:color w:val="404040" w:themeColor="text1" w:themeTint="BF"/>
      <w:sz w:val="20"/>
      <w:szCs w:val="20"/>
      <w:lang w:val="en-GB"/>
    </w:rPr>
  </w:style>
  <w:style w:type="character" w:customStyle="1" w:styleId="BalloonTextChar">
    <w:name w:val="Balloon Text Char"/>
    <w:basedOn w:val="DefaultParagraphFont"/>
    <w:link w:val="BalloonText"/>
    <w:uiPriority w:val="99"/>
    <w:semiHidden/>
    <w:rsid w:val="004976E9"/>
    <w:rPr>
      <w:rFonts w:ascii="Tahoma" w:hAnsi="Tahoma" w:cs="Tahoma"/>
      <w:sz w:val="16"/>
      <w:szCs w:val="16"/>
    </w:rPr>
  </w:style>
  <w:style w:type="character" w:styleId="CommentReference">
    <w:name w:val="annotation reference"/>
    <w:basedOn w:val="DefaultParagraphFont"/>
    <w:unhideWhenUsed/>
    <w:rsid w:val="004976E9"/>
    <w:rPr>
      <w:sz w:val="16"/>
      <w:szCs w:val="16"/>
    </w:rPr>
  </w:style>
  <w:style w:type="character" w:customStyle="1" w:styleId="CommentTextChar">
    <w:name w:val="Comment Text Char"/>
    <w:basedOn w:val="DefaultParagraphFont"/>
    <w:link w:val="CommentText"/>
    <w:rsid w:val="004976E9"/>
    <w:rPr>
      <w:rFonts w:asciiTheme="majorHAnsi" w:hAnsiTheme="majorHAnsi"/>
      <w:sz w:val="20"/>
      <w:szCs w:val="20"/>
    </w:rPr>
  </w:style>
  <w:style w:type="character" w:customStyle="1" w:styleId="CommentSubjectChar">
    <w:name w:val="Comment Subject Char"/>
    <w:basedOn w:val="CommentTextChar"/>
    <w:link w:val="CommentSubject"/>
    <w:semiHidden/>
    <w:rsid w:val="004976E9"/>
    <w:rPr>
      <w:rFonts w:asciiTheme="majorHAnsi" w:hAnsiTheme="majorHAnsi"/>
      <w:b/>
      <w:bCs/>
      <w:sz w:val="20"/>
      <w:szCs w:val="20"/>
    </w:rPr>
  </w:style>
  <w:style w:type="character" w:customStyle="1" w:styleId="FooterChar">
    <w:name w:val="Footer Char"/>
    <w:basedOn w:val="DefaultParagraphFont"/>
    <w:link w:val="Footer"/>
    <w:uiPriority w:val="99"/>
    <w:rsid w:val="004976E9"/>
    <w:rPr>
      <w:rFonts w:asciiTheme="majorHAnsi" w:hAnsiTheme="majorHAnsi"/>
      <w:sz w:val="20"/>
      <w:szCs w:val="20"/>
    </w:rPr>
  </w:style>
  <w:style w:type="character" w:styleId="FootnoteReference">
    <w:name w:val="footnote reference"/>
    <w:basedOn w:val="DefaultParagraphFont"/>
    <w:rsid w:val="004976E9"/>
    <w:rPr>
      <w:vertAlign w:val="superscript"/>
    </w:rPr>
  </w:style>
  <w:style w:type="character" w:customStyle="1" w:styleId="FootnoteTextChar">
    <w:name w:val="Footnote Text Char"/>
    <w:basedOn w:val="DefaultParagraphFont"/>
    <w:link w:val="FootnoteText"/>
    <w:uiPriority w:val="99"/>
    <w:rsid w:val="004976E9"/>
    <w:rPr>
      <w:rFonts w:asciiTheme="majorHAnsi" w:hAnsiTheme="majorHAnsi"/>
      <w:sz w:val="18"/>
      <w:szCs w:val="20"/>
    </w:rPr>
  </w:style>
  <w:style w:type="character" w:customStyle="1" w:styleId="HeaderChar">
    <w:name w:val="Header Char"/>
    <w:basedOn w:val="DefaultParagraphFont"/>
    <w:link w:val="Header"/>
    <w:uiPriority w:val="99"/>
    <w:rsid w:val="004976E9"/>
    <w:rPr>
      <w:rFonts w:asciiTheme="majorHAnsi" w:hAnsiTheme="majorHAnsi"/>
      <w:i/>
      <w:iCs/>
      <w:sz w:val="18"/>
      <w:szCs w:val="20"/>
    </w:rPr>
  </w:style>
  <w:style w:type="character" w:customStyle="1" w:styleId="InternetLink">
    <w:name w:val="Internet Link"/>
    <w:basedOn w:val="DefaultParagraphFont"/>
    <w:rsid w:val="004976E9"/>
    <w:rPr>
      <w:color w:val="0000FF"/>
      <w:u w:val="single"/>
    </w:rPr>
  </w:style>
  <w:style w:type="character" w:styleId="PageNumber">
    <w:name w:val="page number"/>
    <w:basedOn w:val="DefaultParagraphFont"/>
    <w:unhideWhenUsed/>
    <w:rsid w:val="004976E9"/>
  </w:style>
  <w:style w:type="character" w:customStyle="1" w:styleId="SubtitleChar">
    <w:name w:val="Subtitle Char"/>
    <w:basedOn w:val="DefaultParagraphFont"/>
    <w:link w:val="Subtitle"/>
    <w:uiPriority w:val="11"/>
    <w:rsid w:val="004976E9"/>
    <w:rPr>
      <w:rFonts w:eastAsiaTheme="minorEastAsia" w:cstheme="majorBidi"/>
      <w:b/>
      <w:caps/>
      <w:color w:val="5A5A5A" w:themeColor="text1" w:themeTint="A5"/>
      <w:spacing w:val="15"/>
      <w:sz w:val="20"/>
    </w:rPr>
  </w:style>
  <w:style w:type="character" w:customStyle="1" w:styleId="TitleChar">
    <w:name w:val="Title Char"/>
    <w:basedOn w:val="DefaultParagraphFont"/>
    <w:link w:val="Title"/>
    <w:uiPriority w:val="9"/>
    <w:rsid w:val="004976E9"/>
    <w:rPr>
      <w:rFonts w:ascii="Arial" w:eastAsiaTheme="majorEastAsia" w:hAnsi="Arial" w:cstheme="majorBidi"/>
      <w:b/>
      <w:caps/>
      <w:sz w:val="20"/>
      <w:szCs w:val="52"/>
    </w:rPr>
  </w:style>
  <w:style w:type="character" w:customStyle="1" w:styleId="Menzionenonrisolta1">
    <w:name w:val="Menzione non risolta1"/>
    <w:basedOn w:val="DefaultParagraphFont"/>
    <w:uiPriority w:val="99"/>
    <w:semiHidden/>
    <w:unhideWhenUsed/>
    <w:rsid w:val="004976E9"/>
    <w:rPr>
      <w:color w:val="808080"/>
      <w:shd w:val="clear" w:color="auto" w:fill="E6E6E6"/>
    </w:rPr>
  </w:style>
  <w:style w:type="character" w:customStyle="1" w:styleId="Heading1Char1">
    <w:name w:val="Heading 1 Char1"/>
    <w:uiPriority w:val="9"/>
    <w:rsid w:val="004976E9"/>
    <w:rPr>
      <w:rFonts w:ascii="Arial" w:hAnsi="Arial" w:cs="Arial"/>
      <w:b/>
      <w:bCs/>
      <w:sz w:val="22"/>
      <w:szCs w:val="24"/>
      <w:lang w:val="en-GB" w:eastAsia="en-US"/>
    </w:rPr>
  </w:style>
  <w:style w:type="character" w:customStyle="1" w:styleId="Heading2Char1">
    <w:name w:val="Heading 2 Char1"/>
    <w:rsid w:val="004976E9"/>
    <w:rPr>
      <w:rFonts w:ascii="Arial" w:hAnsi="Arial"/>
      <w:b/>
      <w:bCs/>
      <w:iCs/>
      <w:sz w:val="18"/>
      <w:szCs w:val="28"/>
      <w:lang w:val="en-GB" w:eastAsia="en-US"/>
    </w:rPr>
  </w:style>
  <w:style w:type="character" w:customStyle="1" w:styleId="Heading3Char1">
    <w:name w:val="Heading 3 Char1"/>
    <w:rsid w:val="004976E9"/>
    <w:rPr>
      <w:rFonts w:ascii="Arial" w:hAnsi="Arial"/>
      <w:b/>
      <w:bCs/>
      <w:sz w:val="18"/>
      <w:szCs w:val="26"/>
      <w:lang w:val="en-GB" w:eastAsia="en-US"/>
    </w:rPr>
  </w:style>
  <w:style w:type="character" w:customStyle="1" w:styleId="Heading8Char2">
    <w:name w:val="Heading 8 Char2"/>
    <w:rsid w:val="004976E9"/>
    <w:rPr>
      <w:rFonts w:ascii="Verdana" w:hAnsi="Verdana"/>
      <w:i/>
      <w:iCs/>
      <w:sz w:val="24"/>
      <w:szCs w:val="24"/>
      <w:lang w:val="lt-LT"/>
    </w:rPr>
  </w:style>
  <w:style w:type="character" w:customStyle="1" w:styleId="HeaderChar1">
    <w:name w:val="Header Char1"/>
    <w:uiPriority w:val="99"/>
    <w:semiHidden/>
    <w:rsid w:val="004976E9"/>
    <w:rPr>
      <w:sz w:val="24"/>
      <w:szCs w:val="24"/>
      <w:lang w:val="en-GB"/>
    </w:rPr>
  </w:style>
  <w:style w:type="character" w:styleId="Strong">
    <w:name w:val="Strong"/>
    <w:qFormat/>
    <w:rsid w:val="004976E9"/>
    <w:rPr>
      <w:b/>
      <w:bCs/>
    </w:rPr>
  </w:style>
  <w:style w:type="character" w:customStyle="1" w:styleId="vcbrt1">
    <w:name w:val="vcb_rt1"/>
    <w:rsid w:val="004976E9"/>
    <w:rPr>
      <w:rFonts w:ascii="Arial" w:hAnsi="Arial"/>
      <w:color w:val="008000"/>
      <w:sz w:val="20"/>
      <w:u w:val="none"/>
    </w:rPr>
  </w:style>
  <w:style w:type="character" w:customStyle="1" w:styleId="FontStyle20">
    <w:name w:val="Font Style20"/>
    <w:rsid w:val="004976E9"/>
    <w:rPr>
      <w:rFonts w:ascii="Times New Roman" w:hAnsi="Times New Roman" w:cs="Times New Roman"/>
      <w:sz w:val="22"/>
      <w:szCs w:val="22"/>
    </w:rPr>
  </w:style>
  <w:style w:type="character" w:customStyle="1" w:styleId="FontStyle18">
    <w:name w:val="Font Style18"/>
    <w:rsid w:val="004976E9"/>
    <w:rPr>
      <w:rFonts w:ascii="Times New Roman" w:hAnsi="Times New Roman" w:cs="Times New Roman"/>
      <w:sz w:val="22"/>
      <w:szCs w:val="22"/>
    </w:rPr>
  </w:style>
  <w:style w:type="character" w:customStyle="1" w:styleId="BodyText2Char">
    <w:name w:val="Body Text 2 Char"/>
    <w:basedOn w:val="DefaultParagraphFont"/>
    <w:link w:val="BodyText2"/>
    <w:rsid w:val="004976E9"/>
    <w:rPr>
      <w:rFonts w:ascii="Times" w:eastAsia="Times New Roman" w:hAnsi="Times" w:cs="Times New Roman"/>
      <w:sz w:val="24"/>
      <w:szCs w:val="20"/>
    </w:rPr>
  </w:style>
  <w:style w:type="character" w:customStyle="1" w:styleId="IPObodytextChar">
    <w:name w:val="IPO_body_text Char"/>
    <w:link w:val="IPObodytext"/>
    <w:rsid w:val="004976E9"/>
    <w:rPr>
      <w:rFonts w:ascii="Arial" w:eastAsia="Times New Roman" w:hAnsi="Arial" w:cs="Times New Roman"/>
      <w:color w:val="231F20"/>
      <w:sz w:val="17"/>
      <w:szCs w:val="17"/>
      <w:lang w:eastAsia="lt-LT"/>
    </w:rPr>
  </w:style>
  <w:style w:type="character" w:customStyle="1" w:styleId="datametai">
    <w:name w:val="datametai"/>
    <w:basedOn w:val="DefaultParagraphFont"/>
    <w:rsid w:val="004976E9"/>
  </w:style>
  <w:style w:type="character" w:customStyle="1" w:styleId="FontStyle19">
    <w:name w:val="Font Style19"/>
    <w:rsid w:val="004976E9"/>
    <w:rPr>
      <w:rFonts w:ascii="Times New Roman" w:hAnsi="Times New Roman" w:cs="Times New Roman"/>
      <w:b/>
      <w:bCs/>
      <w:sz w:val="22"/>
      <w:szCs w:val="22"/>
    </w:rPr>
  </w:style>
  <w:style w:type="character" w:customStyle="1" w:styleId="BodyTextChar">
    <w:name w:val="Body Text Char"/>
    <w:basedOn w:val="DefaultParagraphFont"/>
    <w:rsid w:val="004976E9"/>
    <w:rPr>
      <w:rFonts w:asciiTheme="majorHAnsi" w:hAnsiTheme="majorHAnsi"/>
      <w:sz w:val="20"/>
      <w:szCs w:val="20"/>
    </w:rPr>
  </w:style>
  <w:style w:type="character" w:customStyle="1" w:styleId="CorpotestoCarattere">
    <w:name w:val="Corpo testo Carattere"/>
    <w:link w:val="TextBody"/>
    <w:uiPriority w:val="99"/>
    <w:rsid w:val="004976E9"/>
    <w:rPr>
      <w:rFonts w:ascii="Calibri" w:eastAsia="Calibri" w:hAnsi="Calibri" w:cs="Times New Roman"/>
      <w:lang w:val="lt-LT"/>
    </w:rPr>
  </w:style>
  <w:style w:type="character" w:customStyle="1" w:styleId="longtext">
    <w:name w:val="long_text"/>
    <w:basedOn w:val="DefaultParagraphFont"/>
    <w:rsid w:val="004976E9"/>
  </w:style>
  <w:style w:type="character" w:customStyle="1" w:styleId="BMHEADING2Char">
    <w:name w:val="B&amp;M HEADING 2 Char"/>
    <w:link w:val="BMHEADING2"/>
    <w:locked/>
    <w:rsid w:val="004976E9"/>
    <w:rPr>
      <w:rFonts w:ascii="Times New Roman" w:eastAsia="Batang" w:hAnsi="Times New Roman" w:cs="Times New Roman"/>
      <w:b/>
      <w:sz w:val="20"/>
      <w:szCs w:val="20"/>
    </w:rPr>
  </w:style>
  <w:style w:type="character" w:customStyle="1" w:styleId="Heading8Char1">
    <w:name w:val="Heading 8 Char1"/>
    <w:locked/>
    <w:rsid w:val="004976E9"/>
    <w:rPr>
      <w:b/>
      <w:lang w:val="en-GB" w:eastAsia="en-US" w:bidi="ar-SA"/>
    </w:rPr>
  </w:style>
  <w:style w:type="character" w:customStyle="1" w:styleId="BodyText3Char">
    <w:name w:val="Body Text 3 Char"/>
    <w:basedOn w:val="DefaultParagraphFont"/>
    <w:link w:val="BodyText3"/>
    <w:rsid w:val="004976E9"/>
    <w:rPr>
      <w:rFonts w:ascii="Times New Roman" w:eastAsia="Times New Roman" w:hAnsi="Times New Roman" w:cs="Times New Roman"/>
      <w:color w:val="000000"/>
      <w:sz w:val="18"/>
      <w:szCs w:val="20"/>
    </w:rPr>
  </w:style>
  <w:style w:type="character" w:customStyle="1" w:styleId="BodyTextIndent3Char">
    <w:name w:val="Body Text Indent 3 Char"/>
    <w:basedOn w:val="DefaultParagraphFont"/>
    <w:link w:val="BodyTextIndent3"/>
    <w:rsid w:val="004976E9"/>
    <w:rPr>
      <w:rFonts w:ascii="Times New Roman" w:eastAsia="Times New Roman" w:hAnsi="Times New Roman" w:cs="Times New Roman"/>
      <w:sz w:val="18"/>
      <w:szCs w:val="20"/>
    </w:rPr>
  </w:style>
  <w:style w:type="character" w:customStyle="1" w:styleId="RRthousandsChar">
    <w:name w:val="RR thousands Char"/>
    <w:link w:val="RRthousands"/>
    <w:locked/>
    <w:rsid w:val="004976E9"/>
    <w:rPr>
      <w:rFonts w:ascii="Arial" w:eastAsia="Times New Roman" w:hAnsi="Arial" w:cs="Arial"/>
      <w:i/>
      <w:sz w:val="16"/>
      <w:szCs w:val="20"/>
    </w:rPr>
  </w:style>
  <w:style w:type="character" w:customStyle="1" w:styleId="ABC-paragrahinNotesChar">
    <w:name w:val="ABC - paragrah in Notes Char"/>
    <w:locked/>
    <w:rsid w:val="004976E9"/>
    <w:rPr>
      <w:rFonts w:ascii="Arial" w:eastAsia="Times New Roman" w:hAnsi="Arial" w:cs="Times New Roman"/>
      <w:sz w:val="18"/>
      <w:szCs w:val="20"/>
    </w:rPr>
  </w:style>
  <w:style w:type="character" w:customStyle="1" w:styleId="NormalWeb2Char">
    <w:name w:val="Normal (Web)2 Char"/>
    <w:link w:val="NormalWeb2"/>
    <w:locked/>
    <w:rsid w:val="004976E9"/>
    <w:rPr>
      <w:rFonts w:ascii="Arial" w:eastAsia="Times New Roman" w:hAnsi="Arial" w:cs="Times New Roman"/>
      <w:sz w:val="24"/>
      <w:szCs w:val="24"/>
      <w:lang w:val="lt-LT" w:eastAsia="lt-LT"/>
    </w:rPr>
  </w:style>
  <w:style w:type="character" w:styleId="Emphasis">
    <w:name w:val="Emphasis"/>
    <w:uiPriority w:val="20"/>
    <w:qFormat/>
    <w:rsid w:val="004976E9"/>
    <w:rPr>
      <w:rFonts w:ascii="Times New Roman" w:hAnsi="Times New Roman" w:cs="Times New Roman"/>
      <w:b/>
      <w:bCs/>
      <w:i/>
      <w:iCs/>
      <w:color w:val="002776"/>
      <w:sz w:val="22"/>
      <w:szCs w:val="22"/>
    </w:rPr>
  </w:style>
  <w:style w:type="character" w:customStyle="1" w:styleId="MacroTextChar">
    <w:name w:val="Macro Text Char"/>
    <w:basedOn w:val="DefaultParagraphFont"/>
    <w:link w:val="MacroText"/>
    <w:semiHidden/>
    <w:rsid w:val="004976E9"/>
    <w:rPr>
      <w:rFonts w:ascii="Arial" w:eastAsia="Times New Roman" w:hAnsi="Arial" w:cs="Times New Roman"/>
      <w:sz w:val="20"/>
      <w:szCs w:val="20"/>
    </w:rPr>
  </w:style>
  <w:style w:type="character" w:customStyle="1" w:styleId="mw-headline">
    <w:name w:val="mw-headline"/>
    <w:rsid w:val="004976E9"/>
    <w:rPr>
      <w:rFonts w:cs="Times New Roman"/>
    </w:rPr>
  </w:style>
  <w:style w:type="character" w:customStyle="1" w:styleId="i1searchhl1">
    <w:name w:val="i1_searchhl1"/>
    <w:rsid w:val="004976E9"/>
    <w:rPr>
      <w:rFonts w:cs="Times New Roman"/>
      <w:shd w:val="clear" w:color="auto" w:fill="FFFF00"/>
    </w:rPr>
  </w:style>
  <w:style w:type="character" w:styleId="FollowedHyperlink">
    <w:name w:val="FollowedHyperlink"/>
    <w:rsid w:val="004976E9"/>
    <w:rPr>
      <w:color w:val="800080"/>
      <w:u w:val="single"/>
    </w:rPr>
  </w:style>
  <w:style w:type="character" w:customStyle="1" w:styleId="DeltaViewInsertion">
    <w:name w:val="DeltaView Insertion"/>
    <w:rsid w:val="004976E9"/>
    <w:rPr>
      <w:color w:val="0000FF"/>
      <w:u w:val="double"/>
    </w:rPr>
  </w:style>
  <w:style w:type="character" w:customStyle="1" w:styleId="DeltaViewDeletion">
    <w:name w:val="DeltaView Deletion"/>
    <w:rsid w:val="004976E9"/>
    <w:rPr>
      <w:strike/>
      <w:color w:val="FF0000"/>
    </w:rPr>
  </w:style>
  <w:style w:type="character" w:customStyle="1" w:styleId="DeltaViewMoveDestination">
    <w:name w:val="DeltaView Move Destination"/>
    <w:rsid w:val="004976E9"/>
    <w:rPr>
      <w:color w:val="00C000"/>
      <w:u w:val="double"/>
    </w:rPr>
  </w:style>
  <w:style w:type="character" w:customStyle="1" w:styleId="CharChar17">
    <w:name w:val="Char Char17"/>
    <w:rsid w:val="004976E9"/>
    <w:rPr>
      <w:rFonts w:ascii="Arial" w:hAnsi="Arial"/>
      <w:b/>
      <w:bCs/>
      <w:sz w:val="18"/>
      <w:szCs w:val="28"/>
      <w:lang w:val="en-GB" w:eastAsia="en-US"/>
    </w:rPr>
  </w:style>
  <w:style w:type="character" w:customStyle="1" w:styleId="PlainTextChar">
    <w:name w:val="Plain Text Char"/>
    <w:basedOn w:val="DefaultParagraphFont"/>
    <w:link w:val="PlainText"/>
    <w:rsid w:val="004976E9"/>
    <w:rPr>
      <w:rFonts w:ascii="Courier New" w:eastAsia="Times New Roman" w:hAnsi="Courier New" w:cs="Courier New"/>
      <w:sz w:val="20"/>
      <w:szCs w:val="20"/>
      <w:lang w:val="lt-LT" w:eastAsia="lt-LT"/>
    </w:rPr>
  </w:style>
  <w:style w:type="character" w:customStyle="1" w:styleId="h2Before0ptChar">
    <w:name w:val="h2 + Before:  0 pt Char"/>
    <w:rsid w:val="004976E9"/>
    <w:rPr>
      <w:rFonts w:ascii="Arial" w:hAnsi="Arial"/>
      <w:b/>
      <w:bCs/>
      <w:iCs/>
      <w:sz w:val="18"/>
      <w:szCs w:val="28"/>
      <w:lang w:val="en-GB" w:eastAsia="en-US"/>
    </w:rPr>
  </w:style>
  <w:style w:type="character" w:customStyle="1" w:styleId="CharChar19">
    <w:name w:val="Char Char19"/>
    <w:rsid w:val="004976E9"/>
    <w:rPr>
      <w:rFonts w:ascii="Arial" w:hAnsi="Arial"/>
      <w:b/>
      <w:bCs/>
      <w:sz w:val="18"/>
      <w:szCs w:val="26"/>
      <w:lang w:val="en-GB" w:eastAsia="en-US"/>
    </w:rPr>
  </w:style>
  <w:style w:type="character" w:customStyle="1" w:styleId="CharChar18">
    <w:name w:val="Char Char18"/>
    <w:rsid w:val="004976E9"/>
    <w:rPr>
      <w:rFonts w:ascii="Arial" w:hAnsi="Arial"/>
      <w:b/>
      <w:bCs/>
      <w:sz w:val="18"/>
      <w:szCs w:val="28"/>
      <w:lang w:val="en-GB" w:eastAsia="en-US"/>
    </w:rPr>
  </w:style>
  <w:style w:type="character" w:customStyle="1" w:styleId="CharChar16">
    <w:name w:val="Char Char16"/>
    <w:rsid w:val="004976E9"/>
    <w:rPr>
      <w:rFonts w:ascii="Arial" w:hAnsi="Arial"/>
      <w:b/>
      <w:bCs/>
      <w:iCs/>
      <w:sz w:val="18"/>
      <w:szCs w:val="26"/>
      <w:lang w:eastAsia="en-US"/>
    </w:rPr>
  </w:style>
  <w:style w:type="character" w:customStyle="1" w:styleId="CharChar15">
    <w:name w:val="Char Char15"/>
    <w:rsid w:val="004976E9"/>
    <w:rPr>
      <w:rFonts w:ascii="Verdana" w:hAnsi="Verdana"/>
      <w:b/>
      <w:bCs/>
      <w:sz w:val="22"/>
      <w:szCs w:val="22"/>
      <w:lang w:val="lt-LT"/>
    </w:rPr>
  </w:style>
  <w:style w:type="character" w:customStyle="1" w:styleId="Heading3Left0cmBefore6ptBoldBoldBoldBoldBoldBoCharChar1">
    <w:name w:val="Heading 3 + Left:  0 cm.Before:  6 pt + Bold + Bold + Bold + Bold + Bold + Bo... Char Char1"/>
    <w:link w:val="Heading3Left0cm"/>
    <w:rsid w:val="004976E9"/>
    <w:rPr>
      <w:rFonts w:ascii="Arial" w:eastAsia="Times New Roman" w:hAnsi="Arial" w:cs="Times New Roman"/>
      <w:sz w:val="18"/>
      <w:szCs w:val="24"/>
      <w:lang w:val="lt-LT"/>
    </w:rPr>
  </w:style>
  <w:style w:type="character" w:customStyle="1" w:styleId="apple-style-span">
    <w:name w:val="apple-style-span"/>
    <w:rsid w:val="004976E9"/>
    <w:rPr>
      <w:rFonts w:cs="Times New Roman"/>
    </w:rPr>
  </w:style>
  <w:style w:type="character" w:customStyle="1" w:styleId="FontStyle169">
    <w:name w:val="Font Style169"/>
    <w:uiPriority w:val="99"/>
    <w:rsid w:val="004976E9"/>
    <w:rPr>
      <w:rFonts w:ascii="Times New Roman" w:hAnsi="Times New Roman" w:cs="Times New Roman"/>
      <w:sz w:val="20"/>
      <w:szCs w:val="20"/>
    </w:rPr>
  </w:style>
  <w:style w:type="character" w:customStyle="1" w:styleId="BMBodyTextChar">
    <w:name w:val="B&amp;M Body Text Char"/>
    <w:link w:val="BMBodyText"/>
    <w:rsid w:val="004976E9"/>
    <w:rPr>
      <w:rFonts w:ascii="Times New Roman" w:eastAsia="Times New Roman" w:hAnsi="Times New Roman" w:cs="Times New Roman"/>
      <w:bCs/>
      <w:sz w:val="20"/>
      <w:szCs w:val="24"/>
      <w:lang w:val="en-US"/>
    </w:rPr>
  </w:style>
  <w:style w:type="character" w:customStyle="1" w:styleId="BMBulletCharChar">
    <w:name w:val="B&amp;M Bullet Char Char"/>
    <w:link w:val="BMBullet"/>
    <w:rsid w:val="004976E9"/>
    <w:rPr>
      <w:rFonts w:ascii="Times New Roman" w:eastAsia="Times New Roman" w:hAnsi="Times New Roman" w:cs="Times New Roman"/>
      <w:bCs/>
      <w:sz w:val="20"/>
      <w:szCs w:val="20"/>
      <w:lang w:val="en-US"/>
    </w:rPr>
  </w:style>
  <w:style w:type="character" w:customStyle="1" w:styleId="CommentTextChar1">
    <w:name w:val="Comment Text Char1"/>
    <w:rsid w:val="004976E9"/>
    <w:rPr>
      <w:rFonts w:eastAsia="Batang"/>
      <w:lang w:val="pl-PL" w:eastAsia="ko-KR" w:bidi="ar-SA"/>
    </w:rPr>
  </w:style>
  <w:style w:type="character" w:customStyle="1" w:styleId="BMHEADING3Char">
    <w:name w:val="B&amp;M HEADING 3 Char"/>
    <w:link w:val="BMHEADING3"/>
    <w:rsid w:val="004976E9"/>
    <w:rPr>
      <w:rFonts w:ascii="Times New Roman Bold" w:eastAsia="Times New Roman" w:hAnsi="Times New Roman Bold" w:cs="Times New Roman"/>
      <w:b/>
      <w:bCs/>
      <w:i/>
      <w:sz w:val="20"/>
      <w:szCs w:val="20"/>
      <w:lang w:val="en-US" w:eastAsia="pl-PL"/>
    </w:rPr>
  </w:style>
  <w:style w:type="character" w:customStyle="1" w:styleId="lenteliupavadinimamsChar">
    <w:name w:val="lenteliu_pavadinimams Char"/>
    <w:locked/>
    <w:rsid w:val="004976E9"/>
    <w:rPr>
      <w:rFonts w:ascii="Calibri" w:eastAsia="Times New Roman" w:hAnsi="Calibri" w:cs="Times New Roman"/>
      <w:b/>
      <w:color w:val="003366"/>
      <w:sz w:val="20"/>
      <w:szCs w:val="20"/>
      <w:lang w:val="en-US"/>
    </w:rPr>
  </w:style>
  <w:style w:type="character" w:customStyle="1" w:styleId="Before6ptBoldBoldBoldBoldBoldBoCharChar">
    <w:name w:val="Before:  6 pt + Bold + Bold + Bold + Bold + Bold + Bo... Char Char"/>
    <w:basedOn w:val="DefaultParagraphFont"/>
    <w:uiPriority w:val="99"/>
    <w:locked/>
    <w:rsid w:val="004976E9"/>
    <w:rPr>
      <w:rFonts w:ascii="Arial" w:hAnsi="Arial" w:cs="Arial"/>
      <w:sz w:val="18"/>
      <w:szCs w:val="24"/>
      <w:lang w:val="lt-LT"/>
    </w:rPr>
  </w:style>
  <w:style w:type="character" w:customStyle="1" w:styleId="prospectusbodyChar">
    <w:name w:val="prospectus body Char"/>
    <w:rsid w:val="004976E9"/>
    <w:rPr>
      <w:rFonts w:ascii="Arial" w:eastAsia="Arial Unicode MS" w:hAnsi="Arial" w:cs="Arial"/>
      <w:sz w:val="18"/>
      <w:szCs w:val="24"/>
      <w:lang w:val="en-US" w:eastAsia="ko-KR"/>
    </w:rPr>
  </w:style>
  <w:style w:type="character" w:customStyle="1" w:styleId="Heading3Left0cmBefore6ptBoldBoldBoldBoldBoldBoCharChar">
    <w:name w:val="Heading 3 + Left:  0 cm.Before:  6 pt + Bold + Bold + Bold + Bold + Bold + Bo... Char Char"/>
    <w:rsid w:val="004976E9"/>
    <w:rPr>
      <w:rFonts w:ascii="Arial" w:hAnsi="Arial"/>
      <w:sz w:val="18"/>
      <w:szCs w:val="24"/>
      <w:lang w:eastAsia="en-US"/>
    </w:rPr>
  </w:style>
  <w:style w:type="character" w:customStyle="1" w:styleId="NoSpacingChar">
    <w:name w:val="No Spacing Char"/>
    <w:link w:val="NoSpacing"/>
    <w:uiPriority w:val="1"/>
    <w:rsid w:val="004976E9"/>
    <w:rPr>
      <w:rFonts w:ascii="Arial" w:hAnsi="Arial"/>
      <w:sz w:val="20"/>
      <w:szCs w:val="20"/>
    </w:rPr>
  </w:style>
  <w:style w:type="character" w:customStyle="1" w:styleId="publication-date">
    <w:name w:val="publication-date"/>
    <w:basedOn w:val="DefaultParagraphFont"/>
    <w:rsid w:val="004976E9"/>
  </w:style>
  <w:style w:type="character" w:customStyle="1" w:styleId="st">
    <w:name w:val="st"/>
    <w:basedOn w:val="DefaultParagraphFont"/>
    <w:rsid w:val="004976E9"/>
  </w:style>
  <w:style w:type="character" w:customStyle="1" w:styleId="baec5a81-e4d6-4674-97f3-e9220f0136c1">
    <w:name w:val="baec5a81-e4d6-4674-97f3-e9220f0136c1"/>
    <w:basedOn w:val="DefaultParagraphFont"/>
    <w:rsid w:val="004976E9"/>
  </w:style>
  <w:style w:type="character" w:customStyle="1" w:styleId="RientrocorpodeltestoCarattere">
    <w:name w:val="Rientro corpo del testo Carattere"/>
    <w:basedOn w:val="DefaultParagraphFont"/>
    <w:link w:val="TextBodyIndent"/>
    <w:rsid w:val="004976E9"/>
    <w:rPr>
      <w:rFonts w:ascii="Times New Roman" w:eastAsia="Times New Roman" w:hAnsi="Times New Roman" w:cs="Times New Roman"/>
      <w:szCs w:val="24"/>
    </w:rPr>
  </w:style>
  <w:style w:type="character" w:customStyle="1" w:styleId="BodyTextIndent2Char">
    <w:name w:val="Body Text Indent 2 Char"/>
    <w:basedOn w:val="DefaultParagraphFont"/>
    <w:link w:val="BodyTextIndent2"/>
    <w:rsid w:val="004976E9"/>
    <w:rPr>
      <w:rFonts w:ascii="Times New Roman" w:eastAsia="Times New Roman" w:hAnsi="Times New Roman" w:cs="Times New Roman"/>
      <w:szCs w:val="24"/>
    </w:rPr>
  </w:style>
  <w:style w:type="character" w:customStyle="1" w:styleId="popup">
    <w:name w:val="popup"/>
    <w:basedOn w:val="DefaultParagraphFont"/>
    <w:rsid w:val="004976E9"/>
  </w:style>
  <w:style w:type="character" w:customStyle="1" w:styleId="Iniziomodulo-zCarattere">
    <w:name w:val="Inizio modulo -z Carattere"/>
    <w:basedOn w:val="DefaultParagraphFont"/>
    <w:rsid w:val="004976E9"/>
    <w:rPr>
      <w:rFonts w:ascii="Arial" w:eastAsia="Times New Roman" w:hAnsi="Arial" w:cs="Arial"/>
      <w:vanish/>
      <w:sz w:val="16"/>
      <w:szCs w:val="16"/>
      <w:lang w:val="lt-LT" w:eastAsia="lt-LT"/>
    </w:rPr>
  </w:style>
  <w:style w:type="character" w:customStyle="1" w:styleId="Finemodulo-zCarattere">
    <w:name w:val="Fine modulo -z Carattere"/>
    <w:basedOn w:val="DefaultParagraphFont"/>
    <w:rsid w:val="004976E9"/>
    <w:rPr>
      <w:rFonts w:ascii="Arial" w:eastAsia="Times New Roman" w:hAnsi="Arial" w:cs="Arial"/>
      <w:vanish/>
      <w:sz w:val="16"/>
      <w:szCs w:val="16"/>
      <w:lang w:val="lt-LT" w:eastAsia="lt-LT"/>
    </w:rPr>
  </w:style>
  <w:style w:type="character" w:customStyle="1" w:styleId="definition">
    <w:name w:val="definition"/>
    <w:basedOn w:val="DefaultParagraphFont"/>
    <w:rsid w:val="004976E9"/>
  </w:style>
  <w:style w:type="character" w:customStyle="1" w:styleId="CharChar4">
    <w:name w:val="Char Char4"/>
    <w:rsid w:val="004976E9"/>
    <w:rPr>
      <w:rFonts w:ascii="Arial" w:hAnsi="Arial" w:cs="Arial"/>
      <w:b/>
      <w:bCs/>
      <w:lang w:val="en-US" w:eastAsia="en-US" w:bidi="ar-SA"/>
    </w:rPr>
  </w:style>
  <w:style w:type="character" w:customStyle="1" w:styleId="longtext1">
    <w:name w:val="long_text1"/>
    <w:rsid w:val="004976E9"/>
    <w:rPr>
      <w:sz w:val="20"/>
      <w:szCs w:val="20"/>
    </w:rPr>
  </w:style>
  <w:style w:type="character" w:customStyle="1" w:styleId="ABC-paragrahinNotesChar1">
    <w:name w:val="ABC - paragrah in Notes Char1"/>
    <w:rsid w:val="004976E9"/>
    <w:rPr>
      <w:rFonts w:ascii="Arial" w:eastAsia="Times New Roman" w:hAnsi="Arial" w:cs="Times New Roman"/>
      <w:sz w:val="20"/>
      <w:szCs w:val="20"/>
      <w:lang w:val="en-GB"/>
    </w:rPr>
  </w:style>
  <w:style w:type="character" w:customStyle="1" w:styleId="tw4winMark">
    <w:name w:val="tw4winMark"/>
    <w:rsid w:val="004976E9"/>
    <w:rPr>
      <w:rFonts w:ascii="Courier New" w:hAnsi="Courier New"/>
      <w:vanish/>
      <w:color w:val="800080"/>
      <w:vertAlign w:val="subscript"/>
    </w:rPr>
  </w:style>
  <w:style w:type="character" w:customStyle="1" w:styleId="A2">
    <w:name w:val="A2"/>
    <w:rsid w:val="004976E9"/>
    <w:rPr>
      <w:color w:val="000000"/>
      <w:sz w:val="18"/>
    </w:rPr>
  </w:style>
  <w:style w:type="character" w:customStyle="1" w:styleId="HTMLPreformattedChar">
    <w:name w:val="HTML Preformatted Char"/>
    <w:basedOn w:val="DefaultParagraphFont"/>
    <w:link w:val="HTMLPreformatted"/>
    <w:rsid w:val="004976E9"/>
    <w:rPr>
      <w:rFonts w:ascii="Courier New" w:eastAsia="Times New Roman" w:hAnsi="Courier New" w:cs="Courier New"/>
      <w:sz w:val="20"/>
      <w:szCs w:val="20"/>
      <w:lang w:val="lt-LT" w:eastAsia="lt-LT"/>
    </w:rPr>
  </w:style>
  <w:style w:type="character" w:customStyle="1" w:styleId="hps">
    <w:name w:val="hps"/>
    <w:basedOn w:val="DefaultParagraphFont"/>
    <w:rsid w:val="004976E9"/>
  </w:style>
  <w:style w:type="character" w:customStyle="1" w:styleId="result-translation">
    <w:name w:val="result-translation"/>
    <w:rsid w:val="004976E9"/>
  </w:style>
  <w:style w:type="character" w:customStyle="1" w:styleId="s4">
    <w:name w:val="s4"/>
    <w:basedOn w:val="DefaultParagraphFont"/>
    <w:rsid w:val="004976E9"/>
  </w:style>
  <w:style w:type="character" w:customStyle="1" w:styleId="shorttext">
    <w:name w:val="short_text"/>
    <w:basedOn w:val="DefaultParagraphFont"/>
    <w:rsid w:val="004976E9"/>
  </w:style>
  <w:style w:type="character" w:customStyle="1" w:styleId="boldface">
    <w:name w:val="boldface"/>
    <w:basedOn w:val="DefaultParagraphFont"/>
    <w:rsid w:val="004976E9"/>
  </w:style>
  <w:style w:type="character" w:customStyle="1" w:styleId="ListLabel1">
    <w:name w:val="ListLabel 1"/>
    <w:rsid w:val="004976E9"/>
    <w:rPr>
      <w:color w:val="4472C4"/>
    </w:rPr>
  </w:style>
  <w:style w:type="character" w:customStyle="1" w:styleId="ListLabel2">
    <w:name w:val="ListLabel 2"/>
    <w:rsid w:val="004976E9"/>
    <w:rPr>
      <w:color w:val="00A9CE"/>
      <w:u w:val="none" w:color="FFFFFF"/>
    </w:rPr>
  </w:style>
  <w:style w:type="character" w:customStyle="1" w:styleId="ListLabel3">
    <w:name w:val="ListLabel 3"/>
    <w:rsid w:val="004976E9"/>
    <w:rPr>
      <w:rFonts w:eastAsia="Calibri" w:cs="Arial"/>
    </w:rPr>
  </w:style>
  <w:style w:type="character" w:customStyle="1" w:styleId="ListLabel4">
    <w:name w:val="ListLabel 4"/>
    <w:rsid w:val="004976E9"/>
    <w:rPr>
      <w:rFonts w:cs="Courier New"/>
    </w:rPr>
  </w:style>
  <w:style w:type="character" w:customStyle="1" w:styleId="ListLabel5">
    <w:name w:val="ListLabel 5"/>
    <w:rsid w:val="004976E9"/>
    <w:rPr>
      <w:rFonts w:cs="Times New Roman"/>
      <w:b w:val="0"/>
      <w:i w:val="0"/>
      <w:sz w:val="20"/>
      <w:szCs w:val="20"/>
    </w:rPr>
  </w:style>
  <w:style w:type="character" w:customStyle="1" w:styleId="ListLabel6">
    <w:name w:val="ListLabel 6"/>
    <w:rsid w:val="004976E9"/>
    <w:rPr>
      <w:rFonts w:cs="Times New Roman"/>
    </w:rPr>
  </w:style>
  <w:style w:type="character" w:customStyle="1" w:styleId="ListLabel7">
    <w:name w:val="ListLabel 7"/>
    <w:rsid w:val="004976E9"/>
    <w:rPr>
      <w:sz w:val="18"/>
    </w:rPr>
  </w:style>
  <w:style w:type="character" w:customStyle="1" w:styleId="ListLabel8">
    <w:name w:val="ListLabel 8"/>
    <w:rsid w:val="004976E9"/>
    <w:rPr>
      <w:sz w:val="20"/>
    </w:rPr>
  </w:style>
  <w:style w:type="character" w:customStyle="1" w:styleId="FootnoteAnchor">
    <w:name w:val="Footnote Anchor"/>
    <w:rsid w:val="004976E9"/>
    <w:rPr>
      <w:vertAlign w:val="superscript"/>
    </w:rPr>
  </w:style>
  <w:style w:type="character" w:customStyle="1" w:styleId="EndnoteAnchor">
    <w:name w:val="Endnote Anchor"/>
    <w:rsid w:val="004976E9"/>
    <w:rPr>
      <w:vertAlign w:val="superscript"/>
    </w:rPr>
  </w:style>
  <w:style w:type="character" w:customStyle="1" w:styleId="ListLabel9">
    <w:name w:val="ListLabel 9"/>
    <w:rsid w:val="004976E9"/>
    <w:rPr>
      <w:rFonts w:cs="Symbol"/>
    </w:rPr>
  </w:style>
  <w:style w:type="character" w:customStyle="1" w:styleId="ListLabel10">
    <w:name w:val="ListLabel 10"/>
    <w:rsid w:val="004976E9"/>
    <w:rPr>
      <w:rFonts w:cs="Times New Roman"/>
    </w:rPr>
  </w:style>
  <w:style w:type="character" w:customStyle="1" w:styleId="ListLabel11">
    <w:name w:val="ListLabel 11"/>
    <w:rsid w:val="004976E9"/>
    <w:rPr>
      <w:rFonts w:cs="Courier New"/>
    </w:rPr>
  </w:style>
  <w:style w:type="character" w:customStyle="1" w:styleId="ListLabel12">
    <w:name w:val="ListLabel 12"/>
    <w:rsid w:val="004976E9"/>
    <w:rPr>
      <w:rFonts w:cs="Wingdings"/>
    </w:rPr>
  </w:style>
  <w:style w:type="character" w:customStyle="1" w:styleId="ListLabel13">
    <w:name w:val="ListLabel 13"/>
    <w:rsid w:val="004976E9"/>
    <w:rPr>
      <w:rFonts w:cs="Symbol"/>
      <w:u w:val="none" w:color="FFFFFF"/>
    </w:rPr>
  </w:style>
  <w:style w:type="character" w:customStyle="1" w:styleId="ListLabel14">
    <w:name w:val="ListLabel 14"/>
    <w:rsid w:val="004976E9"/>
    <w:rPr>
      <w:rFonts w:cs="Arial"/>
    </w:rPr>
  </w:style>
  <w:style w:type="character" w:customStyle="1" w:styleId="ListLabel15">
    <w:name w:val="ListLabel 15"/>
    <w:rsid w:val="004976E9"/>
    <w:rPr>
      <w:rFonts w:cs="Symbol"/>
    </w:rPr>
  </w:style>
  <w:style w:type="character" w:customStyle="1" w:styleId="ListLabel16">
    <w:name w:val="ListLabel 16"/>
    <w:rsid w:val="004976E9"/>
    <w:rPr>
      <w:rFonts w:cs="Times New Roman"/>
    </w:rPr>
  </w:style>
  <w:style w:type="character" w:customStyle="1" w:styleId="ListLabel17">
    <w:name w:val="ListLabel 17"/>
    <w:rsid w:val="004976E9"/>
    <w:rPr>
      <w:rFonts w:cs="Courier New"/>
    </w:rPr>
  </w:style>
  <w:style w:type="character" w:customStyle="1" w:styleId="ListLabel18">
    <w:name w:val="ListLabel 18"/>
    <w:rsid w:val="004976E9"/>
    <w:rPr>
      <w:rFonts w:cs="Wingdings"/>
    </w:rPr>
  </w:style>
  <w:style w:type="character" w:customStyle="1" w:styleId="ListLabel19">
    <w:name w:val="ListLabel 19"/>
    <w:rsid w:val="004976E9"/>
    <w:rPr>
      <w:rFonts w:cs="Symbol"/>
      <w:u w:val="none" w:color="FFFFFF"/>
    </w:rPr>
  </w:style>
  <w:style w:type="character" w:customStyle="1" w:styleId="ListLabel20">
    <w:name w:val="ListLabel 20"/>
    <w:rsid w:val="004976E9"/>
    <w:rPr>
      <w:rFonts w:cs="Arial"/>
    </w:rPr>
  </w:style>
  <w:style w:type="character" w:customStyle="1" w:styleId="ListLabel21">
    <w:name w:val="ListLabel 21"/>
    <w:rsid w:val="004976E9"/>
    <w:rPr>
      <w:rFonts w:cs="Symbol"/>
    </w:rPr>
  </w:style>
  <w:style w:type="character" w:customStyle="1" w:styleId="ListLabel22">
    <w:name w:val="ListLabel 22"/>
    <w:rsid w:val="004976E9"/>
    <w:rPr>
      <w:rFonts w:cs="Times New Roman"/>
    </w:rPr>
  </w:style>
  <w:style w:type="character" w:customStyle="1" w:styleId="ListLabel23">
    <w:name w:val="ListLabel 23"/>
    <w:rsid w:val="004976E9"/>
    <w:rPr>
      <w:rFonts w:cs="Courier New"/>
    </w:rPr>
  </w:style>
  <w:style w:type="character" w:customStyle="1" w:styleId="ListLabel24">
    <w:name w:val="ListLabel 24"/>
    <w:rsid w:val="004976E9"/>
    <w:rPr>
      <w:rFonts w:cs="Wingdings"/>
    </w:rPr>
  </w:style>
  <w:style w:type="character" w:customStyle="1" w:styleId="ListLabel25">
    <w:name w:val="ListLabel 25"/>
    <w:rsid w:val="004976E9"/>
    <w:rPr>
      <w:rFonts w:cs="Symbol"/>
      <w:u w:val="none" w:color="FFFFFF"/>
    </w:rPr>
  </w:style>
  <w:style w:type="character" w:customStyle="1" w:styleId="ListLabel26">
    <w:name w:val="ListLabel 26"/>
    <w:rsid w:val="004976E9"/>
    <w:rPr>
      <w:rFonts w:cs="Arial"/>
    </w:rPr>
  </w:style>
  <w:style w:type="character" w:customStyle="1" w:styleId="ListLabel27">
    <w:name w:val="ListLabel 27"/>
    <w:rsid w:val="004976E9"/>
    <w:rPr>
      <w:rFonts w:cs="Symbol"/>
    </w:rPr>
  </w:style>
  <w:style w:type="character" w:customStyle="1" w:styleId="ListLabel28">
    <w:name w:val="ListLabel 28"/>
    <w:rsid w:val="004976E9"/>
    <w:rPr>
      <w:rFonts w:cs="Times New Roman"/>
    </w:rPr>
  </w:style>
  <w:style w:type="character" w:customStyle="1" w:styleId="ListLabel29">
    <w:name w:val="ListLabel 29"/>
    <w:rsid w:val="004976E9"/>
    <w:rPr>
      <w:rFonts w:cs="Courier New"/>
    </w:rPr>
  </w:style>
  <w:style w:type="character" w:customStyle="1" w:styleId="ListLabel30">
    <w:name w:val="ListLabel 30"/>
    <w:rsid w:val="004976E9"/>
    <w:rPr>
      <w:rFonts w:cs="Wingdings"/>
    </w:rPr>
  </w:style>
  <w:style w:type="character" w:customStyle="1" w:styleId="ListLabel31">
    <w:name w:val="ListLabel 31"/>
    <w:rsid w:val="004976E9"/>
    <w:rPr>
      <w:rFonts w:cs="Symbol"/>
      <w:u w:val="none" w:color="FFFFFF"/>
    </w:rPr>
  </w:style>
  <w:style w:type="character" w:customStyle="1" w:styleId="ListLabel32">
    <w:name w:val="ListLabel 32"/>
    <w:rsid w:val="004976E9"/>
    <w:rPr>
      <w:rFonts w:cs="Arial"/>
    </w:rPr>
  </w:style>
  <w:style w:type="character" w:customStyle="1" w:styleId="Bullets">
    <w:name w:val="Bullets"/>
    <w:rsid w:val="004976E9"/>
    <w:rPr>
      <w:rFonts w:ascii="OpenSymbol" w:eastAsia="OpenSymbol" w:hAnsi="OpenSymbol" w:cs="OpenSymbol"/>
    </w:rPr>
  </w:style>
  <w:style w:type="character" w:customStyle="1" w:styleId="ListLabel33">
    <w:name w:val="ListLabel 33"/>
    <w:rsid w:val="004976E9"/>
    <w:rPr>
      <w:rFonts w:cs="Symbol"/>
    </w:rPr>
  </w:style>
  <w:style w:type="character" w:customStyle="1" w:styleId="ListLabel34">
    <w:name w:val="ListLabel 34"/>
    <w:rsid w:val="004976E9"/>
    <w:rPr>
      <w:rFonts w:cs="Times New Roman"/>
    </w:rPr>
  </w:style>
  <w:style w:type="character" w:customStyle="1" w:styleId="ListLabel35">
    <w:name w:val="ListLabel 35"/>
    <w:rsid w:val="004976E9"/>
    <w:rPr>
      <w:rFonts w:cs="Courier New"/>
    </w:rPr>
  </w:style>
  <w:style w:type="character" w:customStyle="1" w:styleId="ListLabel36">
    <w:name w:val="ListLabel 36"/>
    <w:rsid w:val="004976E9"/>
    <w:rPr>
      <w:rFonts w:cs="Wingdings"/>
    </w:rPr>
  </w:style>
  <w:style w:type="character" w:customStyle="1" w:styleId="ListLabel37">
    <w:name w:val="ListLabel 37"/>
    <w:rsid w:val="004976E9"/>
    <w:rPr>
      <w:rFonts w:cs="Symbol"/>
      <w:u w:val="none" w:color="FFFFFF"/>
    </w:rPr>
  </w:style>
  <w:style w:type="character" w:customStyle="1" w:styleId="ListLabel38">
    <w:name w:val="ListLabel 38"/>
    <w:rsid w:val="004976E9"/>
    <w:rPr>
      <w:rFonts w:cs="Arial"/>
    </w:rPr>
  </w:style>
  <w:style w:type="character" w:customStyle="1" w:styleId="FootnoteCharacters">
    <w:name w:val="Footnote Characters"/>
    <w:rsid w:val="004976E9"/>
  </w:style>
  <w:style w:type="character" w:customStyle="1" w:styleId="EndnoteCharacters">
    <w:name w:val="Endnote Characters"/>
    <w:rsid w:val="004976E9"/>
  </w:style>
  <w:style w:type="paragraph" w:customStyle="1" w:styleId="Heading">
    <w:name w:val="Heading"/>
    <w:basedOn w:val="Normal"/>
    <w:next w:val="TextBody"/>
    <w:rsid w:val="004976E9"/>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link w:val="CorpotestoCarattere"/>
    <w:uiPriority w:val="99"/>
    <w:unhideWhenUsed/>
    <w:rsid w:val="004976E9"/>
    <w:pPr>
      <w:spacing w:after="120" w:line="276" w:lineRule="auto"/>
    </w:pPr>
    <w:rPr>
      <w:rFonts w:ascii="Calibri" w:hAnsi="Calibri" w:cs="Times New Roman"/>
      <w:color w:val="auto"/>
      <w:sz w:val="22"/>
      <w:szCs w:val="22"/>
      <w:lang w:val="lt-LT"/>
    </w:rPr>
  </w:style>
  <w:style w:type="paragraph" w:styleId="List">
    <w:name w:val="List"/>
    <w:basedOn w:val="TextBody"/>
    <w:rsid w:val="004976E9"/>
  </w:style>
  <w:style w:type="paragraph" w:styleId="Caption">
    <w:name w:val="caption"/>
    <w:basedOn w:val="Normal"/>
    <w:qFormat/>
    <w:rsid w:val="004976E9"/>
    <w:rPr>
      <w:rFonts w:ascii="Arial" w:eastAsia="Times New Roman" w:hAnsi="Arial" w:cs="Times New Roman"/>
      <w:b/>
      <w:bCs/>
    </w:rPr>
  </w:style>
  <w:style w:type="paragraph" w:customStyle="1" w:styleId="Index">
    <w:name w:val="Index"/>
    <w:basedOn w:val="Normal"/>
    <w:rsid w:val="004976E9"/>
    <w:pPr>
      <w:suppressLineNumbers/>
    </w:pPr>
  </w:style>
  <w:style w:type="paragraph" w:styleId="BalloonText">
    <w:name w:val="Balloon Text"/>
    <w:basedOn w:val="Normal"/>
    <w:link w:val="BalloonTextChar"/>
    <w:uiPriority w:val="99"/>
    <w:semiHidden/>
    <w:rsid w:val="004976E9"/>
    <w:rPr>
      <w:rFonts w:ascii="Tahoma" w:eastAsiaTheme="minorHAnsi" w:hAnsi="Tahoma" w:cs="Tahoma"/>
      <w:color w:val="auto"/>
      <w:sz w:val="16"/>
      <w:szCs w:val="16"/>
      <w:lang w:val="es-ES"/>
    </w:rPr>
  </w:style>
  <w:style w:type="character" w:customStyle="1" w:styleId="TestofumettoCarattere1">
    <w:name w:val="Testo fumetto Carattere1"/>
    <w:basedOn w:val="DefaultParagraphFont"/>
    <w:uiPriority w:val="99"/>
    <w:semiHidden/>
    <w:rsid w:val="004976E9"/>
    <w:rPr>
      <w:rFonts w:ascii="Segoe UI" w:eastAsia="Calibri" w:hAnsi="Segoe UI" w:cs="Segoe UI"/>
      <w:color w:val="00000A"/>
      <w:sz w:val="18"/>
      <w:szCs w:val="18"/>
      <w:lang w:val="en-GB"/>
    </w:rPr>
  </w:style>
  <w:style w:type="paragraph" w:customStyle="1" w:styleId="Paragraph">
    <w:name w:val="Paragraph"/>
    <w:basedOn w:val="Normal"/>
    <w:qFormat/>
    <w:rsid w:val="004976E9"/>
    <w:pPr>
      <w:spacing w:before="120" w:after="120"/>
      <w:jc w:val="both"/>
    </w:pPr>
    <w:rPr>
      <w:rFonts w:ascii="Arial" w:hAnsi="Arial"/>
    </w:rPr>
  </w:style>
  <w:style w:type="paragraph" w:customStyle="1" w:styleId="Bulletedlist1">
    <w:name w:val="Bulleted list 1"/>
    <w:basedOn w:val="Paragraph"/>
    <w:uiPriority w:val="10"/>
    <w:semiHidden/>
    <w:qFormat/>
    <w:rsid w:val="004976E9"/>
  </w:style>
  <w:style w:type="paragraph" w:customStyle="1" w:styleId="Bulletedlist2">
    <w:name w:val="Bulleted list 2"/>
    <w:basedOn w:val="Paragraph"/>
    <w:uiPriority w:val="10"/>
    <w:semiHidden/>
    <w:qFormat/>
    <w:rsid w:val="004976E9"/>
  </w:style>
  <w:style w:type="paragraph" w:customStyle="1" w:styleId="Clause1">
    <w:name w:val="Clause 1"/>
    <w:basedOn w:val="Normal"/>
    <w:uiPriority w:val="3"/>
    <w:qFormat/>
    <w:rsid w:val="004976E9"/>
    <w:pPr>
      <w:spacing w:before="240" w:after="240"/>
      <w:jc w:val="both"/>
    </w:pPr>
  </w:style>
  <w:style w:type="paragraph" w:customStyle="1" w:styleId="Clause2">
    <w:name w:val="Clause 2"/>
    <w:basedOn w:val="Clause1"/>
    <w:uiPriority w:val="6"/>
    <w:qFormat/>
    <w:rsid w:val="004976E9"/>
  </w:style>
  <w:style w:type="paragraph" w:customStyle="1" w:styleId="Clause1A">
    <w:name w:val="Clause 1A"/>
    <w:basedOn w:val="Clause2"/>
    <w:uiPriority w:val="10"/>
    <w:qFormat/>
    <w:rsid w:val="004976E9"/>
  </w:style>
  <w:style w:type="paragraph" w:customStyle="1" w:styleId="Clause1B">
    <w:name w:val="Clause 1B"/>
    <w:basedOn w:val="Clause2"/>
    <w:uiPriority w:val="10"/>
    <w:qFormat/>
    <w:rsid w:val="004976E9"/>
  </w:style>
  <w:style w:type="paragraph" w:customStyle="1" w:styleId="Clause2A">
    <w:name w:val="Clause 2A"/>
    <w:basedOn w:val="Clause2"/>
    <w:uiPriority w:val="10"/>
    <w:qFormat/>
    <w:rsid w:val="004976E9"/>
  </w:style>
  <w:style w:type="paragraph" w:customStyle="1" w:styleId="Clause3">
    <w:name w:val="Clause 3"/>
    <w:basedOn w:val="Clause2"/>
    <w:uiPriority w:val="6"/>
    <w:qFormat/>
    <w:rsid w:val="004976E9"/>
  </w:style>
  <w:style w:type="paragraph" w:styleId="CommentText">
    <w:name w:val="annotation text"/>
    <w:basedOn w:val="Normal"/>
    <w:link w:val="CommentTextChar"/>
    <w:unhideWhenUsed/>
    <w:rsid w:val="004976E9"/>
    <w:rPr>
      <w:rFonts w:eastAsiaTheme="minorHAnsi"/>
      <w:color w:val="auto"/>
      <w:lang w:val="es-ES"/>
    </w:rPr>
  </w:style>
  <w:style w:type="character" w:customStyle="1" w:styleId="TestocommentoCarattere1">
    <w:name w:val="Testo commento Carattere1"/>
    <w:basedOn w:val="DefaultParagraphFont"/>
    <w:uiPriority w:val="99"/>
    <w:semiHidden/>
    <w:rsid w:val="004976E9"/>
    <w:rPr>
      <w:rFonts w:asciiTheme="majorHAnsi" w:eastAsia="Calibri" w:hAnsiTheme="majorHAnsi"/>
      <w:color w:val="00000A"/>
      <w:sz w:val="20"/>
      <w:szCs w:val="20"/>
      <w:lang w:val="en-GB"/>
    </w:rPr>
  </w:style>
  <w:style w:type="paragraph" w:styleId="CommentSubject">
    <w:name w:val="annotation subject"/>
    <w:basedOn w:val="CommentText"/>
    <w:link w:val="CommentSubjectChar"/>
    <w:semiHidden/>
    <w:unhideWhenUsed/>
    <w:rsid w:val="004976E9"/>
    <w:rPr>
      <w:b/>
      <w:bCs/>
    </w:rPr>
  </w:style>
  <w:style w:type="character" w:customStyle="1" w:styleId="SoggettocommentoCarattere1">
    <w:name w:val="Soggetto commento Carattere1"/>
    <w:basedOn w:val="TestocommentoCarattere1"/>
    <w:uiPriority w:val="99"/>
    <w:semiHidden/>
    <w:rsid w:val="004976E9"/>
    <w:rPr>
      <w:rFonts w:asciiTheme="majorHAnsi" w:eastAsia="Calibri" w:hAnsiTheme="majorHAnsi"/>
      <w:b/>
      <w:bCs/>
      <w:color w:val="00000A"/>
      <w:sz w:val="20"/>
      <w:szCs w:val="20"/>
      <w:lang w:val="en-GB"/>
    </w:rPr>
  </w:style>
  <w:style w:type="paragraph" w:customStyle="1" w:styleId="Plea">
    <w:name w:val="Plea"/>
    <w:basedOn w:val="Paragraph"/>
    <w:uiPriority w:val="10"/>
    <w:semiHidden/>
    <w:qFormat/>
    <w:rsid w:val="004976E9"/>
    <w:pPr>
      <w:spacing w:before="0"/>
    </w:pPr>
  </w:style>
  <w:style w:type="paragraph" w:customStyle="1" w:styleId="Enclosure">
    <w:name w:val="Enclosure"/>
    <w:basedOn w:val="Plea"/>
    <w:uiPriority w:val="10"/>
    <w:semiHidden/>
    <w:qFormat/>
    <w:rsid w:val="004976E9"/>
    <w:pPr>
      <w:spacing w:after="0"/>
    </w:pPr>
  </w:style>
  <w:style w:type="paragraph" w:styleId="Footer">
    <w:name w:val="footer"/>
    <w:basedOn w:val="Normal"/>
    <w:link w:val="FooterChar"/>
    <w:uiPriority w:val="99"/>
    <w:unhideWhenUsed/>
    <w:rsid w:val="004976E9"/>
    <w:pPr>
      <w:tabs>
        <w:tab w:val="center" w:pos="4513"/>
        <w:tab w:val="right" w:pos="9026"/>
      </w:tabs>
    </w:pPr>
    <w:rPr>
      <w:rFonts w:eastAsiaTheme="minorHAnsi"/>
      <w:color w:val="auto"/>
      <w:lang w:val="es-ES"/>
    </w:rPr>
  </w:style>
  <w:style w:type="character" w:customStyle="1" w:styleId="PidipaginaCarattere1">
    <w:name w:val="Piè di pagina Carattere1"/>
    <w:basedOn w:val="DefaultParagraphFont"/>
    <w:uiPriority w:val="99"/>
    <w:semiHidden/>
    <w:rsid w:val="004976E9"/>
    <w:rPr>
      <w:rFonts w:asciiTheme="majorHAnsi" w:eastAsia="Calibri" w:hAnsiTheme="majorHAnsi"/>
      <w:color w:val="00000A"/>
      <w:sz w:val="20"/>
      <w:szCs w:val="20"/>
      <w:lang w:val="en-GB"/>
    </w:rPr>
  </w:style>
  <w:style w:type="paragraph" w:styleId="FootnoteText">
    <w:name w:val="footnote text"/>
    <w:basedOn w:val="Normal"/>
    <w:link w:val="FootnoteTextChar"/>
    <w:uiPriority w:val="99"/>
    <w:qFormat/>
    <w:rsid w:val="004976E9"/>
    <w:rPr>
      <w:rFonts w:eastAsiaTheme="minorHAnsi"/>
      <w:color w:val="auto"/>
      <w:sz w:val="18"/>
      <w:lang w:val="es-ES"/>
    </w:rPr>
  </w:style>
  <w:style w:type="character" w:customStyle="1" w:styleId="TestonotaapidipaginaCarattere1">
    <w:name w:val="Testo nota a piè di pagina Carattere1"/>
    <w:basedOn w:val="DefaultParagraphFont"/>
    <w:uiPriority w:val="99"/>
    <w:semiHidden/>
    <w:rsid w:val="004976E9"/>
    <w:rPr>
      <w:rFonts w:asciiTheme="majorHAnsi" w:eastAsia="Calibri" w:hAnsiTheme="majorHAnsi"/>
      <w:color w:val="00000A"/>
      <w:sz w:val="20"/>
      <w:szCs w:val="20"/>
      <w:lang w:val="en-GB"/>
    </w:rPr>
  </w:style>
  <w:style w:type="paragraph" w:styleId="Header">
    <w:name w:val="header"/>
    <w:basedOn w:val="Normal"/>
    <w:link w:val="HeaderChar"/>
    <w:uiPriority w:val="99"/>
    <w:unhideWhenUsed/>
    <w:rsid w:val="004976E9"/>
    <w:pPr>
      <w:tabs>
        <w:tab w:val="center" w:pos="4153"/>
        <w:tab w:val="right" w:pos="8306"/>
      </w:tabs>
      <w:jc w:val="right"/>
    </w:pPr>
    <w:rPr>
      <w:rFonts w:eastAsiaTheme="minorHAnsi"/>
      <w:i/>
      <w:iCs/>
      <w:color w:val="auto"/>
      <w:sz w:val="18"/>
      <w:lang w:val="es-ES"/>
    </w:rPr>
  </w:style>
  <w:style w:type="character" w:customStyle="1" w:styleId="IntestazioneCarattere1">
    <w:name w:val="Intestazione Carattere1"/>
    <w:basedOn w:val="DefaultParagraphFont"/>
    <w:uiPriority w:val="99"/>
    <w:semiHidden/>
    <w:rsid w:val="004976E9"/>
    <w:rPr>
      <w:rFonts w:asciiTheme="majorHAnsi" w:eastAsia="Calibri" w:hAnsiTheme="majorHAnsi"/>
      <w:color w:val="00000A"/>
      <w:sz w:val="20"/>
      <w:szCs w:val="20"/>
      <w:lang w:val="en-GB"/>
    </w:rPr>
  </w:style>
  <w:style w:type="paragraph" w:customStyle="1" w:styleId="Numberedlist1">
    <w:name w:val="Numbered list 1"/>
    <w:basedOn w:val="Paragraph"/>
    <w:uiPriority w:val="7"/>
    <w:qFormat/>
    <w:rsid w:val="004976E9"/>
  </w:style>
  <w:style w:type="paragraph" w:customStyle="1" w:styleId="Numberedlist2">
    <w:name w:val="Numbered list 2"/>
    <w:basedOn w:val="Paragraph"/>
    <w:uiPriority w:val="4"/>
    <w:qFormat/>
    <w:rsid w:val="004976E9"/>
  </w:style>
  <w:style w:type="paragraph" w:customStyle="1" w:styleId="Numberedlist3">
    <w:name w:val="Numbered list 3"/>
    <w:basedOn w:val="Paragraph"/>
    <w:uiPriority w:val="4"/>
    <w:qFormat/>
    <w:rsid w:val="004976E9"/>
  </w:style>
  <w:style w:type="paragraph" w:customStyle="1" w:styleId="PleaHeading">
    <w:name w:val="Plea Heading"/>
    <w:basedOn w:val="Paragraph"/>
    <w:next w:val="Plea"/>
    <w:uiPriority w:val="10"/>
    <w:semiHidden/>
    <w:qFormat/>
    <w:rsid w:val="004976E9"/>
    <w:pPr>
      <w:spacing w:after="0"/>
    </w:pPr>
  </w:style>
  <w:style w:type="paragraph" w:customStyle="1" w:styleId="Recitals">
    <w:name w:val="Recitals"/>
    <w:basedOn w:val="Paragraph"/>
    <w:uiPriority w:val="8"/>
    <w:qFormat/>
    <w:rsid w:val="004976E9"/>
  </w:style>
  <w:style w:type="paragraph" w:customStyle="1" w:styleId="Resolution">
    <w:name w:val="Resolution"/>
    <w:basedOn w:val="Paragraph"/>
    <w:uiPriority w:val="10"/>
    <w:qFormat/>
    <w:rsid w:val="004976E9"/>
  </w:style>
  <w:style w:type="paragraph" w:styleId="Subtitle">
    <w:name w:val="Subtitle"/>
    <w:basedOn w:val="Normal"/>
    <w:next w:val="Paragraph"/>
    <w:link w:val="SubtitleChar"/>
    <w:uiPriority w:val="11"/>
    <w:qFormat/>
    <w:rsid w:val="004976E9"/>
    <w:pPr>
      <w:spacing w:before="240" w:after="240"/>
      <w:contextualSpacing/>
      <w:jc w:val="center"/>
    </w:pPr>
    <w:rPr>
      <w:rFonts w:asciiTheme="minorHAnsi" w:eastAsiaTheme="minorEastAsia" w:hAnsiTheme="minorHAnsi" w:cstheme="majorBidi"/>
      <w:b/>
      <w:caps/>
      <w:color w:val="5A5A5A" w:themeColor="text1" w:themeTint="A5"/>
      <w:spacing w:val="15"/>
      <w:szCs w:val="22"/>
      <w:lang w:val="es-ES"/>
    </w:rPr>
  </w:style>
  <w:style w:type="character" w:customStyle="1" w:styleId="SottotitoloCarattere1">
    <w:name w:val="Sottotitolo Carattere1"/>
    <w:basedOn w:val="DefaultParagraphFont"/>
    <w:uiPriority w:val="11"/>
    <w:rsid w:val="004976E9"/>
    <w:rPr>
      <w:rFonts w:eastAsiaTheme="minorEastAsia"/>
      <w:color w:val="5A5A5A" w:themeColor="text1" w:themeTint="A5"/>
      <w:spacing w:val="15"/>
      <w:lang w:val="en-GB"/>
    </w:rPr>
  </w:style>
  <w:style w:type="paragraph" w:styleId="Title">
    <w:name w:val="Title"/>
    <w:basedOn w:val="Normal"/>
    <w:next w:val="Paragraph"/>
    <w:link w:val="TitleChar"/>
    <w:uiPriority w:val="9"/>
    <w:qFormat/>
    <w:rsid w:val="004976E9"/>
    <w:pPr>
      <w:spacing w:before="360" w:after="360"/>
      <w:contextualSpacing/>
      <w:jc w:val="center"/>
    </w:pPr>
    <w:rPr>
      <w:rFonts w:ascii="Arial" w:eastAsiaTheme="majorEastAsia" w:hAnsi="Arial" w:cstheme="majorBidi"/>
      <w:b/>
      <w:caps/>
      <w:color w:val="auto"/>
      <w:szCs w:val="52"/>
      <w:lang w:val="es-ES"/>
    </w:rPr>
  </w:style>
  <w:style w:type="character" w:customStyle="1" w:styleId="TitoloCarattere1">
    <w:name w:val="Titolo Carattere1"/>
    <w:basedOn w:val="DefaultParagraphFont"/>
    <w:uiPriority w:val="10"/>
    <w:rsid w:val="004976E9"/>
    <w:rPr>
      <w:rFonts w:asciiTheme="majorHAnsi" w:eastAsiaTheme="majorEastAsia" w:hAnsiTheme="majorHAnsi" w:cstheme="majorBidi"/>
      <w:spacing w:val="-10"/>
      <w:kern w:val="28"/>
      <w:sz w:val="56"/>
      <w:szCs w:val="56"/>
      <w:lang w:val="en-GB"/>
    </w:rPr>
  </w:style>
  <w:style w:type="paragraph" w:customStyle="1" w:styleId="Contents1">
    <w:name w:val="Contents 1"/>
    <w:basedOn w:val="Normal"/>
    <w:autoRedefine/>
    <w:uiPriority w:val="39"/>
    <w:rsid w:val="004976E9"/>
    <w:pPr>
      <w:spacing w:after="100"/>
    </w:pPr>
  </w:style>
  <w:style w:type="paragraph" w:customStyle="1" w:styleId="Contents2">
    <w:name w:val="Contents 2"/>
    <w:basedOn w:val="Normal"/>
    <w:autoRedefine/>
    <w:uiPriority w:val="39"/>
    <w:rsid w:val="004976E9"/>
    <w:pPr>
      <w:spacing w:after="100"/>
      <w:ind w:left="200"/>
    </w:pPr>
  </w:style>
  <w:style w:type="paragraph" w:customStyle="1" w:styleId="Contents3">
    <w:name w:val="Contents 3"/>
    <w:basedOn w:val="Normal"/>
    <w:autoRedefine/>
    <w:uiPriority w:val="39"/>
    <w:rsid w:val="004976E9"/>
    <w:pPr>
      <w:spacing w:after="100"/>
      <w:ind w:left="400"/>
    </w:pPr>
  </w:style>
  <w:style w:type="paragraph" w:customStyle="1" w:styleId="Contents4">
    <w:name w:val="Contents 4"/>
    <w:basedOn w:val="Normal"/>
    <w:autoRedefine/>
    <w:uiPriority w:val="39"/>
    <w:rsid w:val="004976E9"/>
    <w:pPr>
      <w:spacing w:after="100" w:line="276" w:lineRule="auto"/>
      <w:ind w:left="660"/>
    </w:pPr>
    <w:rPr>
      <w:rFonts w:asciiTheme="minorHAnsi" w:eastAsiaTheme="minorEastAsia" w:hAnsiTheme="minorHAnsi"/>
      <w:sz w:val="22"/>
      <w:lang w:eastAsia="en-GB" w:bidi="ug-CN"/>
    </w:rPr>
  </w:style>
  <w:style w:type="paragraph" w:customStyle="1" w:styleId="Contents5">
    <w:name w:val="Contents 5"/>
    <w:basedOn w:val="Normal"/>
    <w:autoRedefine/>
    <w:uiPriority w:val="39"/>
    <w:rsid w:val="004976E9"/>
    <w:pPr>
      <w:spacing w:after="100" w:line="276" w:lineRule="auto"/>
      <w:ind w:left="880"/>
    </w:pPr>
    <w:rPr>
      <w:rFonts w:asciiTheme="minorHAnsi" w:eastAsiaTheme="minorEastAsia" w:hAnsiTheme="minorHAnsi"/>
      <w:sz w:val="22"/>
      <w:lang w:eastAsia="en-GB" w:bidi="ug-CN"/>
    </w:rPr>
  </w:style>
  <w:style w:type="paragraph" w:customStyle="1" w:styleId="Contents6">
    <w:name w:val="Contents 6"/>
    <w:basedOn w:val="Normal"/>
    <w:autoRedefine/>
    <w:uiPriority w:val="39"/>
    <w:rsid w:val="004976E9"/>
    <w:pPr>
      <w:spacing w:after="100" w:line="276" w:lineRule="auto"/>
      <w:ind w:left="1100"/>
    </w:pPr>
    <w:rPr>
      <w:rFonts w:asciiTheme="minorHAnsi" w:eastAsiaTheme="minorEastAsia" w:hAnsiTheme="minorHAnsi"/>
      <w:sz w:val="22"/>
      <w:lang w:eastAsia="en-GB" w:bidi="ug-CN"/>
    </w:rPr>
  </w:style>
  <w:style w:type="paragraph" w:customStyle="1" w:styleId="Contents7">
    <w:name w:val="Contents 7"/>
    <w:basedOn w:val="Normal"/>
    <w:autoRedefine/>
    <w:uiPriority w:val="39"/>
    <w:rsid w:val="004976E9"/>
    <w:pPr>
      <w:spacing w:after="100" w:line="276" w:lineRule="auto"/>
      <w:ind w:left="1320"/>
    </w:pPr>
    <w:rPr>
      <w:rFonts w:asciiTheme="minorHAnsi" w:eastAsiaTheme="minorEastAsia" w:hAnsiTheme="minorHAnsi"/>
      <w:sz w:val="22"/>
      <w:lang w:eastAsia="en-GB" w:bidi="ug-CN"/>
    </w:rPr>
  </w:style>
  <w:style w:type="paragraph" w:customStyle="1" w:styleId="Contents8">
    <w:name w:val="Contents 8"/>
    <w:basedOn w:val="Normal"/>
    <w:autoRedefine/>
    <w:uiPriority w:val="39"/>
    <w:rsid w:val="004976E9"/>
    <w:pPr>
      <w:spacing w:after="100" w:line="276" w:lineRule="auto"/>
      <w:ind w:left="1540"/>
    </w:pPr>
    <w:rPr>
      <w:rFonts w:asciiTheme="minorHAnsi" w:eastAsiaTheme="minorEastAsia" w:hAnsiTheme="minorHAnsi"/>
      <w:sz w:val="22"/>
      <w:lang w:eastAsia="en-GB" w:bidi="ug-CN"/>
    </w:rPr>
  </w:style>
  <w:style w:type="paragraph" w:customStyle="1" w:styleId="Contents9">
    <w:name w:val="Contents 9"/>
    <w:basedOn w:val="Normal"/>
    <w:autoRedefine/>
    <w:uiPriority w:val="39"/>
    <w:rsid w:val="004976E9"/>
    <w:pPr>
      <w:spacing w:after="100" w:line="276" w:lineRule="auto"/>
      <w:ind w:left="1760"/>
    </w:pPr>
    <w:rPr>
      <w:rFonts w:asciiTheme="minorHAnsi" w:eastAsiaTheme="minorEastAsia" w:hAnsiTheme="minorHAnsi"/>
      <w:sz w:val="22"/>
      <w:lang w:eastAsia="en-GB" w:bidi="ug-CN"/>
    </w:rPr>
  </w:style>
  <w:style w:type="paragraph" w:customStyle="1" w:styleId="ContentsHeading">
    <w:name w:val="Contents Heading"/>
    <w:basedOn w:val="Heading1"/>
    <w:uiPriority w:val="39"/>
    <w:qFormat/>
    <w:rsid w:val="004976E9"/>
    <w:pPr>
      <w:spacing w:after="0" w:line="276" w:lineRule="auto"/>
    </w:pPr>
    <w:rPr>
      <w:bCs/>
      <w:caps w:val="0"/>
      <w:color w:val="00000A"/>
      <w:szCs w:val="28"/>
      <w:lang w:val="en-US" w:eastAsia="ja-JP"/>
    </w:rPr>
  </w:style>
  <w:style w:type="paragraph" w:styleId="NoSpacing">
    <w:name w:val="No Spacing"/>
    <w:link w:val="NoSpacingChar"/>
    <w:uiPriority w:val="1"/>
    <w:qFormat/>
    <w:rsid w:val="004976E9"/>
    <w:pPr>
      <w:suppressAutoHyphens/>
      <w:spacing w:after="0" w:line="240" w:lineRule="auto"/>
    </w:pPr>
    <w:rPr>
      <w:rFonts w:ascii="Arial" w:hAnsi="Arial"/>
      <w:sz w:val="20"/>
      <w:szCs w:val="20"/>
    </w:rPr>
  </w:style>
  <w:style w:type="paragraph" w:customStyle="1" w:styleId="CharChar11">
    <w:name w:val="Char Char11"/>
    <w:basedOn w:val="Normal"/>
    <w:uiPriority w:val="99"/>
    <w:rsid w:val="004976E9"/>
    <w:pPr>
      <w:spacing w:after="120" w:line="360" w:lineRule="auto"/>
    </w:pPr>
    <w:rPr>
      <w:rFonts w:ascii="Verdana" w:eastAsia="Batang" w:hAnsi="Verdana" w:cs="Times New Roman"/>
      <w:szCs w:val="24"/>
      <w:lang w:val="pl-PL" w:eastAsia="pl-PL"/>
    </w:rPr>
  </w:style>
  <w:style w:type="paragraph" w:styleId="NormalWeb">
    <w:name w:val="Normal (Web)"/>
    <w:basedOn w:val="Normal"/>
    <w:uiPriority w:val="99"/>
    <w:unhideWhenUsed/>
    <w:rsid w:val="004976E9"/>
    <w:pPr>
      <w:spacing w:before="107" w:after="107"/>
      <w:ind w:left="484" w:right="376"/>
    </w:pPr>
    <w:rPr>
      <w:rFonts w:ascii="Arial" w:eastAsia="Times New Roman" w:hAnsi="Arial" w:cs="Times New Roman"/>
      <w:sz w:val="19"/>
      <w:szCs w:val="19"/>
      <w:lang w:val="en-US"/>
    </w:rPr>
  </w:style>
  <w:style w:type="paragraph" w:customStyle="1" w:styleId="IPOheading2">
    <w:name w:val="IPO_heading_2"/>
    <w:basedOn w:val="Heading2"/>
    <w:autoRedefine/>
    <w:rsid w:val="004976E9"/>
    <w:pPr>
      <w:keepLines w:val="0"/>
      <w:spacing w:before="240" w:after="60"/>
      <w:jc w:val="center"/>
    </w:pPr>
    <w:rPr>
      <w:rFonts w:eastAsia="Times New Roman" w:cs="Arial"/>
      <w:b w:val="0"/>
      <w:bCs w:val="0"/>
      <w:iCs/>
      <w:color w:val="008080"/>
      <w:sz w:val="28"/>
      <w:szCs w:val="28"/>
      <w:lang w:eastAsia="lt-LT"/>
    </w:rPr>
  </w:style>
  <w:style w:type="paragraph" w:styleId="Revision">
    <w:name w:val="Revision"/>
    <w:uiPriority w:val="99"/>
    <w:semiHidden/>
    <w:rsid w:val="004976E9"/>
    <w:pPr>
      <w:suppressAutoHyphens/>
      <w:spacing w:after="0" w:line="240" w:lineRule="auto"/>
    </w:pPr>
    <w:rPr>
      <w:rFonts w:ascii="Times New Roman" w:eastAsia="Times New Roman" w:hAnsi="Times New Roman" w:cs="Times New Roman"/>
      <w:color w:val="00000A"/>
      <w:sz w:val="24"/>
      <w:szCs w:val="24"/>
      <w:lang w:val="en-GB"/>
    </w:rPr>
  </w:style>
  <w:style w:type="paragraph" w:customStyle="1" w:styleId="bod1g">
    <w:name w:val="bod 1 g"/>
    <w:basedOn w:val="Normal"/>
    <w:rsid w:val="004976E9"/>
    <w:pPr>
      <w:overflowPunct w:val="0"/>
      <w:spacing w:after="140" w:line="288" w:lineRule="auto"/>
      <w:jc w:val="both"/>
      <w:textAlignment w:val="baseline"/>
    </w:pPr>
    <w:rPr>
      <w:rFonts w:ascii="Century Gothic" w:eastAsia="Batang" w:hAnsi="Century Gothic" w:cs="Times New Roman"/>
      <w:sz w:val="18"/>
    </w:rPr>
  </w:style>
  <w:style w:type="paragraph" w:customStyle="1" w:styleId="bod1">
    <w:name w:val="bod 1"/>
    <w:basedOn w:val="Normal"/>
    <w:rsid w:val="004976E9"/>
    <w:pPr>
      <w:overflowPunct w:val="0"/>
      <w:spacing w:after="140" w:line="288" w:lineRule="auto"/>
      <w:jc w:val="both"/>
      <w:textAlignment w:val="baseline"/>
    </w:pPr>
    <w:rPr>
      <w:rFonts w:ascii="Century Gothic" w:eastAsia="Batang" w:hAnsi="Century Gothic" w:cs="Times New Roman"/>
      <w:sz w:val="18"/>
    </w:rPr>
  </w:style>
  <w:style w:type="paragraph" w:customStyle="1" w:styleId="bod1h">
    <w:name w:val="bod 1 h"/>
    <w:basedOn w:val="bod1"/>
    <w:rsid w:val="004976E9"/>
    <w:rPr>
      <w:rFonts w:eastAsia="Times New Roman"/>
      <w:b/>
      <w:i/>
    </w:rPr>
  </w:style>
  <w:style w:type="paragraph" w:customStyle="1" w:styleId="Default">
    <w:name w:val="Default"/>
    <w:rsid w:val="004976E9"/>
    <w:pPr>
      <w:widowControl w:val="0"/>
      <w:suppressAutoHyphens/>
      <w:spacing w:after="0" w:line="240" w:lineRule="auto"/>
    </w:pPr>
    <w:rPr>
      <w:rFonts w:ascii="Times" w:eastAsia="Times New Roman" w:hAnsi="Times" w:cs="Times"/>
      <w:color w:val="000000"/>
      <w:sz w:val="24"/>
      <w:szCs w:val="24"/>
      <w:lang w:val="en-US"/>
    </w:rPr>
  </w:style>
  <w:style w:type="paragraph" w:customStyle="1" w:styleId="Style6">
    <w:name w:val="Style6"/>
    <w:basedOn w:val="Normal"/>
    <w:rsid w:val="004976E9"/>
    <w:pPr>
      <w:widowControl w:val="0"/>
      <w:spacing w:line="275" w:lineRule="exact"/>
      <w:jc w:val="both"/>
    </w:pPr>
    <w:rPr>
      <w:rFonts w:ascii="Arial" w:eastAsia="Times New Roman" w:hAnsi="Arial" w:cs="Times New Roman"/>
      <w:sz w:val="18"/>
      <w:szCs w:val="24"/>
      <w:lang w:val="lt-LT" w:eastAsia="lt-LT"/>
    </w:rPr>
  </w:style>
  <w:style w:type="paragraph" w:styleId="BodyText2">
    <w:name w:val="Body Text 2"/>
    <w:basedOn w:val="Normal"/>
    <w:link w:val="BodyText2Char"/>
    <w:rsid w:val="004976E9"/>
    <w:pPr>
      <w:spacing w:after="120" w:line="480" w:lineRule="auto"/>
    </w:pPr>
    <w:rPr>
      <w:rFonts w:ascii="Times" w:eastAsia="Times New Roman" w:hAnsi="Times" w:cs="Times New Roman"/>
      <w:color w:val="auto"/>
      <w:sz w:val="24"/>
      <w:lang w:val="es-ES"/>
    </w:rPr>
  </w:style>
  <w:style w:type="character" w:customStyle="1" w:styleId="Corpodeltesto2Carattere1">
    <w:name w:val="Corpo del testo 2 Carattere1"/>
    <w:basedOn w:val="DefaultParagraphFont"/>
    <w:uiPriority w:val="99"/>
    <w:semiHidden/>
    <w:rsid w:val="004976E9"/>
    <w:rPr>
      <w:rFonts w:asciiTheme="majorHAnsi" w:eastAsia="Calibri" w:hAnsiTheme="majorHAnsi"/>
      <w:color w:val="00000A"/>
      <w:sz w:val="20"/>
      <w:szCs w:val="20"/>
      <w:lang w:val="en-GB"/>
    </w:rPr>
  </w:style>
  <w:style w:type="paragraph" w:customStyle="1" w:styleId="IPObodytext">
    <w:name w:val="IPO_body_text"/>
    <w:basedOn w:val="Normal"/>
    <w:link w:val="IPObodytextChar"/>
    <w:rsid w:val="004976E9"/>
    <w:pPr>
      <w:spacing w:line="264" w:lineRule="auto"/>
      <w:jc w:val="both"/>
    </w:pPr>
    <w:rPr>
      <w:rFonts w:ascii="Arial" w:eastAsia="Times New Roman" w:hAnsi="Arial" w:cs="Times New Roman"/>
      <w:color w:val="231F20"/>
      <w:sz w:val="17"/>
      <w:szCs w:val="17"/>
      <w:lang w:val="es-ES" w:eastAsia="lt-LT"/>
    </w:rPr>
  </w:style>
  <w:style w:type="paragraph" w:styleId="ListParagraph">
    <w:name w:val="List Paragraph"/>
    <w:basedOn w:val="Normal"/>
    <w:uiPriority w:val="34"/>
    <w:qFormat/>
    <w:rsid w:val="004976E9"/>
    <w:pPr>
      <w:spacing w:after="200" w:line="276" w:lineRule="auto"/>
      <w:ind w:left="720"/>
      <w:contextualSpacing/>
    </w:pPr>
    <w:rPr>
      <w:rFonts w:ascii="Calibri" w:hAnsi="Calibri" w:cs="Times New Roman"/>
      <w:sz w:val="22"/>
      <w:szCs w:val="22"/>
      <w:lang w:val="lt-LT"/>
    </w:rPr>
  </w:style>
  <w:style w:type="paragraph" w:customStyle="1" w:styleId="Style12">
    <w:name w:val="Style12"/>
    <w:basedOn w:val="Normal"/>
    <w:rsid w:val="004976E9"/>
    <w:pPr>
      <w:widowControl w:val="0"/>
      <w:spacing w:line="275" w:lineRule="exact"/>
      <w:jc w:val="both"/>
    </w:pPr>
    <w:rPr>
      <w:rFonts w:ascii="Arial" w:eastAsia="Times New Roman" w:hAnsi="Arial" w:cs="Times New Roman"/>
      <w:sz w:val="18"/>
      <w:szCs w:val="24"/>
      <w:lang w:val="lt-LT" w:eastAsia="lt-LT"/>
    </w:rPr>
  </w:style>
  <w:style w:type="paragraph" w:customStyle="1" w:styleId="Body1">
    <w:name w:val="Body 1"/>
    <w:basedOn w:val="Normal"/>
    <w:rsid w:val="004976E9"/>
    <w:pPr>
      <w:spacing w:after="140" w:line="288" w:lineRule="auto"/>
      <w:jc w:val="both"/>
    </w:pPr>
    <w:rPr>
      <w:rFonts w:ascii="Arial" w:eastAsia="Times New Roman" w:hAnsi="Arial" w:cs="Times New Roman"/>
    </w:rPr>
  </w:style>
  <w:style w:type="paragraph" w:customStyle="1" w:styleId="StyleHeading3BoldAutoBefore0ptAfter6pt">
    <w:name w:val="Style Heading 3 + Bold Auto Before:  0 pt After:  6 pt"/>
    <w:basedOn w:val="Heading3"/>
    <w:rsid w:val="004976E9"/>
    <w:pPr>
      <w:keepLines w:val="0"/>
      <w:tabs>
        <w:tab w:val="left" w:pos="720"/>
      </w:tabs>
      <w:spacing w:before="0" w:after="0"/>
      <w:ind w:left="720" w:hanging="720"/>
      <w:jc w:val="both"/>
    </w:pPr>
    <w:rPr>
      <w:rFonts w:ascii="Times New Roman" w:eastAsia="Times New Roman" w:hAnsi="Times New Roman" w:cs="Times New Roman"/>
      <w:b w:val="0"/>
      <w:color w:val="00000A"/>
      <w:lang w:val="lt-LT"/>
    </w:rPr>
  </w:style>
  <w:style w:type="paragraph" w:customStyle="1" w:styleId="Achievement">
    <w:name w:val="Achievement"/>
    <w:basedOn w:val="TextBody"/>
    <w:rsid w:val="004976E9"/>
    <w:pPr>
      <w:spacing w:after="60" w:line="220" w:lineRule="atLeast"/>
      <w:ind w:left="240" w:hanging="240"/>
      <w:jc w:val="both"/>
    </w:pPr>
    <w:rPr>
      <w:rFonts w:ascii="Arial" w:eastAsia="Times New Roman" w:hAnsi="Arial"/>
      <w:spacing w:val="-5"/>
      <w:sz w:val="20"/>
      <w:szCs w:val="20"/>
      <w:lang w:val="en-US" w:eastAsia="pl-PL"/>
    </w:rPr>
  </w:style>
  <w:style w:type="paragraph" w:customStyle="1" w:styleId="BMHEADING2">
    <w:name w:val="B&amp;M HEADING 2"/>
    <w:basedOn w:val="Normal"/>
    <w:link w:val="BMHEADING2Char"/>
    <w:rsid w:val="004976E9"/>
    <w:pPr>
      <w:keepNext/>
      <w:spacing w:before="120" w:after="120"/>
      <w:jc w:val="both"/>
      <w:outlineLvl w:val="1"/>
    </w:pPr>
    <w:rPr>
      <w:rFonts w:ascii="Times New Roman" w:eastAsia="Batang" w:hAnsi="Times New Roman" w:cs="Times New Roman"/>
      <w:b/>
      <w:color w:val="auto"/>
      <w:lang w:val="es-ES"/>
    </w:rPr>
  </w:style>
  <w:style w:type="paragraph" w:customStyle="1" w:styleId="IPObodytext9pt">
    <w:name w:val="IPO_body_text + 9 pt"/>
    <w:basedOn w:val="Heading1"/>
    <w:rsid w:val="004976E9"/>
    <w:pPr>
      <w:keepLines w:val="0"/>
      <w:spacing w:before="0" w:after="0"/>
    </w:pPr>
    <w:rPr>
      <w:rFonts w:eastAsia="Times New Roman" w:cs="Arial"/>
      <w:bCs/>
      <w:caps w:val="0"/>
      <w:color w:val="00000A"/>
      <w:sz w:val="18"/>
      <w:szCs w:val="18"/>
    </w:rPr>
  </w:style>
  <w:style w:type="paragraph" w:styleId="BodyText3">
    <w:name w:val="Body Text 3"/>
    <w:basedOn w:val="Normal"/>
    <w:link w:val="BodyText3Char"/>
    <w:rsid w:val="004976E9"/>
    <w:pPr>
      <w:tabs>
        <w:tab w:val="left" w:pos="2127"/>
        <w:tab w:val="left" w:pos="2552"/>
        <w:tab w:val="left" w:pos="2835"/>
        <w:tab w:val="decimal" w:pos="7513"/>
        <w:tab w:val="decimal" w:pos="8364"/>
        <w:tab w:val="decimal" w:pos="9214"/>
        <w:tab w:val="decimal" w:pos="10206"/>
      </w:tabs>
      <w:spacing w:line="240" w:lineRule="exact"/>
      <w:jc w:val="both"/>
    </w:pPr>
    <w:rPr>
      <w:rFonts w:ascii="Times New Roman" w:eastAsia="Times New Roman" w:hAnsi="Times New Roman" w:cs="Times New Roman"/>
      <w:color w:val="000000"/>
      <w:sz w:val="18"/>
      <w:lang w:val="es-ES"/>
    </w:rPr>
  </w:style>
  <w:style w:type="character" w:customStyle="1" w:styleId="Corpodeltesto3Carattere1">
    <w:name w:val="Corpo del testo 3 Carattere1"/>
    <w:basedOn w:val="DefaultParagraphFont"/>
    <w:uiPriority w:val="99"/>
    <w:semiHidden/>
    <w:rsid w:val="004976E9"/>
    <w:rPr>
      <w:rFonts w:asciiTheme="majorHAnsi" w:eastAsia="Calibri" w:hAnsiTheme="majorHAnsi"/>
      <w:color w:val="00000A"/>
      <w:sz w:val="16"/>
      <w:szCs w:val="16"/>
      <w:lang w:val="en-GB"/>
    </w:rPr>
  </w:style>
  <w:style w:type="paragraph" w:customStyle="1" w:styleId="Disclaimer">
    <w:name w:val="Disclaimer"/>
    <w:basedOn w:val="Normal"/>
    <w:rsid w:val="004976E9"/>
    <w:pPr>
      <w:spacing w:line="200" w:lineRule="exact"/>
    </w:pPr>
    <w:rPr>
      <w:rFonts w:ascii="Times New Roman" w:eastAsia="Times New Roman" w:hAnsi="Times New Roman" w:cs="Times New Roman"/>
      <w:sz w:val="16"/>
    </w:rPr>
  </w:style>
  <w:style w:type="paragraph" w:styleId="BodyTextIndent3">
    <w:name w:val="Body Text Indent 3"/>
    <w:basedOn w:val="Normal"/>
    <w:link w:val="BodyTextIndent3Char"/>
    <w:rsid w:val="004976E9"/>
    <w:pPr>
      <w:tabs>
        <w:tab w:val="left" w:pos="1134"/>
        <w:tab w:val="left" w:pos="1276"/>
        <w:tab w:val="center" w:pos="3402"/>
        <w:tab w:val="center" w:pos="4536"/>
        <w:tab w:val="center" w:pos="5670"/>
        <w:tab w:val="center" w:pos="6804"/>
        <w:tab w:val="right" w:pos="7655"/>
      </w:tabs>
      <w:spacing w:line="240" w:lineRule="exact"/>
      <w:ind w:left="-13"/>
      <w:jc w:val="both"/>
    </w:pPr>
    <w:rPr>
      <w:rFonts w:ascii="Times New Roman" w:eastAsia="Times New Roman" w:hAnsi="Times New Roman" w:cs="Times New Roman"/>
      <w:color w:val="auto"/>
      <w:sz w:val="18"/>
      <w:lang w:val="es-ES"/>
    </w:rPr>
  </w:style>
  <w:style w:type="character" w:customStyle="1" w:styleId="Rientrocorpodeltesto3Carattere1">
    <w:name w:val="Rientro corpo del testo 3 Carattere1"/>
    <w:basedOn w:val="DefaultParagraphFont"/>
    <w:uiPriority w:val="99"/>
    <w:semiHidden/>
    <w:rsid w:val="004976E9"/>
    <w:rPr>
      <w:rFonts w:asciiTheme="majorHAnsi" w:eastAsia="Calibri" w:hAnsiTheme="majorHAnsi"/>
      <w:color w:val="00000A"/>
      <w:sz w:val="16"/>
      <w:szCs w:val="16"/>
      <w:lang w:val="en-GB"/>
    </w:rPr>
  </w:style>
  <w:style w:type="paragraph" w:customStyle="1" w:styleId="Style1">
    <w:name w:val="Style 1"/>
    <w:basedOn w:val="Normal"/>
    <w:rsid w:val="004976E9"/>
    <w:pPr>
      <w:widowControl w:val="0"/>
    </w:pPr>
    <w:rPr>
      <w:rFonts w:ascii="Times New Roman" w:eastAsia="Times New Roman" w:hAnsi="Times New Roman" w:cs="Times New Roman"/>
      <w:szCs w:val="24"/>
      <w:lang w:val="en-US"/>
    </w:rPr>
  </w:style>
  <w:style w:type="paragraph" w:customStyle="1" w:styleId="RRthousands">
    <w:name w:val="RR thousands"/>
    <w:basedOn w:val="Normal"/>
    <w:link w:val="RRthousandsChar"/>
    <w:rsid w:val="004976E9"/>
    <w:pPr>
      <w:ind w:left="86" w:hanging="86"/>
    </w:pPr>
    <w:rPr>
      <w:rFonts w:ascii="Arial" w:eastAsia="Times New Roman" w:hAnsi="Arial" w:cs="Arial"/>
      <w:i/>
      <w:color w:val="auto"/>
      <w:sz w:val="16"/>
      <w:lang w:val="es-ES"/>
    </w:rPr>
  </w:style>
  <w:style w:type="paragraph" w:customStyle="1" w:styleId="ABC-paragrahinNotes">
    <w:name w:val="ABC - paragrah in Notes"/>
    <w:rsid w:val="004976E9"/>
    <w:pPr>
      <w:suppressAutoHyphens/>
      <w:spacing w:after="240" w:line="240" w:lineRule="auto"/>
      <w:jc w:val="both"/>
    </w:pPr>
    <w:rPr>
      <w:rFonts w:ascii="Arial" w:eastAsia="Times New Roman" w:hAnsi="Arial" w:cs="Times New Roman"/>
      <w:color w:val="00000A"/>
      <w:sz w:val="18"/>
      <w:szCs w:val="20"/>
      <w:lang w:val="en-GB"/>
    </w:rPr>
  </w:style>
  <w:style w:type="paragraph" w:customStyle="1" w:styleId="NormalWeb2">
    <w:name w:val="Normal (Web)2"/>
    <w:basedOn w:val="Normal"/>
    <w:link w:val="NormalWeb2Char"/>
    <w:rsid w:val="004976E9"/>
    <w:pPr>
      <w:spacing w:before="75" w:after="75"/>
    </w:pPr>
    <w:rPr>
      <w:rFonts w:ascii="Arial" w:eastAsia="Times New Roman" w:hAnsi="Arial" w:cs="Times New Roman"/>
      <w:color w:val="auto"/>
      <w:sz w:val="24"/>
      <w:szCs w:val="24"/>
      <w:lang w:val="lt-LT" w:eastAsia="lt-LT"/>
    </w:rPr>
  </w:style>
  <w:style w:type="paragraph" w:customStyle="1" w:styleId="Norma">
    <w:name w:val="Norma"/>
    <w:basedOn w:val="Normal"/>
    <w:rsid w:val="004976E9"/>
    <w:pPr>
      <w:jc w:val="both"/>
    </w:pPr>
    <w:rPr>
      <w:rFonts w:ascii="Times New Roman" w:eastAsia="Times New Roman" w:hAnsi="Times New Roman" w:cs="Times New Roman"/>
      <w:lang w:val="en-US"/>
    </w:rPr>
  </w:style>
  <w:style w:type="paragraph" w:customStyle="1" w:styleId="a-head-4">
    <w:name w:val="a-head-4"/>
    <w:basedOn w:val="Normal"/>
    <w:rsid w:val="004976E9"/>
    <w:pPr>
      <w:widowControl w:val="0"/>
      <w:tabs>
        <w:tab w:val="left" w:pos="1188"/>
      </w:tabs>
      <w:spacing w:line="240" w:lineRule="atLeast"/>
    </w:pPr>
    <w:rPr>
      <w:rFonts w:ascii="Arial" w:eastAsia="Times New Roman" w:hAnsi="Arial" w:cs="Arial"/>
      <w:i/>
      <w:sz w:val="16"/>
      <w:szCs w:val="16"/>
      <w:lang w:val="en-US"/>
    </w:rPr>
  </w:style>
  <w:style w:type="paragraph" w:styleId="MacroText">
    <w:name w:val="macro"/>
    <w:link w:val="MacroTextChar"/>
    <w:semiHidden/>
    <w:rsid w:val="004976E9"/>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pPr>
    <w:rPr>
      <w:rFonts w:ascii="Arial" w:eastAsia="Times New Roman" w:hAnsi="Arial" w:cs="Times New Roman"/>
      <w:sz w:val="20"/>
      <w:szCs w:val="20"/>
    </w:rPr>
  </w:style>
  <w:style w:type="character" w:customStyle="1" w:styleId="TestomacroCarattere1">
    <w:name w:val="Testo macro Carattere1"/>
    <w:basedOn w:val="DefaultParagraphFont"/>
    <w:uiPriority w:val="99"/>
    <w:semiHidden/>
    <w:rsid w:val="004976E9"/>
    <w:rPr>
      <w:rFonts w:ascii="Consolas" w:eastAsia="Calibri" w:hAnsi="Consolas"/>
      <w:color w:val="00000A"/>
      <w:sz w:val="20"/>
      <w:szCs w:val="20"/>
      <w:lang w:val="en-GB"/>
    </w:rPr>
  </w:style>
  <w:style w:type="paragraph" w:styleId="PlainText">
    <w:name w:val="Plain Text"/>
    <w:basedOn w:val="Normal"/>
    <w:link w:val="PlainTextChar"/>
    <w:rsid w:val="004976E9"/>
    <w:rPr>
      <w:rFonts w:ascii="Courier New" w:eastAsia="Times New Roman" w:hAnsi="Courier New" w:cs="Courier New"/>
      <w:color w:val="auto"/>
      <w:lang w:val="lt-LT" w:eastAsia="lt-LT"/>
    </w:rPr>
  </w:style>
  <w:style w:type="character" w:customStyle="1" w:styleId="TestonormaleCarattere1">
    <w:name w:val="Testo normale Carattere1"/>
    <w:basedOn w:val="DefaultParagraphFont"/>
    <w:uiPriority w:val="99"/>
    <w:semiHidden/>
    <w:rsid w:val="004976E9"/>
    <w:rPr>
      <w:rFonts w:ascii="Consolas" w:eastAsia="Calibri" w:hAnsi="Consolas"/>
      <w:color w:val="00000A"/>
      <w:sz w:val="21"/>
      <w:szCs w:val="21"/>
      <w:lang w:val="en-GB"/>
    </w:rPr>
  </w:style>
  <w:style w:type="paragraph" w:customStyle="1" w:styleId="Caption9pt">
    <w:name w:val="Caption + 9 pt"/>
    <w:basedOn w:val="Normal"/>
    <w:rsid w:val="004976E9"/>
    <w:pPr>
      <w:jc w:val="both"/>
    </w:pPr>
    <w:rPr>
      <w:rFonts w:ascii="Arial" w:eastAsia="Times New Roman" w:hAnsi="Arial" w:cs="Times New Roman"/>
      <w:sz w:val="18"/>
      <w:szCs w:val="18"/>
    </w:rPr>
  </w:style>
  <w:style w:type="paragraph" w:customStyle="1" w:styleId="Heading3Left0cm">
    <w:name w:val="Heading 3 + Left:  0 cm"/>
    <w:basedOn w:val="Normal"/>
    <w:link w:val="Heading3Left0cmBefore6ptBoldBoldBoldBoldBoldBoCharChar1"/>
    <w:rsid w:val="004976E9"/>
    <w:rPr>
      <w:rFonts w:ascii="Arial" w:eastAsia="Times New Roman" w:hAnsi="Arial" w:cs="Times New Roman"/>
      <w:color w:val="auto"/>
      <w:sz w:val="18"/>
      <w:szCs w:val="24"/>
      <w:lang w:val="lt-LT"/>
    </w:rPr>
  </w:style>
  <w:style w:type="paragraph" w:customStyle="1" w:styleId="CharChar25">
    <w:name w:val="Char Char25"/>
    <w:basedOn w:val="Normal"/>
    <w:uiPriority w:val="99"/>
    <w:rsid w:val="004976E9"/>
    <w:pPr>
      <w:spacing w:after="120" w:line="360" w:lineRule="auto"/>
    </w:pPr>
    <w:rPr>
      <w:rFonts w:ascii="Verdana" w:eastAsia="Batang" w:hAnsi="Verdana" w:cs="Times New Roman"/>
      <w:szCs w:val="24"/>
      <w:lang w:val="pl-PL" w:eastAsia="pl-PL"/>
    </w:rPr>
  </w:style>
  <w:style w:type="paragraph" w:customStyle="1" w:styleId="CharChar5">
    <w:name w:val="Char Char5"/>
    <w:basedOn w:val="Normal"/>
    <w:rsid w:val="004976E9"/>
    <w:pPr>
      <w:spacing w:after="120" w:line="360" w:lineRule="auto"/>
    </w:pPr>
    <w:rPr>
      <w:rFonts w:ascii="Verdana" w:eastAsia="Batang" w:hAnsi="Verdana" w:cs="Times New Roman"/>
      <w:szCs w:val="24"/>
      <w:lang w:val="pl-PL" w:eastAsia="pl-PL"/>
    </w:rPr>
  </w:style>
  <w:style w:type="paragraph" w:customStyle="1" w:styleId="Style87">
    <w:name w:val="Style87"/>
    <w:basedOn w:val="Normal"/>
    <w:rsid w:val="004976E9"/>
    <w:pPr>
      <w:widowControl w:val="0"/>
      <w:spacing w:line="511" w:lineRule="exact"/>
    </w:pPr>
    <w:rPr>
      <w:rFonts w:ascii="Times New Roman" w:eastAsia="Times New Roman" w:hAnsi="Times New Roman" w:cs="Times New Roman"/>
      <w:sz w:val="24"/>
      <w:szCs w:val="24"/>
      <w:lang w:val="lt-LT" w:eastAsia="lt-LT"/>
    </w:rPr>
  </w:style>
  <w:style w:type="paragraph" w:customStyle="1" w:styleId="BMBodyText">
    <w:name w:val="B&amp;M Body Text"/>
    <w:basedOn w:val="Normal"/>
    <w:link w:val="BMBodyTextChar"/>
    <w:rsid w:val="004976E9"/>
    <w:pPr>
      <w:tabs>
        <w:tab w:val="right" w:pos="9570"/>
      </w:tabs>
      <w:spacing w:before="120" w:after="120"/>
      <w:jc w:val="both"/>
    </w:pPr>
    <w:rPr>
      <w:rFonts w:ascii="Times New Roman" w:eastAsia="Times New Roman" w:hAnsi="Times New Roman" w:cs="Times New Roman"/>
      <w:bCs/>
      <w:color w:val="auto"/>
      <w:szCs w:val="24"/>
      <w:lang w:val="en-US"/>
    </w:rPr>
  </w:style>
  <w:style w:type="paragraph" w:customStyle="1" w:styleId="BMBullet">
    <w:name w:val="B&amp;M Bullet"/>
    <w:basedOn w:val="BMBodyText"/>
    <w:link w:val="BMBulletCharChar"/>
    <w:rsid w:val="004976E9"/>
    <w:rPr>
      <w:szCs w:val="20"/>
    </w:rPr>
  </w:style>
  <w:style w:type="paragraph" w:customStyle="1" w:styleId="BMHEADING3">
    <w:name w:val="B&amp;M HEADING 3"/>
    <w:basedOn w:val="Normal"/>
    <w:link w:val="BMHEADING3Char"/>
    <w:rsid w:val="004976E9"/>
    <w:pPr>
      <w:keepNext/>
      <w:spacing w:before="120" w:after="120"/>
      <w:jc w:val="both"/>
    </w:pPr>
    <w:rPr>
      <w:rFonts w:ascii="Times New Roman Bold" w:eastAsia="Times New Roman" w:hAnsi="Times New Roman Bold" w:cs="Times New Roman"/>
      <w:b/>
      <w:bCs/>
      <w:i/>
      <w:color w:val="auto"/>
      <w:lang w:val="en-US" w:eastAsia="pl-PL"/>
    </w:rPr>
  </w:style>
  <w:style w:type="paragraph" w:customStyle="1" w:styleId="lenteliupavadinimams">
    <w:name w:val="lenteliu_pavadinimams"/>
    <w:basedOn w:val="Normal"/>
    <w:rsid w:val="004976E9"/>
    <w:pPr>
      <w:spacing w:after="120" w:line="276" w:lineRule="auto"/>
      <w:jc w:val="both"/>
    </w:pPr>
    <w:rPr>
      <w:rFonts w:ascii="Calibri" w:eastAsia="Times New Roman" w:hAnsi="Calibri" w:cs="Times New Roman"/>
      <w:b/>
      <w:color w:val="003366"/>
      <w:lang w:val="en-US"/>
    </w:rPr>
  </w:style>
  <w:style w:type="paragraph" w:customStyle="1" w:styleId="CharChar111">
    <w:name w:val="Char Char111"/>
    <w:basedOn w:val="Normal"/>
    <w:uiPriority w:val="99"/>
    <w:rsid w:val="004976E9"/>
    <w:pPr>
      <w:spacing w:after="120" w:line="360" w:lineRule="auto"/>
    </w:pPr>
    <w:rPr>
      <w:rFonts w:ascii="Verdana" w:eastAsia="Batang" w:hAnsi="Verdana" w:cs="Times New Roman"/>
      <w:szCs w:val="24"/>
      <w:lang w:val="pl-PL" w:eastAsia="pl-PL"/>
    </w:rPr>
  </w:style>
  <w:style w:type="paragraph" w:customStyle="1" w:styleId="Heading3Left0cm1">
    <w:name w:val="Heading 3 + Left:  0 cm1"/>
    <w:basedOn w:val="Normal"/>
    <w:rsid w:val="004976E9"/>
    <w:rPr>
      <w:rFonts w:ascii="Arial" w:eastAsia="Times New Roman" w:hAnsi="Arial" w:cs="Times New Roman"/>
      <w:sz w:val="18"/>
      <w:szCs w:val="24"/>
      <w:lang w:val="lt-LT"/>
    </w:rPr>
  </w:style>
  <w:style w:type="paragraph" w:customStyle="1" w:styleId="prospectusbody">
    <w:name w:val="prospectus body"/>
    <w:basedOn w:val="Normal"/>
    <w:rsid w:val="004976E9"/>
    <w:pPr>
      <w:spacing w:before="120" w:after="120"/>
      <w:jc w:val="both"/>
    </w:pPr>
    <w:rPr>
      <w:rFonts w:ascii="Arial" w:eastAsia="Arial Unicode MS" w:hAnsi="Arial" w:cs="Arial"/>
      <w:sz w:val="18"/>
      <w:szCs w:val="24"/>
      <w:lang w:val="en-US" w:eastAsia="ko-KR"/>
    </w:rPr>
  </w:style>
  <w:style w:type="paragraph" w:customStyle="1" w:styleId="NormalArial">
    <w:name w:val="Normal + Arial"/>
    <w:basedOn w:val="Normal"/>
    <w:rsid w:val="004976E9"/>
    <w:pPr>
      <w:spacing w:after="120"/>
      <w:ind w:firstLine="709"/>
      <w:jc w:val="both"/>
    </w:pPr>
    <w:rPr>
      <w:rFonts w:ascii="Arial" w:eastAsia="Times New Roman" w:hAnsi="Arial" w:cs="Arial"/>
      <w:lang w:val="lt-LT" w:eastAsia="lt-LT"/>
    </w:rPr>
  </w:style>
  <w:style w:type="paragraph" w:customStyle="1" w:styleId="xl24">
    <w:name w:val="xl24"/>
    <w:basedOn w:val="Normal"/>
    <w:rsid w:val="004976E9"/>
    <w:pPr>
      <w:spacing w:before="280" w:after="280"/>
    </w:pPr>
    <w:rPr>
      <w:rFonts w:ascii="CenturyCondensed" w:eastAsia="Arial Unicode MS" w:hAnsi="CenturyCondensed" w:cs="Arial Unicode MS"/>
      <w:color w:val="000000"/>
      <w:sz w:val="24"/>
      <w:szCs w:val="24"/>
      <w:lang w:val="en-US"/>
    </w:rPr>
  </w:style>
  <w:style w:type="paragraph" w:customStyle="1" w:styleId="xl25">
    <w:name w:val="xl25"/>
    <w:basedOn w:val="Normal"/>
    <w:rsid w:val="004976E9"/>
    <w:pPr>
      <w:spacing w:before="280" w:after="280"/>
      <w:jc w:val="right"/>
    </w:pPr>
    <w:rPr>
      <w:rFonts w:ascii="Arial" w:eastAsia="Arial Unicode MS" w:hAnsi="Arial" w:cs="Arial"/>
      <w:b/>
      <w:bCs/>
      <w:sz w:val="24"/>
      <w:szCs w:val="24"/>
      <w:lang w:val="en-US"/>
    </w:rPr>
  </w:style>
  <w:style w:type="paragraph" w:customStyle="1" w:styleId="ReportHeading1">
    <w:name w:val="ReportHeading1"/>
    <w:basedOn w:val="Normal"/>
    <w:rsid w:val="004976E9"/>
    <w:pPr>
      <w:spacing w:line="300" w:lineRule="atLeast"/>
    </w:pPr>
    <w:rPr>
      <w:rFonts w:ascii="Arial" w:eastAsia="Times New Roman" w:hAnsi="Arial" w:cs="Times New Roman"/>
      <w:b/>
      <w:sz w:val="24"/>
      <w:lang w:val="lt-LT"/>
    </w:rPr>
  </w:style>
  <w:style w:type="paragraph" w:customStyle="1" w:styleId="AANumbering">
    <w:name w:val="AA Numbering"/>
    <w:basedOn w:val="Normal"/>
    <w:rsid w:val="004976E9"/>
    <w:pPr>
      <w:spacing w:line="240" w:lineRule="atLeast"/>
    </w:pPr>
    <w:rPr>
      <w:rFonts w:ascii="Arial" w:eastAsia="Times New Roman" w:hAnsi="Arial" w:cs="Times New Roman"/>
      <w:sz w:val="18"/>
      <w:lang w:val="en-US"/>
    </w:rPr>
  </w:style>
  <w:style w:type="paragraph" w:customStyle="1" w:styleId="TextBodyIndent">
    <w:name w:val="Text Body Indent"/>
    <w:basedOn w:val="Normal"/>
    <w:link w:val="RientrocorpodeltestoCarattere"/>
    <w:rsid w:val="004976E9"/>
    <w:pPr>
      <w:ind w:left="360"/>
    </w:pPr>
    <w:rPr>
      <w:rFonts w:ascii="Times New Roman" w:eastAsia="Times New Roman" w:hAnsi="Times New Roman" w:cs="Times New Roman"/>
      <w:color w:val="auto"/>
      <w:sz w:val="22"/>
      <w:szCs w:val="24"/>
      <w:lang w:val="es-ES"/>
    </w:rPr>
  </w:style>
  <w:style w:type="paragraph" w:styleId="BodyTextIndent2">
    <w:name w:val="Body Text Indent 2"/>
    <w:basedOn w:val="Normal"/>
    <w:link w:val="BodyTextIndent2Char"/>
    <w:rsid w:val="004976E9"/>
    <w:pPr>
      <w:ind w:left="900"/>
    </w:pPr>
    <w:rPr>
      <w:rFonts w:ascii="Times New Roman" w:eastAsia="Times New Roman" w:hAnsi="Times New Roman" w:cs="Times New Roman"/>
      <w:color w:val="auto"/>
      <w:sz w:val="22"/>
      <w:szCs w:val="24"/>
      <w:lang w:val="es-ES"/>
    </w:rPr>
  </w:style>
  <w:style w:type="character" w:customStyle="1" w:styleId="Rientrocorpodeltesto2Carattere1">
    <w:name w:val="Rientro corpo del testo 2 Carattere1"/>
    <w:basedOn w:val="DefaultParagraphFont"/>
    <w:uiPriority w:val="99"/>
    <w:semiHidden/>
    <w:rsid w:val="004976E9"/>
    <w:rPr>
      <w:rFonts w:asciiTheme="majorHAnsi" w:eastAsia="Calibri" w:hAnsiTheme="majorHAnsi"/>
      <w:color w:val="00000A"/>
      <w:sz w:val="20"/>
      <w:szCs w:val="20"/>
      <w:lang w:val="en-GB"/>
    </w:rPr>
  </w:style>
  <w:style w:type="paragraph" w:customStyle="1" w:styleId="ABLOCKPARA">
    <w:name w:val="A BLOCK PARA"/>
    <w:basedOn w:val="Normal"/>
    <w:rsid w:val="004976E9"/>
    <w:rPr>
      <w:rFonts w:ascii="Book Antiqua" w:eastAsia="Times New Roman" w:hAnsi="Book Antiqua" w:cs="Times New Roman"/>
      <w:sz w:val="22"/>
    </w:rPr>
  </w:style>
  <w:style w:type="paragraph" w:styleId="BlockText">
    <w:name w:val="Block Text"/>
    <w:basedOn w:val="Normal"/>
    <w:rsid w:val="004976E9"/>
    <w:pPr>
      <w:tabs>
        <w:tab w:val="left" w:pos="567"/>
      </w:tabs>
      <w:ind w:left="180" w:right="283"/>
    </w:pPr>
    <w:rPr>
      <w:rFonts w:ascii="Times New Roman" w:eastAsia="Times New Roman" w:hAnsi="Times New Roman" w:cs="Times New Roman"/>
      <w:sz w:val="22"/>
      <w:szCs w:val="24"/>
    </w:rPr>
  </w:style>
  <w:style w:type="paragraph" w:styleId="ListBullet2">
    <w:name w:val="List Bullet 2"/>
    <w:basedOn w:val="Normal"/>
    <w:rsid w:val="004976E9"/>
    <w:pPr>
      <w:tabs>
        <w:tab w:val="left" w:pos="227"/>
        <w:tab w:val="left" w:pos="454"/>
        <w:tab w:val="left" w:pos="567"/>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851" w:hanging="284"/>
    </w:pPr>
    <w:rPr>
      <w:rFonts w:ascii="Arial" w:eastAsia="Times New Roman" w:hAnsi="Arial" w:cs="Times New Roman"/>
      <w:sz w:val="18"/>
      <w:lang w:val="en-US"/>
    </w:rPr>
  </w:style>
  <w:style w:type="paragraph" w:customStyle="1" w:styleId="AAheadingwocontents">
    <w:name w:val="AA heading wo contents"/>
    <w:basedOn w:val="Normal"/>
    <w:rsid w:val="004976E9"/>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80" w:lineRule="atLeast"/>
    </w:pPr>
    <w:rPr>
      <w:rFonts w:ascii="Times New Roman" w:eastAsia="Times New Roman" w:hAnsi="Times New Roman" w:cs="Times New Roman"/>
      <w:b/>
      <w:sz w:val="22"/>
      <w:lang w:val="en-US"/>
    </w:rPr>
  </w:style>
  <w:style w:type="paragraph" w:styleId="NormalIndent">
    <w:name w:val="Normal Indent"/>
    <w:basedOn w:val="Normal"/>
    <w:rsid w:val="004976E9"/>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284"/>
    </w:pPr>
    <w:rPr>
      <w:rFonts w:ascii="Arial" w:eastAsia="Times New Roman" w:hAnsi="Arial" w:cs="Times New Roman"/>
      <w:sz w:val="18"/>
      <w:lang w:val="en-US"/>
    </w:rPr>
  </w:style>
  <w:style w:type="paragraph" w:customStyle="1" w:styleId="StandaardOpinion">
    <w:name w:val="StandaardOpinion"/>
    <w:basedOn w:val="Normal"/>
    <w:rsid w:val="004976E9"/>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80" w:lineRule="atLeast"/>
    </w:pPr>
    <w:rPr>
      <w:rFonts w:ascii="Times New Roman" w:eastAsia="Times New Roman" w:hAnsi="Times New Roman" w:cs="Times New Roman"/>
      <w:sz w:val="22"/>
      <w:lang w:val="en-US"/>
    </w:rPr>
  </w:style>
  <w:style w:type="paragraph" w:customStyle="1" w:styleId="ps-000-normal">
    <w:name w:val="ps-000-normal"/>
    <w:basedOn w:val="Normal"/>
    <w:rsid w:val="004976E9"/>
    <w:pPr>
      <w:spacing w:before="280" w:after="280"/>
    </w:pPr>
    <w:rPr>
      <w:rFonts w:ascii="Times New Roman" w:eastAsia="Times New Roman" w:hAnsi="Times New Roman" w:cs="Times New Roman"/>
      <w:sz w:val="24"/>
      <w:szCs w:val="24"/>
      <w:lang w:val="en-US"/>
    </w:rPr>
  </w:style>
  <w:style w:type="paragraph" w:customStyle="1" w:styleId="00">
    <w:name w:val="00"/>
    <w:basedOn w:val="Normal"/>
    <w:rsid w:val="004976E9"/>
    <w:pPr>
      <w:overflowPunct w:val="0"/>
      <w:spacing w:before="120" w:line="220" w:lineRule="exact"/>
      <w:jc w:val="both"/>
      <w:textAlignment w:val="baseline"/>
    </w:pPr>
    <w:rPr>
      <w:rFonts w:ascii="Garamond" w:eastAsia="Times New Roman" w:hAnsi="Garamond" w:cs="Times New Roman"/>
    </w:rPr>
  </w:style>
  <w:style w:type="paragraph" w:customStyle="1" w:styleId="FirstHeaderTitle">
    <w:name w:val="First Header Title"/>
    <w:basedOn w:val="Normal"/>
    <w:rsid w:val="004976E9"/>
    <w:pPr>
      <w:widowControl w:val="0"/>
      <w:tabs>
        <w:tab w:val="right" w:pos="10080"/>
      </w:tabs>
      <w:overflowPunct w:val="0"/>
      <w:spacing w:before="120"/>
      <w:textAlignment w:val="baseline"/>
    </w:pPr>
    <w:rPr>
      <w:rFonts w:ascii="EY Gothic Cond Demi" w:eastAsia="Times New Roman" w:hAnsi="EY Gothic Cond Demi" w:cs="Times New Roman"/>
      <w:b/>
      <w:sz w:val="44"/>
      <w:lang w:val="en-US"/>
    </w:rPr>
  </w:style>
  <w:style w:type="paragraph" w:customStyle="1" w:styleId="1-regular">
    <w:name w:val="1-regular"/>
    <w:basedOn w:val="Normal"/>
    <w:rsid w:val="004976E9"/>
    <w:pPr>
      <w:overflowPunct w:val="0"/>
      <w:spacing w:after="160" w:line="320" w:lineRule="atLeast"/>
      <w:textAlignment w:val="baseline"/>
    </w:pPr>
    <w:rPr>
      <w:rFonts w:ascii="Times" w:eastAsia="Times New Roman" w:hAnsi="Times" w:cs="Times New Roman"/>
      <w:sz w:val="26"/>
      <w:lang w:val="en-US"/>
    </w:rPr>
  </w:style>
  <w:style w:type="paragraph" w:customStyle="1" w:styleId="c2q2">
    <w:name w:val="c2q2"/>
    <w:basedOn w:val="Normal"/>
    <w:rsid w:val="004976E9"/>
    <w:pPr>
      <w:spacing w:before="280" w:after="120"/>
      <w:ind w:left="340" w:hanging="340"/>
    </w:pPr>
    <w:rPr>
      <w:rFonts w:ascii="Arial" w:eastAsia="Times New Roman" w:hAnsi="Arial" w:cs="Arial"/>
      <w:color w:val="000000"/>
      <w:lang w:val="lt-LT" w:eastAsia="lt-LT"/>
    </w:rPr>
  </w:style>
  <w:style w:type="paragraph" w:customStyle="1" w:styleId="c2q3">
    <w:name w:val="c2q3"/>
    <w:basedOn w:val="Normal"/>
    <w:rsid w:val="004976E9"/>
    <w:pPr>
      <w:spacing w:before="280" w:after="120"/>
      <w:ind w:left="560" w:hanging="340"/>
    </w:pPr>
    <w:rPr>
      <w:rFonts w:ascii="Arial" w:eastAsia="Times New Roman" w:hAnsi="Arial" w:cs="Arial"/>
      <w:color w:val="000000"/>
      <w:lang w:val="lt-LT" w:eastAsia="lt-LT"/>
    </w:rPr>
  </w:style>
  <w:style w:type="paragraph" w:styleId="z-TopofForm">
    <w:name w:val="HTML Top of Form"/>
    <w:basedOn w:val="Normal"/>
    <w:link w:val="z-TopofFormChar"/>
    <w:rsid w:val="004976E9"/>
    <w:pPr>
      <w:pBdr>
        <w:bottom w:val="single" w:sz="6" w:space="1" w:color="00000A"/>
      </w:pBdr>
      <w:jc w:val="center"/>
    </w:pPr>
    <w:rPr>
      <w:rFonts w:ascii="Arial" w:eastAsia="Times New Roman" w:hAnsi="Arial" w:cs="Arial"/>
      <w:vanish/>
      <w:sz w:val="16"/>
      <w:szCs w:val="16"/>
      <w:lang w:val="lt-LT" w:eastAsia="lt-LT"/>
    </w:rPr>
  </w:style>
  <w:style w:type="character" w:customStyle="1" w:styleId="z-TopofFormChar">
    <w:name w:val="z-Top of Form Char"/>
    <w:basedOn w:val="DefaultParagraphFont"/>
    <w:link w:val="z-TopofForm"/>
    <w:rsid w:val="004976E9"/>
    <w:rPr>
      <w:rFonts w:ascii="Arial" w:eastAsia="Times New Roman" w:hAnsi="Arial" w:cs="Arial"/>
      <w:vanish/>
      <w:color w:val="00000A"/>
      <w:sz w:val="16"/>
      <w:szCs w:val="16"/>
      <w:lang w:val="lt-LT" w:eastAsia="lt-LT"/>
    </w:rPr>
  </w:style>
  <w:style w:type="paragraph" w:styleId="z-BottomofForm">
    <w:name w:val="HTML Bottom of Form"/>
    <w:basedOn w:val="Normal"/>
    <w:link w:val="z-BottomofFormChar"/>
    <w:rsid w:val="004976E9"/>
    <w:pPr>
      <w:pBdr>
        <w:top w:val="single" w:sz="6" w:space="1" w:color="00000A"/>
      </w:pBdr>
      <w:jc w:val="center"/>
    </w:pPr>
    <w:rPr>
      <w:rFonts w:ascii="Arial" w:eastAsia="Times New Roman" w:hAnsi="Arial" w:cs="Arial"/>
      <w:vanish/>
      <w:sz w:val="16"/>
      <w:szCs w:val="16"/>
      <w:lang w:val="lt-LT" w:eastAsia="lt-LT"/>
    </w:rPr>
  </w:style>
  <w:style w:type="character" w:customStyle="1" w:styleId="z-BottomofFormChar">
    <w:name w:val="z-Bottom of Form Char"/>
    <w:basedOn w:val="DefaultParagraphFont"/>
    <w:link w:val="z-BottomofForm"/>
    <w:rsid w:val="004976E9"/>
    <w:rPr>
      <w:rFonts w:ascii="Arial" w:eastAsia="Times New Roman" w:hAnsi="Arial" w:cs="Arial"/>
      <w:vanish/>
      <w:color w:val="00000A"/>
      <w:sz w:val="16"/>
      <w:szCs w:val="16"/>
      <w:lang w:val="lt-LT" w:eastAsia="lt-LT"/>
    </w:rPr>
  </w:style>
  <w:style w:type="paragraph" w:customStyle="1" w:styleId="c2q1">
    <w:name w:val="c2q1"/>
    <w:basedOn w:val="Normal"/>
    <w:rsid w:val="004976E9"/>
    <w:pPr>
      <w:spacing w:after="120"/>
    </w:pPr>
    <w:rPr>
      <w:rFonts w:ascii="Arial" w:eastAsia="Times New Roman" w:hAnsi="Arial" w:cs="Arial"/>
      <w:color w:val="000000"/>
      <w:lang w:val="lt-LT" w:eastAsia="lt-LT"/>
    </w:rPr>
  </w:style>
  <w:style w:type="paragraph" w:customStyle="1" w:styleId="Pa5">
    <w:name w:val="Pa5"/>
    <w:basedOn w:val="Normal"/>
    <w:rsid w:val="004976E9"/>
    <w:pPr>
      <w:spacing w:line="191" w:lineRule="atLeast"/>
    </w:pPr>
    <w:rPr>
      <w:rFonts w:ascii="Times New Roman" w:eastAsia="Times New Roman" w:hAnsi="Times New Roman" w:cs="Times New Roman"/>
      <w:sz w:val="24"/>
      <w:szCs w:val="24"/>
      <w:lang w:val="lt-LT" w:eastAsia="lt-LT"/>
    </w:rPr>
  </w:style>
  <w:style w:type="paragraph" w:customStyle="1" w:styleId="000Normal">
    <w:name w:val="000 Normal"/>
    <w:basedOn w:val="Normal"/>
    <w:rsid w:val="004976E9"/>
    <w:pPr>
      <w:overflowPunct w:val="0"/>
      <w:spacing w:before="60" w:after="40" w:line="220" w:lineRule="exact"/>
      <w:jc w:val="both"/>
      <w:textAlignment w:val="baseline"/>
    </w:pPr>
    <w:rPr>
      <w:rFonts w:ascii="Garamond" w:eastAsia="Times New Roman" w:hAnsi="Garamond" w:cs="Times New Roman"/>
    </w:rPr>
  </w:style>
  <w:style w:type="paragraph" w:customStyle="1" w:styleId="200Tableleft">
    <w:name w:val="200 Table left"/>
    <w:basedOn w:val="000Normal"/>
    <w:rsid w:val="004976E9"/>
    <w:pPr>
      <w:spacing w:before="20" w:after="0" w:line="200" w:lineRule="exact"/>
      <w:jc w:val="left"/>
    </w:pPr>
  </w:style>
  <w:style w:type="paragraph" w:customStyle="1" w:styleId="EY">
    <w:name w:val="EY"/>
    <w:rsid w:val="004976E9"/>
    <w:pPr>
      <w:suppressAutoHyphens/>
      <w:spacing w:after="0" w:line="240" w:lineRule="auto"/>
    </w:pPr>
    <w:rPr>
      <w:rFonts w:ascii="Arial" w:eastAsia="Times New Roman" w:hAnsi="Arial" w:cs="Arial"/>
      <w:color w:val="00000A"/>
      <w:sz w:val="18"/>
      <w:szCs w:val="18"/>
      <w:lang w:val="lt-LT"/>
    </w:rPr>
  </w:style>
  <w:style w:type="paragraph" w:customStyle="1" w:styleId="Invalda1">
    <w:name w:val="Invalda 1"/>
    <w:basedOn w:val="Heading1"/>
    <w:rsid w:val="004976E9"/>
    <w:pPr>
      <w:keepLines w:val="0"/>
      <w:spacing w:before="0" w:after="0"/>
    </w:pPr>
    <w:rPr>
      <w:rFonts w:eastAsia="Times New Roman" w:cs="Arial"/>
      <w:bCs/>
      <w:caps w:val="0"/>
      <w:color w:val="00000A"/>
      <w:sz w:val="24"/>
      <w:szCs w:val="24"/>
      <w:lang w:val="lt-LT"/>
    </w:rPr>
  </w:style>
  <w:style w:type="paragraph" w:customStyle="1" w:styleId="Invalda2">
    <w:name w:val="Invalda 2"/>
    <w:basedOn w:val="Heading7"/>
    <w:rsid w:val="004976E9"/>
    <w:pPr>
      <w:keepLines w:val="0"/>
      <w:spacing w:before="0"/>
    </w:pPr>
    <w:rPr>
      <w:rFonts w:ascii="Arial" w:eastAsia="Times New Roman" w:hAnsi="Arial" w:cs="Arial"/>
      <w:b/>
      <w:bCs/>
      <w:iCs w:val="0"/>
      <w:color w:val="00000A"/>
      <w:sz w:val="18"/>
    </w:rPr>
  </w:style>
  <w:style w:type="paragraph" w:customStyle="1" w:styleId="Invalda3">
    <w:name w:val="Invalda 3"/>
    <w:basedOn w:val="Heading7"/>
    <w:rsid w:val="004976E9"/>
    <w:pPr>
      <w:keepLines w:val="0"/>
      <w:tabs>
        <w:tab w:val="left" w:pos="540"/>
      </w:tabs>
      <w:spacing w:before="0"/>
    </w:pPr>
    <w:rPr>
      <w:rFonts w:ascii="Arial" w:eastAsia="Times New Roman" w:hAnsi="Arial" w:cs="Arial"/>
      <w:b/>
      <w:bCs/>
      <w:iCs w:val="0"/>
      <w:color w:val="00000A"/>
      <w:sz w:val="18"/>
      <w:szCs w:val="18"/>
    </w:rPr>
  </w:style>
  <w:style w:type="paragraph" w:customStyle="1" w:styleId="Tekstas">
    <w:name w:val="+ Tekstas"/>
    <w:basedOn w:val="Normal"/>
    <w:qFormat/>
    <w:rsid w:val="004976E9"/>
    <w:pPr>
      <w:outlineLvl w:val="0"/>
    </w:pPr>
    <w:rPr>
      <w:rFonts w:ascii="Arial" w:eastAsia="Cambria" w:hAnsi="Arial" w:cs="Times New Roman"/>
      <w:sz w:val="16"/>
      <w:szCs w:val="24"/>
      <w:lang w:val="en-US"/>
    </w:rPr>
  </w:style>
  <w:style w:type="paragraph" w:customStyle="1" w:styleId="RakstzCharCharRakstzCharCharRakstz">
    <w:name w:val="Rakstz. Char Char Rakstz. Char Char Rakstz."/>
    <w:basedOn w:val="Normal"/>
    <w:rsid w:val="004976E9"/>
    <w:pPr>
      <w:spacing w:after="160" w:line="240" w:lineRule="exact"/>
    </w:pPr>
    <w:rPr>
      <w:rFonts w:ascii="Tahoma" w:eastAsia="Times New Roman" w:hAnsi="Tahoma" w:cs="Times New Roman"/>
      <w:lang w:val="en-US"/>
    </w:rPr>
  </w:style>
  <w:style w:type="paragraph" w:styleId="HTMLPreformatted">
    <w:name w:val="HTML Preformatted"/>
    <w:basedOn w:val="Normal"/>
    <w:link w:val="HTMLPreformattedChar"/>
    <w:rsid w:val="00497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color w:val="auto"/>
      <w:lang w:val="lt-LT" w:eastAsia="lt-LT"/>
    </w:rPr>
  </w:style>
  <w:style w:type="character" w:customStyle="1" w:styleId="PreformattatoHTMLCarattere1">
    <w:name w:val="Preformattato HTML Carattere1"/>
    <w:basedOn w:val="DefaultParagraphFont"/>
    <w:uiPriority w:val="99"/>
    <w:semiHidden/>
    <w:rsid w:val="004976E9"/>
    <w:rPr>
      <w:rFonts w:ascii="Consolas" w:eastAsia="Calibri" w:hAnsi="Consolas"/>
      <w:color w:val="00000A"/>
      <w:sz w:val="20"/>
      <w:szCs w:val="20"/>
      <w:lang w:val="en-GB"/>
    </w:rPr>
  </w:style>
  <w:style w:type="paragraph" w:styleId="TOAHeading">
    <w:name w:val="toa heading"/>
    <w:basedOn w:val="Normal"/>
    <w:rsid w:val="004976E9"/>
    <w:pPr>
      <w:spacing w:before="120"/>
    </w:pPr>
    <w:rPr>
      <w:rFonts w:ascii="Arial" w:eastAsia="Times New Roman" w:hAnsi="Arial" w:cs="Arial"/>
      <w:b/>
      <w:bCs/>
      <w:sz w:val="24"/>
      <w:szCs w:val="24"/>
    </w:rPr>
  </w:style>
  <w:style w:type="paragraph" w:customStyle="1" w:styleId="Style149">
    <w:name w:val="Style149"/>
    <w:basedOn w:val="Normal"/>
    <w:rsid w:val="004976E9"/>
    <w:pPr>
      <w:widowControl w:val="0"/>
      <w:spacing w:line="257" w:lineRule="exact"/>
      <w:jc w:val="both"/>
    </w:pPr>
    <w:rPr>
      <w:rFonts w:ascii="Times New Roman" w:eastAsia="Times New Roman" w:hAnsi="Times New Roman" w:cs="Times New Roman"/>
      <w:sz w:val="24"/>
      <w:szCs w:val="24"/>
      <w:lang w:val="lt-LT" w:eastAsia="lt-LT"/>
    </w:rPr>
  </w:style>
  <w:style w:type="paragraph" w:customStyle="1" w:styleId="Normalmedindrag">
    <w:name w:val="Normal med indrag"/>
    <w:basedOn w:val="Normal"/>
    <w:qFormat/>
    <w:rsid w:val="004976E9"/>
    <w:pPr>
      <w:spacing w:after="160" w:line="252" w:lineRule="auto"/>
      <w:ind w:left="851"/>
    </w:pPr>
    <w:rPr>
      <w:rFonts w:asciiTheme="minorHAnsi" w:hAnsiTheme="minorHAnsi"/>
      <w:sz w:val="22"/>
      <w:szCs w:val="22"/>
    </w:rPr>
  </w:style>
  <w:style w:type="paragraph" w:customStyle="1" w:styleId="title-gr-seq-level-1">
    <w:name w:val="title-gr-seq-level-1"/>
    <w:basedOn w:val="Normal"/>
    <w:rsid w:val="004976E9"/>
    <w:pPr>
      <w:spacing w:before="280" w:after="280"/>
    </w:pPr>
    <w:rPr>
      <w:rFonts w:ascii="Times New Roman" w:eastAsia="Times New Roman" w:hAnsi="Times New Roman" w:cs="Times New Roman"/>
      <w:sz w:val="24"/>
      <w:szCs w:val="24"/>
      <w:lang w:val="en-US"/>
    </w:rPr>
  </w:style>
  <w:style w:type="paragraph" w:customStyle="1" w:styleId="norm">
    <w:name w:val="norm"/>
    <w:basedOn w:val="Normal"/>
    <w:rsid w:val="004976E9"/>
    <w:pPr>
      <w:spacing w:before="280" w:after="280"/>
    </w:pPr>
    <w:rPr>
      <w:rFonts w:ascii="Times New Roman" w:eastAsia="Times New Roman" w:hAnsi="Times New Roman" w:cs="Times New Roman"/>
      <w:sz w:val="24"/>
      <w:szCs w:val="24"/>
      <w:lang w:val="en-US"/>
    </w:rPr>
  </w:style>
  <w:style w:type="paragraph" w:customStyle="1" w:styleId="Footnote">
    <w:name w:val="Footnote"/>
    <w:basedOn w:val="Normal"/>
    <w:rsid w:val="004976E9"/>
  </w:style>
  <w:style w:type="paragraph" w:customStyle="1" w:styleId="FrameContents">
    <w:name w:val="Frame Contents"/>
    <w:basedOn w:val="Normal"/>
    <w:rsid w:val="004976E9"/>
  </w:style>
  <w:style w:type="paragraph" w:customStyle="1" w:styleId="TableContents">
    <w:name w:val="Table Contents"/>
    <w:basedOn w:val="Normal"/>
    <w:rsid w:val="004976E9"/>
  </w:style>
  <w:style w:type="paragraph" w:customStyle="1" w:styleId="TableHeading">
    <w:name w:val="Table Heading"/>
    <w:basedOn w:val="TableContents"/>
    <w:rsid w:val="004976E9"/>
  </w:style>
  <w:style w:type="numbering" w:styleId="111111">
    <w:name w:val="Outline List 2"/>
    <w:uiPriority w:val="99"/>
    <w:semiHidden/>
    <w:unhideWhenUsed/>
    <w:rsid w:val="004976E9"/>
  </w:style>
  <w:style w:type="numbering" w:styleId="1ai">
    <w:name w:val="Outline List 1"/>
    <w:semiHidden/>
    <w:unhideWhenUsed/>
    <w:rsid w:val="004976E9"/>
  </w:style>
  <w:style w:type="numbering" w:customStyle="1" w:styleId="BulletedList">
    <w:name w:val="Bulleted List"/>
    <w:uiPriority w:val="99"/>
    <w:rsid w:val="004976E9"/>
  </w:style>
  <w:style w:type="numbering" w:customStyle="1" w:styleId="Clauselist">
    <w:name w:val="Clause list"/>
    <w:uiPriority w:val="99"/>
    <w:rsid w:val="004976E9"/>
  </w:style>
  <w:style w:type="numbering" w:customStyle="1" w:styleId="NumberedHeadings">
    <w:name w:val="Numbered Headings"/>
    <w:uiPriority w:val="99"/>
    <w:rsid w:val="004976E9"/>
  </w:style>
  <w:style w:type="numbering" w:customStyle="1" w:styleId="NumberedList">
    <w:name w:val="Numbered List"/>
    <w:uiPriority w:val="99"/>
    <w:rsid w:val="004976E9"/>
  </w:style>
  <w:style w:type="numbering" w:customStyle="1" w:styleId="PleaList">
    <w:name w:val="Plea List"/>
    <w:uiPriority w:val="99"/>
    <w:rsid w:val="004976E9"/>
  </w:style>
  <w:style w:type="numbering" w:customStyle="1" w:styleId="RecitalsList">
    <w:name w:val="Recitals List"/>
    <w:uiPriority w:val="99"/>
    <w:rsid w:val="004976E9"/>
  </w:style>
  <w:style w:type="numbering" w:customStyle="1" w:styleId="Resolutionlist">
    <w:name w:val="Resolution list"/>
    <w:uiPriority w:val="99"/>
    <w:rsid w:val="004976E9"/>
  </w:style>
  <w:style w:type="numbering" w:customStyle="1" w:styleId="ResolutionList0">
    <w:name w:val="Resolution List"/>
    <w:uiPriority w:val="99"/>
    <w:rsid w:val="004976E9"/>
  </w:style>
  <w:style w:type="numbering" w:customStyle="1" w:styleId="TGSclause">
    <w:name w:val="TGS clause"/>
    <w:uiPriority w:val="99"/>
    <w:rsid w:val="004976E9"/>
  </w:style>
  <w:style w:type="table" w:styleId="TableGrid">
    <w:name w:val="Table Grid"/>
    <w:basedOn w:val="TableNormal"/>
    <w:uiPriority w:val="59"/>
    <w:rsid w:val="004976E9"/>
    <w:pPr>
      <w:spacing w:after="0" w:line="240" w:lineRule="auto"/>
    </w:pPr>
    <w:rPr>
      <w:rFonts w:asciiTheme="majorHAnsi" w:hAnsiTheme="majorHAnsi"/>
      <w:sz w:val="20"/>
      <w:szCs w:val="20"/>
      <w:lang w:val="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5">
    <w:name w:val="Table List 5"/>
    <w:basedOn w:val="TableNormal"/>
    <w:rsid w:val="004976E9"/>
    <w:pPr>
      <w:spacing w:after="0" w:line="240" w:lineRule="auto"/>
    </w:pPr>
    <w:rPr>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character" w:styleId="Hyperlink">
    <w:name w:val="Hyperlink"/>
    <w:basedOn w:val="DefaultParagraphFont"/>
    <w:uiPriority w:val="99"/>
    <w:rsid w:val="004500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okapital@prokapital.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15251</Words>
  <Characters>86931</Characters>
  <Application>Microsoft Office Word</Application>
  <DocSecurity>0</DocSecurity>
  <Lines>724</Lines>
  <Paragraphs>203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LinksUpToDate>false</LinksUpToDate>
  <CharactersWithSpaces>101979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2017-09-13T11:56:00Z</dcterms:created>
  <dcterms:modified xsi:type="dcterms:W3CDTF">2017-09-18T05:06:00Z</dcterms:modified>
</cp:coreProperties>
</file>